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bookmarkStart w:id="0" w:name="_GoBack"/>
      <w:bookmarkEnd w:id="0"/>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北京市丰台区机关事务管理服务中心</w:t>
      </w:r>
    </w:p>
    <w:p>
      <w:pPr>
        <w:jc w:val="center"/>
        <w:rPr>
          <w:rFonts w:ascii="黑体" w:eastAsia="黑体"/>
          <w:sz w:val="52"/>
          <w:szCs w:val="52"/>
        </w:rPr>
      </w:pPr>
      <w:r>
        <w:rPr>
          <w:rFonts w:hint="eastAsia" w:ascii="黑体" w:eastAsia="黑体"/>
          <w:sz w:val="72"/>
          <w:szCs w:val="72"/>
        </w:rPr>
        <w:t>2022年度部门决算（草案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eastAsia="仿宋_GB231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pPr>
        <w:tabs>
          <w:tab w:val="center" w:pos="6979"/>
        </w:tabs>
        <w:spacing w:before="156" w:beforeLines="50" w:after="156" w:afterLines="50"/>
        <w:jc w:val="center"/>
        <w:rPr>
          <w:rFonts w:hint="eastAsia"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pPr>
        <w:tabs>
          <w:tab w:val="center" w:pos="6979"/>
        </w:tabs>
        <w:spacing w:line="580" w:lineRule="exact"/>
        <w:ind w:firstLine="620" w:firstLineChars="200"/>
        <w:rPr>
          <w:rFonts w:hint="eastAsia" w:ascii="仿宋_GB2312" w:hAnsi="宋体" w:eastAsia="仿宋_GB2312" w:cs="宋体"/>
          <w:bCs/>
          <w:spacing w:val="40"/>
          <w:kern w:val="0"/>
          <w:sz w:val="32"/>
          <w:szCs w:val="32"/>
        </w:rPr>
      </w:pPr>
      <w:r>
        <w:rPr>
          <w:rFonts w:hint="eastAsia" w:ascii="仿宋_GB2312" w:hAnsi="宋体" w:eastAsia="仿宋_GB2312" w:cs="宋体"/>
          <w:color w:val="000000"/>
          <w:spacing w:val="15"/>
          <w:kern w:val="0"/>
          <w:sz w:val="28"/>
          <w:szCs w:val="28"/>
        </w:rPr>
        <w:t>北京市丰台区机关事务管理服务中心</w:t>
      </w:r>
      <w:r>
        <w:rPr>
          <w:rFonts w:hint="eastAsia" w:ascii="仿宋_GB2312" w:eastAsia="仿宋_GB2312"/>
          <w:kern w:val="0"/>
          <w:sz w:val="28"/>
          <w:szCs w:val="28"/>
        </w:rPr>
        <w:t>2022年度部门决算报表详见附件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pStyle w:val="2"/>
        <w:jc w:val="left"/>
        <w:rPr>
          <w:rFonts w:hint="eastAsia"/>
          <w:kern w:val="0"/>
        </w:rPr>
      </w:pPr>
      <w:r>
        <w:rPr>
          <w:rFonts w:hint="eastAsia"/>
          <w:kern w:val="0"/>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pPr>
        <w:ind w:firstLine="685" w:firstLineChars="221"/>
        <w:rPr>
          <w:rFonts w:hint="eastAsia" w:ascii="仿宋_GB2312" w:hAnsi="宋体" w:eastAsia="仿宋_GB2312" w:cs="宋体"/>
          <w:color w:val="000000"/>
          <w:spacing w:val="15"/>
          <w:kern w:val="0"/>
          <w:sz w:val="28"/>
          <w:szCs w:val="32"/>
        </w:rPr>
      </w:pPr>
      <w:r>
        <w:rPr>
          <w:rFonts w:hint="eastAsia" w:ascii="仿宋_GB2312" w:hAnsi="宋体" w:eastAsia="仿宋_GB2312" w:cs="宋体"/>
          <w:color w:val="000000"/>
          <w:spacing w:val="15"/>
          <w:kern w:val="0"/>
          <w:sz w:val="28"/>
          <w:szCs w:val="32"/>
        </w:rPr>
        <w:t>北京市丰台区机关事务管理服务中心部门职能主要为：承担丰台区委、区人大、区政府、区政协、区纪监委及所辖9个办公区的后勤管理和服务保障工作。</w:t>
      </w:r>
    </w:p>
    <w:p>
      <w:pPr>
        <w:tabs>
          <w:tab w:val="center" w:pos="6979"/>
        </w:tabs>
        <w:spacing w:line="580" w:lineRule="exact"/>
        <w:ind w:firstLine="465" w:firstLineChars="150"/>
        <w:rPr>
          <w:rFonts w:ascii="仿宋_GB2312" w:eastAsia="仿宋_GB2312"/>
          <w:sz w:val="28"/>
          <w:szCs w:val="28"/>
        </w:rPr>
      </w:pPr>
      <w:r>
        <w:rPr>
          <w:rFonts w:hint="eastAsia" w:ascii="仿宋_GB2312" w:hAnsi="宋体" w:eastAsia="仿宋_GB2312" w:cs="宋体"/>
          <w:color w:val="000000"/>
          <w:spacing w:val="15"/>
          <w:kern w:val="0"/>
          <w:sz w:val="28"/>
          <w:szCs w:val="32"/>
        </w:rPr>
        <w:t>1、贯彻执行党和国家的行政后勤管理政策，按照上级工作部署和规定，制定本中心工作规划、年度计划以及各项规章制度并组织实施。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3、负责除教育、卫生系统，检察院、法院，街道、乡镇以外，其它丰台区党政群机关和直属事业单位办公用房产权归属、房屋使用情况的统计、登记工作，并提出办公用房的规划、建设和调配使用意见。4、承办区委、区政府交办的其他工作。</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spacing w:line="560" w:lineRule="exact"/>
        <w:ind w:firstLine="620" w:firstLineChars="200"/>
        <w:rPr>
          <w:rFonts w:hint="eastAsia" w:ascii="仿宋_GB2312" w:hAnsi="仿宋_GB2312" w:eastAsia="仿宋_GB2312" w:cs="仿宋_GB2312"/>
          <w:sz w:val="28"/>
          <w:szCs w:val="32"/>
        </w:rPr>
      </w:pPr>
      <w:r>
        <w:rPr>
          <w:rFonts w:hint="eastAsia" w:ascii="仿宋_GB2312" w:hAnsi="宋体" w:eastAsia="仿宋_GB2312" w:cs="宋体"/>
          <w:color w:val="000000"/>
          <w:spacing w:val="15"/>
          <w:kern w:val="0"/>
          <w:sz w:val="28"/>
          <w:szCs w:val="32"/>
        </w:rPr>
        <w:t>北京市丰台区机关事务管理服务中心</w:t>
      </w:r>
      <w:r>
        <w:rPr>
          <w:rFonts w:ascii="仿宋_GB2312" w:hAnsi="仿宋_GB2312" w:eastAsia="仿宋_GB2312" w:cs="仿宋_GB2312"/>
          <w:sz w:val="28"/>
          <w:szCs w:val="32"/>
        </w:rPr>
        <w:t>行政编制</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人；事业编制</w:t>
      </w:r>
      <w:r>
        <w:rPr>
          <w:rFonts w:hint="eastAsia" w:ascii="仿宋_GB2312" w:hAnsi="仿宋_GB2312" w:eastAsia="仿宋_GB2312" w:cs="仿宋_GB2312"/>
          <w:sz w:val="28"/>
          <w:szCs w:val="32"/>
        </w:rPr>
        <w:t>120</w:t>
      </w:r>
      <w:r>
        <w:rPr>
          <w:rFonts w:ascii="仿宋_GB2312" w:hAnsi="仿宋_GB2312" w:eastAsia="仿宋_GB2312" w:cs="仿宋_GB2312"/>
          <w:sz w:val="28"/>
          <w:szCs w:val="32"/>
        </w:rPr>
        <w:t>人，实际</w:t>
      </w:r>
      <w:r>
        <w:rPr>
          <w:rFonts w:hint="eastAsia" w:ascii="仿宋_GB2312" w:hAnsi="仿宋_GB2312" w:eastAsia="仿宋_GB2312" w:cs="仿宋_GB2312"/>
          <w:sz w:val="28"/>
          <w:szCs w:val="32"/>
        </w:rPr>
        <w:t>106</w:t>
      </w:r>
      <w:r>
        <w:rPr>
          <w:rFonts w:ascii="仿宋_GB2312" w:hAnsi="仿宋_GB2312" w:eastAsia="仿宋_GB2312" w:cs="仿宋_GB2312"/>
          <w:sz w:val="28"/>
          <w:szCs w:val="32"/>
        </w:rPr>
        <w:t>人；聘用人员</w:t>
      </w:r>
      <w:r>
        <w:rPr>
          <w:rFonts w:hint="eastAsia" w:ascii="仿宋_GB2312" w:hAnsi="仿宋_GB2312" w:eastAsia="仿宋_GB2312" w:cs="仿宋_GB2312"/>
          <w:sz w:val="28"/>
          <w:szCs w:val="32"/>
        </w:rPr>
        <w:t>3</w:t>
      </w:r>
      <w:r>
        <w:rPr>
          <w:rFonts w:ascii="仿宋_GB2312" w:hAnsi="仿宋_GB2312" w:eastAsia="仿宋_GB2312" w:cs="仿宋_GB2312"/>
          <w:sz w:val="28"/>
          <w:szCs w:val="32"/>
        </w:rPr>
        <w:t>人。离退休人员</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人，其中：离休</w:t>
      </w:r>
      <w:r>
        <w:rPr>
          <w:rFonts w:hint="eastAsia" w:ascii="仿宋_GB2312" w:hAnsi="仿宋_GB2312" w:eastAsia="仿宋_GB2312" w:cs="仿宋_GB2312"/>
          <w:sz w:val="28"/>
          <w:szCs w:val="32"/>
        </w:rPr>
        <w:t>0</w:t>
      </w:r>
      <w:r>
        <w:rPr>
          <w:rFonts w:ascii="仿宋_GB2312" w:hAnsi="仿宋_GB2312" w:eastAsia="仿宋_GB2312" w:cs="仿宋_GB2312"/>
          <w:sz w:val="28"/>
          <w:szCs w:val="32"/>
        </w:rPr>
        <w:t>人，退休</w:t>
      </w:r>
      <w:r>
        <w:rPr>
          <w:rFonts w:hint="eastAsia" w:ascii="仿宋_GB2312" w:hAnsi="仿宋_GB2312" w:eastAsia="仿宋_GB2312" w:cs="仿宋_GB2312"/>
          <w:sz w:val="28"/>
          <w:szCs w:val="32"/>
        </w:rPr>
        <w:t>125</w:t>
      </w:r>
      <w:r>
        <w:rPr>
          <w:rFonts w:ascii="仿宋_GB2312" w:hAnsi="仿宋_GB2312" w:eastAsia="仿宋_GB2312" w:cs="仿宋_GB2312"/>
          <w:sz w:val="28"/>
          <w:szCs w:val="32"/>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总计54852.6067万元，</w:t>
      </w:r>
      <w:r>
        <w:rPr>
          <w:rFonts w:ascii="仿宋_GB2312" w:eastAsia="仿宋_GB2312"/>
          <w:sz w:val="28"/>
          <w:szCs w:val="28"/>
        </w:rPr>
        <w:t>比上年增加262</w:t>
      </w:r>
      <w:r>
        <w:rPr>
          <w:rFonts w:hint="eastAsia" w:ascii="仿宋_GB2312" w:eastAsia="仿宋_GB2312"/>
          <w:sz w:val="28"/>
          <w:szCs w:val="28"/>
        </w:rPr>
        <w:t>86.1170万元，增长92.02%。</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2022年度本年收入合计44729.6241万元，</w:t>
      </w:r>
      <w:r>
        <w:rPr>
          <w:rFonts w:ascii="仿宋_GB2312" w:eastAsia="仿宋_GB2312"/>
          <w:sz w:val="28"/>
          <w:szCs w:val="28"/>
        </w:rPr>
        <w:t>比上年增加25381.03</w:t>
      </w:r>
      <w:r>
        <w:rPr>
          <w:rFonts w:hint="eastAsia" w:ascii="仿宋_GB2312" w:eastAsia="仿宋_GB2312"/>
          <w:sz w:val="28"/>
          <w:szCs w:val="28"/>
        </w:rPr>
        <w:t>89万元，增长131.18%，其中：财政拨款收入</w:t>
      </w:r>
      <w:r>
        <w:rPr>
          <w:rFonts w:ascii="仿宋_GB2312" w:eastAsia="仿宋_GB2312"/>
          <w:sz w:val="28"/>
          <w:szCs w:val="28"/>
        </w:rPr>
        <w:t>44726.7</w:t>
      </w:r>
      <w:r>
        <w:rPr>
          <w:rFonts w:hint="eastAsia" w:ascii="仿宋_GB2312" w:eastAsia="仿宋_GB2312"/>
          <w:sz w:val="28"/>
          <w:szCs w:val="28"/>
        </w:rPr>
        <w:t>783万元，占收入合计的99.99%；上级补助收入0.0万元，占收入合计的0.0%；事业收入0.0万元，占收入合计的0.0%；经营收入0.0万元，占收入合计的0.0%；附属单位上缴收入0.0万元，占收入合计的0.0%；其他收入2.8458万元，占收入合计的0.01%。</w:t>
      </w:r>
    </w:p>
    <w:p>
      <w:pPr>
        <w:pStyle w:val="2"/>
        <w:ind w:firstLine="560"/>
        <w:jc w:val="left"/>
        <w:rPr>
          <w:rFonts w:hint="eastAsia"/>
          <w:sz w:val="28"/>
        </w:rPr>
      </w:pPr>
      <w:r>
        <w:rPr>
          <w:rFonts w:hint="eastAsia"/>
          <w:sz w:val="28"/>
        </w:rPr>
        <w:t xml:space="preserve">（此处插入图表，用上述收入金额制作饼状图，无金额类型不必制图） </w:t>
      </w:r>
    </w:p>
    <w:p>
      <w:pPr>
        <w:pStyle w:val="2"/>
        <w:ind w:firstLine="560"/>
        <w:rPr>
          <w:rFonts w:hint="eastAsia"/>
          <w:sz w:val="28"/>
        </w:rPr>
      </w:pPr>
      <w:r>
        <w:rPr>
          <w:rFonts w:hint="eastAsia"/>
          <w:sz w:val="28"/>
        </w:rPr>
        <w:t>图1：收入决算</w:t>
      </w:r>
    </w:p>
    <w:p>
      <w:pPr>
        <w:pStyle w:val="2"/>
        <w:rPr>
          <w:rFonts w:hint="eastAsia"/>
        </w:rPr>
      </w:pPr>
    </w:p>
    <w:tbl>
      <w:tblPr>
        <w:tblStyle w:val="9"/>
        <w:tblW w:w="8080" w:type="dxa"/>
        <w:jc w:val="center"/>
        <w:tblLayout w:type="autofit"/>
        <w:tblCellMar>
          <w:top w:w="0" w:type="dxa"/>
          <w:left w:w="108" w:type="dxa"/>
          <w:bottom w:w="0" w:type="dxa"/>
          <w:right w:w="108" w:type="dxa"/>
        </w:tblCellMar>
      </w:tblPr>
      <w:tblGrid>
        <w:gridCol w:w="8080"/>
      </w:tblGrid>
      <w:tr>
        <w:tblPrEx>
          <w:tblCellMar>
            <w:top w:w="0" w:type="dxa"/>
            <w:left w:w="108" w:type="dxa"/>
            <w:bottom w:w="0" w:type="dxa"/>
            <w:right w:w="108" w:type="dxa"/>
          </w:tblCellMar>
        </w:tblPrEx>
        <w:trPr>
          <w:trHeight w:val="402" w:hRule="atLeast"/>
          <w:jc w:val="center"/>
        </w:trPr>
        <w:tc>
          <w:tcPr>
            <w:tcW w:w="8080" w:type="dxa"/>
            <w:shd w:val="clear" w:color="auto" w:fill="auto"/>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drawing>
                <wp:inline distT="0" distB="0" distL="0" distR="0">
                  <wp:extent cx="4572000" cy="2743200"/>
                  <wp:effectExtent l="19050" t="0" r="19050" b="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2022年度本年支出合计</w:t>
      </w:r>
      <w:r>
        <w:rPr>
          <w:rFonts w:ascii="仿宋_GB2312" w:eastAsia="仿宋_GB2312"/>
          <w:sz w:val="28"/>
          <w:szCs w:val="28"/>
        </w:rPr>
        <w:t>54751.0</w:t>
      </w:r>
      <w:r>
        <w:rPr>
          <w:rFonts w:hint="eastAsia" w:ascii="仿宋_GB2312" w:eastAsia="仿宋_GB2312"/>
          <w:sz w:val="28"/>
          <w:szCs w:val="28"/>
        </w:rPr>
        <w:t>760万元，</w:t>
      </w:r>
      <w:r>
        <w:rPr>
          <w:rFonts w:ascii="仿宋_GB2312" w:eastAsia="仿宋_GB2312"/>
          <w:sz w:val="28"/>
          <w:szCs w:val="28"/>
        </w:rPr>
        <w:t>比上年增加</w:t>
      </w:r>
      <w:r>
        <w:rPr>
          <w:rFonts w:hint="eastAsia" w:ascii="仿宋_GB2312" w:eastAsia="仿宋_GB2312"/>
          <w:sz w:val="28"/>
          <w:szCs w:val="28"/>
        </w:rPr>
        <w:t>26868.3466万元，增长96.36%，其中：基本支出</w:t>
      </w:r>
      <w:r>
        <w:rPr>
          <w:rFonts w:ascii="仿宋_GB2312" w:eastAsia="仿宋_GB2312"/>
          <w:sz w:val="28"/>
          <w:szCs w:val="28"/>
        </w:rPr>
        <w:t>6483</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277万元，占支出合计的11.84%；项目支出</w:t>
      </w:r>
      <w:r>
        <w:rPr>
          <w:rFonts w:ascii="仿宋_GB2312" w:eastAsia="仿宋_GB2312"/>
          <w:sz w:val="28"/>
          <w:szCs w:val="28"/>
        </w:rPr>
        <w:t>48268</w:t>
      </w:r>
      <w:r>
        <w:rPr>
          <w:rFonts w:hint="eastAsia" w:ascii="仿宋_GB2312" w:eastAsia="仿宋_GB2312"/>
          <w:sz w:val="28"/>
          <w:szCs w:val="28"/>
        </w:rPr>
        <w:t>.</w:t>
      </w:r>
      <w:r>
        <w:rPr>
          <w:rFonts w:ascii="仿宋_GB2312" w:eastAsia="仿宋_GB2312"/>
          <w:sz w:val="28"/>
          <w:szCs w:val="28"/>
        </w:rPr>
        <w:t>0</w:t>
      </w:r>
      <w:r>
        <w:rPr>
          <w:rFonts w:hint="eastAsia" w:ascii="仿宋_GB2312" w:eastAsia="仿宋_GB2312"/>
          <w:sz w:val="28"/>
          <w:szCs w:val="28"/>
        </w:rPr>
        <w:t>483万元，占支出合计的88.16%;上缴上级支出0.0万元，占支出合计的0.0%；经营支出0.0万元，占支出合计的0.0%；对附属单位补助支出0.0万元，占支出合计的0.0%。</w:t>
      </w:r>
    </w:p>
    <w:p>
      <w:pPr>
        <w:tabs>
          <w:tab w:val="center" w:pos="6979"/>
        </w:tabs>
        <w:spacing w:line="580" w:lineRule="exact"/>
        <w:ind w:firstLine="570"/>
        <w:jc w:val="left"/>
        <w:rPr>
          <w:rFonts w:ascii="仿宋_GB2312" w:eastAsia="仿宋_GB2312"/>
          <w:sz w:val="28"/>
          <w:szCs w:val="28"/>
        </w:rPr>
      </w:pPr>
      <w:r>
        <w:rPr>
          <w:rFonts w:hint="eastAsia" w:ascii="仿宋_GB2312" w:eastAsia="仿宋_GB2312"/>
          <w:sz w:val="28"/>
          <w:szCs w:val="28"/>
        </w:rPr>
        <w:t xml:space="preserve">（此处插入图表，用上述支出金额制作饼状图，无金额类型不必制图） </w:t>
      </w:r>
    </w:p>
    <w:p>
      <w:pPr>
        <w:tabs>
          <w:tab w:val="center" w:pos="6979"/>
        </w:tabs>
        <w:spacing w:line="580" w:lineRule="exact"/>
        <w:ind w:firstLine="570"/>
        <w:jc w:val="center"/>
        <w:rPr>
          <w:rFonts w:hint="eastAsia" w:ascii="仿宋" w:hAnsi="仿宋" w:eastAsia="仿宋"/>
          <w:color w:val="000000"/>
          <w:sz w:val="32"/>
        </w:rPr>
      </w:pPr>
      <w:r>
        <w:rPr>
          <w:rFonts w:hint="eastAsia" w:ascii="仿宋" w:hAnsi="仿宋" w:eastAsia="仿宋"/>
          <w:color w:val="000000"/>
          <w:sz w:val="32"/>
        </w:rPr>
        <w:t>图2：基本支出和项目支出情况</w:t>
      </w:r>
    </w:p>
    <w:tbl>
      <w:tblPr>
        <w:tblStyle w:val="9"/>
        <w:tblW w:w="7716" w:type="dxa"/>
        <w:jc w:val="center"/>
        <w:tblLayout w:type="autofit"/>
        <w:tblCellMar>
          <w:top w:w="0" w:type="dxa"/>
          <w:left w:w="108" w:type="dxa"/>
          <w:bottom w:w="0" w:type="dxa"/>
          <w:right w:w="108" w:type="dxa"/>
        </w:tblCellMar>
      </w:tblPr>
      <w:tblGrid>
        <w:gridCol w:w="7716"/>
      </w:tblGrid>
      <w:tr>
        <w:tblPrEx>
          <w:tblCellMar>
            <w:top w:w="0" w:type="dxa"/>
            <w:left w:w="108" w:type="dxa"/>
            <w:bottom w:w="0" w:type="dxa"/>
            <w:right w:w="108" w:type="dxa"/>
          </w:tblCellMar>
        </w:tblPrEx>
        <w:trPr>
          <w:trHeight w:val="270" w:hRule="atLeast"/>
          <w:jc w:val="center"/>
        </w:trPr>
        <w:tc>
          <w:tcPr>
            <w:tcW w:w="7716" w:type="dxa"/>
            <w:shd w:val="clear" w:color="auto" w:fill="auto"/>
            <w:noWrap/>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drawing>
                <wp:inline distT="0" distB="0" distL="0" distR="0">
                  <wp:extent cx="4724400" cy="2743200"/>
                  <wp:effectExtent l="19050" t="0" r="19050" b="0"/>
                  <wp:docPr id="1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54834.91</w:t>
      </w:r>
      <w:r>
        <w:rPr>
          <w:rFonts w:hint="eastAsia" w:ascii="仿宋_GB2312" w:eastAsia="仿宋_GB2312"/>
          <w:sz w:val="28"/>
          <w:szCs w:val="28"/>
        </w:rPr>
        <w:t>21万元，比上年</w:t>
      </w:r>
      <w:r>
        <w:rPr>
          <w:rFonts w:ascii="仿宋_GB2312" w:eastAsia="仿宋_GB2312"/>
          <w:sz w:val="28"/>
          <w:szCs w:val="28"/>
        </w:rPr>
        <w:t>增加</w:t>
      </w:r>
      <w:r>
        <w:rPr>
          <w:rFonts w:hint="eastAsia" w:ascii="仿宋_GB2312" w:eastAsia="仿宋_GB2312"/>
          <w:sz w:val="28"/>
          <w:szCs w:val="28"/>
        </w:rPr>
        <w:t>26287.8682万元，增长92.09%。主要原因：1、丰台区档案馆工程建设；2、新设7个街道办事处办公用房租金；3、2022年报废更新公务用车； 4、区规自分局租用丰开集团办公用房租；5、区市场监督管理局办公用房修缮和丰台区融媒体中心建设项目（一期）第一、二阶段项目改造；6、区第十三次党代会等。</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2022年度一般公共预算财政拨款支出</w:t>
      </w:r>
      <w:r>
        <w:rPr>
          <w:rFonts w:ascii="仿宋_GB2312" w:eastAsia="仿宋_GB2312"/>
          <w:sz w:val="28"/>
          <w:szCs w:val="28"/>
        </w:rPr>
        <w:t>51808</w:t>
      </w:r>
      <w:r>
        <w:rPr>
          <w:rFonts w:hint="eastAsia" w:ascii="仿宋_GB2312" w:eastAsia="仿宋_GB2312"/>
          <w:sz w:val="28"/>
          <w:szCs w:val="28"/>
        </w:rPr>
        <w:t>.</w:t>
      </w:r>
      <w:r>
        <w:rPr>
          <w:rFonts w:ascii="仿宋_GB2312" w:eastAsia="仿宋_GB2312"/>
          <w:sz w:val="28"/>
          <w:szCs w:val="28"/>
        </w:rPr>
        <w:t>46</w:t>
      </w:r>
      <w:r>
        <w:rPr>
          <w:rFonts w:hint="eastAsia" w:ascii="仿宋_GB2312" w:eastAsia="仿宋_GB2312"/>
          <w:sz w:val="28"/>
          <w:szCs w:val="28"/>
        </w:rPr>
        <w:t>38万元，主要用于以下方面（按大类）：一般公共服务支出</w:t>
      </w:r>
      <w:r>
        <w:rPr>
          <w:rFonts w:ascii="仿宋_GB2312" w:eastAsia="仿宋_GB2312"/>
          <w:sz w:val="28"/>
          <w:szCs w:val="28"/>
        </w:rPr>
        <w:t>44259.51</w:t>
      </w:r>
      <w:r>
        <w:rPr>
          <w:rFonts w:hint="eastAsia" w:ascii="仿宋_GB2312" w:eastAsia="仿宋_GB2312"/>
          <w:sz w:val="28"/>
          <w:szCs w:val="28"/>
        </w:rPr>
        <w:t>22万元，占本年财政拨款支出85.43%；文化旅游体育与传媒支出2200.0000万元，占本年财政拨款支出4.25%；社会保障和就业支出</w:t>
      </w:r>
      <w:r>
        <w:rPr>
          <w:rFonts w:ascii="仿宋_GB2312" w:eastAsia="仿宋_GB2312"/>
          <w:sz w:val="28"/>
          <w:szCs w:val="28"/>
        </w:rPr>
        <w:t>498.9</w:t>
      </w:r>
      <w:r>
        <w:rPr>
          <w:rFonts w:hint="eastAsia" w:ascii="仿宋_GB2312" w:eastAsia="仿宋_GB2312"/>
          <w:sz w:val="28"/>
          <w:szCs w:val="28"/>
        </w:rPr>
        <w:t>653万元，占本年财政拨款支出0.96%；卫生健康支出5.4600万元，占本年财政拨款支出0.01%；城乡社区支出</w:t>
      </w:r>
      <w:r>
        <w:rPr>
          <w:rFonts w:ascii="仿宋_GB2312" w:eastAsia="仿宋_GB2312"/>
          <w:sz w:val="28"/>
          <w:szCs w:val="28"/>
        </w:rPr>
        <w:t>4336.4</w:t>
      </w:r>
      <w:r>
        <w:rPr>
          <w:rFonts w:hint="eastAsia" w:ascii="仿宋_GB2312" w:eastAsia="仿宋_GB2312"/>
          <w:sz w:val="28"/>
          <w:szCs w:val="28"/>
        </w:rPr>
        <w:t>876万元，占本年财政拨款支出8.37%；住房保障支出</w:t>
      </w:r>
      <w:r>
        <w:rPr>
          <w:rFonts w:ascii="仿宋_GB2312" w:eastAsia="仿宋_GB2312"/>
          <w:sz w:val="28"/>
          <w:szCs w:val="28"/>
        </w:rPr>
        <w:t>508.0</w:t>
      </w:r>
      <w:r>
        <w:rPr>
          <w:rFonts w:hint="eastAsia" w:ascii="仿宋_GB2312" w:eastAsia="仿宋_GB2312"/>
          <w:sz w:val="28"/>
          <w:szCs w:val="28"/>
        </w:rPr>
        <w:t>387万元，占本年财政拨款支出0.98%。</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1、“一般公共服务支出”（类）2022年度决算</w:t>
      </w:r>
      <w:r>
        <w:rPr>
          <w:rFonts w:ascii="仿宋_GB2312" w:eastAsia="仿宋_GB2312"/>
          <w:sz w:val="28"/>
          <w:szCs w:val="28"/>
        </w:rPr>
        <w:t>44259.51</w:t>
      </w:r>
      <w:r>
        <w:rPr>
          <w:rFonts w:hint="eastAsia" w:ascii="仿宋_GB2312" w:eastAsia="仿宋_GB2312"/>
          <w:sz w:val="28"/>
          <w:szCs w:val="28"/>
        </w:rPr>
        <w:t>22万元，比2022年年初预算增加7269.8953万元，增长19.65%。其中：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“政府办公厅（室）及相关机构事务” （款）2022年度决算</w:t>
      </w:r>
      <w:r>
        <w:rPr>
          <w:rFonts w:ascii="仿宋_GB2312" w:eastAsia="仿宋_GB2312"/>
          <w:sz w:val="28"/>
          <w:szCs w:val="28"/>
        </w:rPr>
        <w:t>41352.82</w:t>
      </w:r>
      <w:r>
        <w:rPr>
          <w:rFonts w:hint="eastAsia" w:ascii="仿宋_GB2312" w:eastAsia="仿宋_GB2312"/>
          <w:sz w:val="28"/>
          <w:szCs w:val="28"/>
        </w:rPr>
        <w:t>48万元，比2022年年初预算增加4365.7279万元，增长11.80%。主要原因：新增区规自分局租用丰开集团办公用房租、区市场监督管理局办公用房修缮和丰台区融媒体中心建设项目（一期）第一、二阶段项目改造、区第十三次党代会、2022年报废更新公务用车经费等；“档案事务”（款）2022年度决算</w:t>
      </w:r>
      <w:r>
        <w:rPr>
          <w:rFonts w:ascii="仿宋_GB2312" w:eastAsia="仿宋_GB2312"/>
          <w:sz w:val="28"/>
          <w:szCs w:val="28"/>
        </w:rPr>
        <w:t>2905.</w:t>
      </w:r>
      <w:r>
        <w:rPr>
          <w:rFonts w:hint="eastAsia" w:ascii="仿宋_GB2312" w:eastAsia="仿宋_GB2312"/>
          <w:sz w:val="28"/>
          <w:szCs w:val="28"/>
        </w:rPr>
        <w:t>5971万元，比2022年年初预算增加</w:t>
      </w:r>
      <w:r>
        <w:rPr>
          <w:rFonts w:ascii="仿宋_GB2312" w:eastAsia="仿宋_GB2312"/>
          <w:sz w:val="28"/>
          <w:szCs w:val="28"/>
        </w:rPr>
        <w:t>2905.</w:t>
      </w:r>
      <w:r>
        <w:rPr>
          <w:rFonts w:hint="eastAsia" w:ascii="仿宋_GB2312" w:eastAsia="仿宋_GB2312"/>
          <w:sz w:val="28"/>
          <w:szCs w:val="28"/>
        </w:rPr>
        <w:t>5971万元，主要原因：新增丰台区档案馆工程建设。“组织事务”（款）2022年度决算1.0904万元，比2022年年初预算减少1.4296万元，下降56.73%。主要原因：疫情防控党建活动减少。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2、“文化旅游体育与传媒支出”(类)2022年度决算2200.0000万元，比2022年年初预算增加2200.0000万元。其中：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“文化和旅游”（款）2022年度决算2200.0000万元，比2022年年初预算增加2200.0000万元。主要原因：福成大厦办公区租金功能分类科目调整。</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3、“社会保障和就业支出”2022年度决算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653万元，比2022年年初预算增加58.4758万元，增长13.28%。其中：</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“行政事业单位养老支出” （款）2022年度决算</w:t>
      </w:r>
      <w:r>
        <w:rPr>
          <w:rFonts w:ascii="仿宋_GB2312" w:eastAsia="仿宋_GB2312"/>
          <w:sz w:val="28"/>
          <w:szCs w:val="28"/>
        </w:rPr>
        <w:t>498.9</w:t>
      </w:r>
      <w:r>
        <w:rPr>
          <w:rFonts w:hint="eastAsia" w:ascii="仿宋_GB2312" w:eastAsia="仿宋_GB2312"/>
          <w:sz w:val="28"/>
          <w:szCs w:val="28"/>
        </w:rPr>
        <w:t>653万元，比2022年年初预算增加58.4758万元，增长13.28%。主要原因：退休人员去世支付抚恤金、调入、公招在职人员增加养老保险、职业年金。</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4、“卫生健康支出”2022年度决算5.4600万元，比2022年年初预算增加5.4600万元。其中：</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“公共卫生”（款）2022年度决算5.4600万元，比2022年年初预算增加5.4600万元。主要原因：疫情防控增加突发公共卫生事件应急处理经费。</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5、“城乡社区支出”2022年度决算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876万元。其中：</w:t>
      </w:r>
    </w:p>
    <w:p>
      <w:pPr>
        <w:autoSpaceDE w:val="0"/>
        <w:autoSpaceDN w:val="0"/>
        <w:adjustRightInd w:val="0"/>
        <w:spacing w:line="580" w:lineRule="exact"/>
        <w:ind w:firstLine="560" w:firstLineChars="200"/>
        <w:jc w:val="left"/>
        <w:rPr>
          <w:rFonts w:ascii="仿宋_GB2312" w:eastAsia="仿宋_GB2312"/>
          <w:color w:val="0000FF"/>
          <w:sz w:val="28"/>
          <w:szCs w:val="28"/>
        </w:rPr>
      </w:pPr>
      <w:r>
        <w:rPr>
          <w:rFonts w:hint="eastAsia" w:ascii="仿宋_GB2312" w:eastAsia="仿宋_GB2312"/>
          <w:sz w:val="28"/>
          <w:szCs w:val="28"/>
        </w:rPr>
        <w:t>“城乡社区公共设施”（款）2022年度决算</w:t>
      </w:r>
      <w:r>
        <w:rPr>
          <w:rFonts w:ascii="仿宋_GB2312" w:eastAsia="仿宋_GB2312"/>
          <w:sz w:val="28"/>
          <w:szCs w:val="28"/>
        </w:rPr>
        <w:t>4336.4</w:t>
      </w:r>
      <w:r>
        <w:rPr>
          <w:rFonts w:hint="eastAsia" w:ascii="仿宋_GB2312" w:eastAsia="仿宋_GB2312"/>
          <w:sz w:val="28"/>
          <w:szCs w:val="28"/>
        </w:rPr>
        <w:t>876万元，比2022年年初预算增加</w:t>
      </w:r>
      <w:r>
        <w:rPr>
          <w:rFonts w:ascii="仿宋_GB2312" w:eastAsia="仿宋_GB2312"/>
          <w:sz w:val="28"/>
          <w:szCs w:val="28"/>
        </w:rPr>
        <w:t>4336.4</w:t>
      </w:r>
      <w:r>
        <w:rPr>
          <w:rFonts w:hint="eastAsia" w:ascii="仿宋_GB2312" w:eastAsia="仿宋_GB2312"/>
          <w:sz w:val="28"/>
          <w:szCs w:val="28"/>
        </w:rPr>
        <w:t>876万元。主要原因：丰台区档案馆建设工程项目市级补助资金。</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6、“住房保障支出”2022年度决算</w:t>
      </w:r>
      <w:r>
        <w:rPr>
          <w:rFonts w:ascii="仿宋_GB2312" w:eastAsia="仿宋_GB2312"/>
          <w:sz w:val="28"/>
          <w:szCs w:val="28"/>
        </w:rPr>
        <w:t>508.0</w:t>
      </w:r>
      <w:r>
        <w:rPr>
          <w:rFonts w:hint="eastAsia" w:ascii="仿宋_GB2312" w:eastAsia="仿宋_GB2312"/>
          <w:sz w:val="28"/>
          <w:szCs w:val="28"/>
        </w:rPr>
        <w:t>387万元，比2022年年初预算增加27.8087万元，增长5.79%。其中：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“住房改革支出”2022年度决算</w:t>
      </w:r>
      <w:r>
        <w:rPr>
          <w:rFonts w:ascii="仿宋_GB2312" w:eastAsia="仿宋_GB2312"/>
          <w:sz w:val="28"/>
          <w:szCs w:val="28"/>
        </w:rPr>
        <w:t>508.0</w:t>
      </w:r>
      <w:r>
        <w:rPr>
          <w:rFonts w:hint="eastAsia" w:ascii="仿宋_GB2312" w:eastAsia="仿宋_GB2312"/>
          <w:sz w:val="28"/>
          <w:szCs w:val="28"/>
        </w:rPr>
        <w:t>387万元，比2022年年初预算增加27.8091万元，增长5.79%。主要原因：增加调入、公招在职人员住房补贴、住房公积金。</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2022年度政府性基金预算财政拨款支出</w:t>
      </w:r>
      <w:r>
        <w:rPr>
          <w:rFonts w:ascii="仿宋_GB2312" w:eastAsia="仿宋_GB2312"/>
          <w:sz w:val="28"/>
          <w:szCs w:val="28"/>
        </w:rPr>
        <w:t>2941.07</w:t>
      </w:r>
      <w:r>
        <w:rPr>
          <w:rFonts w:hint="eastAsia" w:ascii="仿宋_GB2312" w:eastAsia="仿宋_GB2312"/>
          <w:sz w:val="28"/>
          <w:szCs w:val="28"/>
        </w:rPr>
        <w:t>15万元，主要用于以下方面（按大类）：城乡社区支出</w:t>
      </w:r>
      <w:r>
        <w:rPr>
          <w:rFonts w:ascii="仿宋_GB2312" w:eastAsia="仿宋_GB2312"/>
          <w:sz w:val="28"/>
          <w:szCs w:val="28"/>
        </w:rPr>
        <w:t>2941.07</w:t>
      </w:r>
      <w:r>
        <w:rPr>
          <w:rFonts w:hint="eastAsia" w:ascii="仿宋_GB2312" w:eastAsia="仿宋_GB2312"/>
          <w:sz w:val="28"/>
          <w:szCs w:val="28"/>
        </w:rPr>
        <w:t>15万元，占本年财政拨款支出100.0%。</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autoSpaceDE w:val="0"/>
        <w:autoSpaceDN w:val="0"/>
        <w:adjustRightInd w:val="0"/>
        <w:spacing w:line="580" w:lineRule="exact"/>
        <w:ind w:firstLine="700" w:firstLineChars="250"/>
        <w:jc w:val="left"/>
        <w:rPr>
          <w:rFonts w:ascii="仿宋_GB2312" w:eastAsia="仿宋_GB2312"/>
          <w:sz w:val="28"/>
          <w:szCs w:val="28"/>
        </w:rPr>
      </w:pPr>
      <w:r>
        <w:rPr>
          <w:rFonts w:hint="eastAsia" w:ascii="仿宋_GB2312" w:eastAsia="仿宋_GB2312"/>
          <w:sz w:val="28"/>
          <w:szCs w:val="28"/>
        </w:rPr>
        <w:t>1、“城乡社区支出”（类）2022年度决算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“城市公用事业附加及对应专项债务收入安排的支出”（款）2022年度决算</w:t>
      </w:r>
      <w:r>
        <w:rPr>
          <w:rFonts w:ascii="仿宋_GB2312" w:eastAsia="仿宋_GB2312"/>
          <w:sz w:val="28"/>
          <w:szCs w:val="28"/>
        </w:rPr>
        <w:t>2941.07</w:t>
      </w:r>
      <w:r>
        <w:rPr>
          <w:rFonts w:hint="eastAsia" w:ascii="仿宋_GB2312" w:eastAsia="仿宋_GB2312"/>
          <w:sz w:val="28"/>
          <w:szCs w:val="28"/>
        </w:rPr>
        <w:t>15万元，比2022年度年初预算增加</w:t>
      </w:r>
      <w:r>
        <w:rPr>
          <w:rFonts w:ascii="仿宋_GB2312" w:eastAsia="仿宋_GB2312"/>
          <w:sz w:val="28"/>
          <w:szCs w:val="28"/>
        </w:rPr>
        <w:t>2941.07</w:t>
      </w:r>
      <w:r>
        <w:rPr>
          <w:rFonts w:hint="eastAsia" w:ascii="仿宋_GB2312" w:eastAsia="仿宋_GB2312"/>
          <w:sz w:val="28"/>
          <w:szCs w:val="28"/>
        </w:rPr>
        <w:t>15万元。主要原因：</w:t>
      </w:r>
      <w:r>
        <w:rPr>
          <w:rFonts w:hint="eastAsia" w:ascii="仿宋_GB2312" w:hAnsi="仿宋" w:eastAsia="仿宋_GB2312"/>
          <w:sz w:val="28"/>
          <w:szCs w:val="32"/>
        </w:rPr>
        <w:t>丰台区档案馆工程建设</w:t>
      </w:r>
      <w:r>
        <w:rPr>
          <w:rFonts w:hint="eastAsia" w:ascii="仿宋_GB2312" w:eastAsia="仿宋_GB2312"/>
          <w:sz w:val="28"/>
          <w:szCs w:val="28"/>
        </w:rPr>
        <w:t>。</w:t>
      </w:r>
    </w:p>
    <w:p>
      <w:pPr>
        <w:numPr>
          <w:ilvl w:val="0"/>
          <w:numId w:val="1"/>
        </w:numPr>
        <w:spacing w:line="580" w:lineRule="exact"/>
        <w:ind w:firstLine="548" w:firstLineChars="196"/>
        <w:rPr>
          <w:rFonts w:ascii="黑体" w:eastAsia="黑体"/>
          <w:b/>
          <w:sz w:val="28"/>
          <w:szCs w:val="28"/>
        </w:rPr>
      </w:pPr>
      <w:r>
        <w:rPr>
          <w:rFonts w:hint="eastAsia" w:ascii="黑体" w:eastAsia="黑体"/>
          <w:b/>
          <w:sz w:val="28"/>
          <w:szCs w:val="28"/>
        </w:rPr>
        <w:t>国有资本经营预算财政拨款收支情况</w:t>
      </w:r>
    </w:p>
    <w:p>
      <w:pPr>
        <w:spacing w:line="560" w:lineRule="exact"/>
        <w:ind w:firstLine="420" w:firstLineChars="150"/>
        <w:rPr>
          <w:rFonts w:ascii="黑体" w:eastAsia="黑体"/>
          <w:b/>
          <w:sz w:val="28"/>
          <w:szCs w:val="28"/>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rPr>
        <w:t>。</w:t>
      </w:r>
    </w:p>
    <w:p>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2022年使用一般公共预算财政拨款安排基本支出</w:t>
      </w:r>
      <w:r>
        <w:rPr>
          <w:rFonts w:ascii="仿宋_GB2312" w:eastAsia="仿宋_GB2312"/>
          <w:sz w:val="28"/>
          <w:szCs w:val="28"/>
        </w:rPr>
        <w:t>6483.0</w:t>
      </w:r>
      <w:r>
        <w:rPr>
          <w:rFonts w:hint="eastAsia" w:ascii="仿宋_GB2312" w:eastAsia="仿宋_GB2312"/>
          <w:sz w:val="28"/>
          <w:szCs w:val="28"/>
        </w:rPr>
        <w:t>277万元，使用政府性基金财政拨款安排基本支出0.0万元，其中：（1）工资福利支出包括基本工资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“三公”经费包括本部门/单位所属</w:t>
      </w:r>
      <w:r>
        <w:rPr>
          <w:rFonts w:hint="eastAsia" w:ascii="仿宋_GB2312" w:eastAsia="仿宋_GB2312"/>
          <w:bCs/>
          <w:sz w:val="28"/>
          <w:szCs w:val="28"/>
        </w:rPr>
        <w:t>0</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rPr>
        <w:t>1个</w:t>
      </w:r>
      <w:r>
        <w:rPr>
          <w:rFonts w:hint="eastAsia" w:ascii="仿宋_GB2312" w:eastAsia="仿宋_GB2312"/>
          <w:sz w:val="28"/>
          <w:szCs w:val="28"/>
        </w:rPr>
        <w:t>事业单位。2022年“三公”经费财政拨款决算数961.1721万元，比2022年“三公”经费财政拨款年初预算1050.6600万元减少89.4879万元。其中：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2022年决算数0.0万元，比2022年年初预算数0.0万元增加0.0万元。主要原因：我单位本年度无此项任务；2022年因公出国（境）费用主要用于……等方面（需列示主要出国的会议、培训等事项），2022年组织因公出国（境）团组0个、0人次，人均因公出国（境）费用0.0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2.公务接待费。2022年决算数0.0万元，比2022年年初预算数0.0万元增加0.0万元。主要原因：未发生公务接待。2022年公务接待费主要用于……（主要接待事项）。公务接待0批次，公务接待0人次。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2022年决算数961.1721万元，比2022年年初预算数1050.6600万元减少89.4879万元。其中，公务用车购置费2022年决算数195.2400万元，比2022年年初预算数0.0万元增加195.2400万元。主要原因：全区行政事业单位2022年公务车辆更新购置经费，2022年购置（更新）18辆，车均购置费10.8467万元。公务用车运行维护费2022年决算数765.9321万元，比2022年年初预算数1050.6600万元减少284.7279万元，主要原因：严格落实八项规定，进一步加强公务用车管理，公务用车改革车辆报废更新，压缩公用经费支出。2022年公务用车运行维护费中，公务用车加油320.0800万元，公务用车维修281.9339万元，公务用车保险106.2314万元，公务用车其他支出57.6868万元。2022年公务用车保有量447辆，车均运行维护费1.7118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本部门不属于机关运行经费统计范围。</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2022年政府采购支出总额3395.5797万元，其中：政府采购货物支出440.5545万元，政府采购工程支出1787.1556万元，政府采购服务支出1167.8696万元。授予中小企业合同金额3177.5217万元，占政府采购支出总额的93.58%，其中：授予小微企业合同金额1820.1387万元，占政府采购支出总额的53.60%。</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28"/>
          <w:szCs w:val="28"/>
        </w:rPr>
      </w:pPr>
      <w:r>
        <w:rPr>
          <w:rFonts w:hint="eastAsia" w:ascii="仿宋_GB2312" w:eastAsia="仿宋_GB2312"/>
          <w:sz w:val="28"/>
          <w:szCs w:val="28"/>
        </w:rPr>
        <w:t>2022年车辆447台，6927.6368万元；单位价值100万元（含）以上的设备13台（套）。</w:t>
      </w:r>
    </w:p>
    <w:p>
      <w:pPr>
        <w:ind w:firstLine="560" w:firstLineChars="200"/>
        <w:jc w:val="left"/>
        <w:rPr>
          <w:rFonts w:ascii="仿宋_GB2312" w:eastAsia="仿宋_GB2312"/>
          <w:color w:val="000000"/>
          <w:sz w:val="32"/>
          <w:szCs w:val="32"/>
        </w:rPr>
      </w:pPr>
      <w:r>
        <w:rPr>
          <w:rFonts w:hint="eastAsia" w:ascii="黑体" w:eastAsia="黑体"/>
          <w:sz w:val="28"/>
          <w:szCs w:val="28"/>
        </w:rPr>
        <w:t>五、</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ascii="仿宋_GB2312" w:eastAsia="仿宋_GB2312"/>
          <w:sz w:val="28"/>
          <w:szCs w:val="28"/>
        </w:rPr>
      </w:pPr>
      <w:r>
        <w:rPr>
          <w:rFonts w:hint="eastAsia" w:ascii="仿宋_GB2312" w:eastAsia="仿宋_GB2312"/>
          <w:sz w:val="28"/>
          <w:szCs w:val="28"/>
        </w:rPr>
        <w:t>6.一般公共服务支出（类）政府办公厅（室）及相关机构事务（款）机关服务（项）：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ind w:firstLine="560" w:firstLineChars="200"/>
        <w:rPr>
          <w:rFonts w:ascii="仿宋_GB2312" w:eastAsia="仿宋_GB2312"/>
          <w:sz w:val="28"/>
          <w:szCs w:val="28"/>
        </w:rPr>
      </w:pPr>
      <w:r>
        <w:rPr>
          <w:rFonts w:hint="eastAsia" w:ascii="仿宋_GB2312" w:eastAsia="仿宋_GB2312"/>
          <w:sz w:val="28"/>
          <w:szCs w:val="28"/>
        </w:rPr>
        <w:t>7.一般公共服务支出（类）政府办公厅（室）及相关机构事务（款）事业运行（项）：反映事业单位的基本支出，不包括行政单位（包括实行公务员管理的事业单位）后勤服务中心、医务室等附属事业单位。</w:t>
      </w:r>
    </w:p>
    <w:p>
      <w:pPr>
        <w:ind w:firstLine="560" w:firstLineChars="200"/>
        <w:rPr>
          <w:rFonts w:ascii="仿宋_GB2312" w:eastAsia="仿宋_GB2312"/>
          <w:sz w:val="28"/>
          <w:szCs w:val="28"/>
        </w:rPr>
      </w:pPr>
      <w:r>
        <w:rPr>
          <w:rFonts w:hint="eastAsia" w:ascii="仿宋_GB2312" w:eastAsia="仿宋_GB2312"/>
          <w:sz w:val="28"/>
          <w:szCs w:val="28"/>
        </w:rPr>
        <w:t>8.一般公共服务支出（类）政府办公厅（室）及相关机构事务（款）其他政府办公厅（室）及相关机构事务支出（项）：反映除上述项目以外的其他政府办公厅（室）及相关机构事务支出。</w:t>
      </w:r>
    </w:p>
    <w:p>
      <w:pPr>
        <w:ind w:firstLine="560" w:firstLineChars="200"/>
        <w:rPr>
          <w:rFonts w:ascii="仿宋_GB2312" w:eastAsia="仿宋_GB2312"/>
          <w:sz w:val="28"/>
          <w:szCs w:val="28"/>
        </w:rPr>
      </w:pPr>
      <w:r>
        <w:rPr>
          <w:rFonts w:hint="eastAsia" w:ascii="仿宋_GB2312" w:eastAsia="仿宋_GB2312"/>
          <w:sz w:val="28"/>
          <w:szCs w:val="28"/>
        </w:rPr>
        <w:t>9.一般公共服务支出（类）档案事务（款）档案馆（项）：反映中央和地方各级档案馆的支出，包括档案资料征集，档案抢救、保护、编纂、修复、现代化管理，档案信息资源开发、提供、利用，档案馆设备购置、维护，档案陈列展览等方面的支出。</w:t>
      </w:r>
    </w:p>
    <w:p>
      <w:pPr>
        <w:ind w:firstLine="560" w:firstLineChars="200"/>
        <w:rPr>
          <w:rFonts w:ascii="仿宋_GB2312" w:eastAsia="仿宋_GB2312"/>
          <w:sz w:val="28"/>
          <w:szCs w:val="28"/>
        </w:rPr>
      </w:pPr>
      <w:r>
        <w:rPr>
          <w:rFonts w:hint="eastAsia" w:ascii="仿宋_GB2312" w:eastAsia="仿宋_GB2312"/>
          <w:sz w:val="28"/>
          <w:szCs w:val="28"/>
        </w:rPr>
        <w:t>10.一般公共服务支出（类）组织事务（款）其他组织事务支出（项）：反映除上述项目以外其他用于中国共产党组织部门的事务支出。</w:t>
      </w:r>
    </w:p>
    <w:p>
      <w:pPr>
        <w:ind w:firstLine="560" w:firstLineChars="200"/>
        <w:rPr>
          <w:rFonts w:ascii="仿宋_GB2312" w:eastAsia="仿宋_GB2312"/>
          <w:sz w:val="28"/>
          <w:szCs w:val="28"/>
        </w:rPr>
      </w:pPr>
      <w:r>
        <w:rPr>
          <w:rFonts w:hint="eastAsia" w:ascii="仿宋_GB2312" w:eastAsia="仿宋_GB2312"/>
          <w:sz w:val="28"/>
          <w:szCs w:val="28"/>
        </w:rPr>
        <w:t>11.一般公共服务支出（类）其他共产党事务支出（款）其他共产党事务支出（项）：反映除上述项目以外其他用于中国共产党事务的支出。</w:t>
      </w:r>
    </w:p>
    <w:p>
      <w:pPr>
        <w:ind w:firstLine="560" w:firstLineChars="200"/>
        <w:rPr>
          <w:rFonts w:ascii="仿宋_GB2312" w:eastAsia="仿宋_GB2312"/>
          <w:sz w:val="28"/>
          <w:szCs w:val="28"/>
        </w:rPr>
      </w:pPr>
      <w:r>
        <w:rPr>
          <w:rFonts w:hint="eastAsia" w:ascii="仿宋_GB2312" w:eastAsia="仿宋_GB2312"/>
          <w:sz w:val="28"/>
          <w:szCs w:val="28"/>
        </w:rPr>
        <w:t>12.文化旅游体育与传媒支出（类）文化和旅游（款）其他文化和旅游支出（项）：反映除上述项目以外其他用于其他文化和旅游方面的事务支出。</w:t>
      </w:r>
    </w:p>
    <w:p>
      <w:pPr>
        <w:ind w:firstLine="560" w:firstLineChars="200"/>
        <w:rPr>
          <w:rFonts w:ascii="仿宋_GB2312" w:eastAsia="仿宋_GB2312"/>
          <w:sz w:val="28"/>
          <w:szCs w:val="28"/>
        </w:rPr>
      </w:pPr>
      <w:r>
        <w:rPr>
          <w:rFonts w:hint="eastAsia" w:ascii="仿宋_GB2312" w:eastAsia="仿宋_GB2312"/>
          <w:sz w:val="28"/>
          <w:szCs w:val="28"/>
        </w:rPr>
        <w:t>13.社会保障和就业支出（类）行政事业单位养老支出（款）行政单位离退休（项）：反映行政单位（包括实行公务员管理的事业单位）开支的离退休经费。</w:t>
      </w:r>
    </w:p>
    <w:p>
      <w:pPr>
        <w:ind w:firstLine="560" w:firstLineChars="200"/>
        <w:rPr>
          <w:rFonts w:ascii="仿宋_GB2312" w:eastAsia="仿宋_GB2312"/>
          <w:sz w:val="28"/>
          <w:szCs w:val="28"/>
        </w:rPr>
      </w:pPr>
      <w:r>
        <w:rPr>
          <w:rFonts w:hint="eastAsia" w:ascii="仿宋_GB2312" w:eastAsia="仿宋_GB2312"/>
          <w:sz w:val="28"/>
          <w:szCs w:val="28"/>
        </w:rPr>
        <w:t>14.社会保障和就业支出（类）行政事业单位养老支出（款）事业单位离退休（项）：反映事业单位开支的离退休经费。</w:t>
      </w:r>
    </w:p>
    <w:p>
      <w:pPr>
        <w:ind w:firstLine="560" w:firstLineChars="200"/>
        <w:rPr>
          <w:rFonts w:ascii="仿宋_GB2312" w:eastAsia="仿宋_GB2312"/>
          <w:sz w:val="28"/>
          <w:szCs w:val="28"/>
        </w:rPr>
      </w:pPr>
      <w:r>
        <w:rPr>
          <w:rFonts w:hint="eastAsia" w:ascii="仿宋_GB2312" w:eastAsia="仿宋_GB2312"/>
          <w:sz w:val="28"/>
          <w:szCs w:val="28"/>
        </w:rPr>
        <w:t>15.社会保障和就业支出（类）行政事业单位养老支出（款）机关事业单位基本养老保险缴费支出（项）：反映机关事业单位实施养老保险制度由单位缴纳的基本养老保险费支出。</w:t>
      </w:r>
    </w:p>
    <w:p>
      <w:pPr>
        <w:ind w:firstLine="560" w:firstLineChars="200"/>
        <w:rPr>
          <w:rFonts w:ascii="仿宋_GB2312" w:eastAsia="仿宋_GB2312"/>
          <w:sz w:val="28"/>
          <w:szCs w:val="28"/>
        </w:rPr>
      </w:pPr>
      <w:r>
        <w:rPr>
          <w:rFonts w:hint="eastAsia" w:ascii="仿宋_GB2312" w:eastAsia="仿宋_GB2312"/>
          <w:sz w:val="28"/>
          <w:szCs w:val="28"/>
        </w:rPr>
        <w:t>16.社会保障和就业支出（类）行政事业单位养老支出（款）机关事业单位职业年金缴费支出（项）：反映机关事业单位实施养老保险制度由单位实际缴纳的职业年金支出。</w:t>
      </w:r>
    </w:p>
    <w:p>
      <w:pPr>
        <w:ind w:firstLine="560" w:firstLineChars="200"/>
        <w:rPr>
          <w:rFonts w:ascii="仿宋_GB2312" w:eastAsia="仿宋_GB2312"/>
          <w:sz w:val="28"/>
          <w:szCs w:val="28"/>
        </w:rPr>
      </w:pPr>
      <w:r>
        <w:rPr>
          <w:rFonts w:hint="eastAsia" w:ascii="仿宋_GB2312" w:eastAsia="仿宋_GB2312"/>
          <w:sz w:val="28"/>
          <w:szCs w:val="28"/>
        </w:rPr>
        <w:t>17.卫生健康支出（类）公共卫生（款）突发公共卫生事件应急处理（项）：反映用于突发公共卫生事件应急处理的支出。</w:t>
      </w:r>
    </w:p>
    <w:p>
      <w:pPr>
        <w:ind w:firstLine="560" w:firstLineChars="200"/>
        <w:rPr>
          <w:rFonts w:ascii="仿宋_GB2312" w:eastAsia="仿宋_GB2312"/>
          <w:sz w:val="28"/>
          <w:szCs w:val="28"/>
        </w:rPr>
      </w:pPr>
      <w:r>
        <w:rPr>
          <w:rFonts w:hint="eastAsia" w:ascii="仿宋_GB2312" w:eastAsia="仿宋_GB2312"/>
          <w:sz w:val="28"/>
          <w:szCs w:val="28"/>
        </w:rPr>
        <w:t>18.城乡社区支出（类）城乡社区公共设施（款）其他城乡社区公共设施支出（项）：反映除上述项目以外其他用于城乡社区公共设施方面的支出。</w:t>
      </w:r>
    </w:p>
    <w:p>
      <w:pPr>
        <w:ind w:firstLine="560" w:firstLineChars="200"/>
        <w:rPr>
          <w:rFonts w:ascii="仿宋_GB2312" w:eastAsia="仿宋_GB2312"/>
          <w:sz w:val="28"/>
          <w:szCs w:val="28"/>
        </w:rPr>
      </w:pPr>
      <w:r>
        <w:rPr>
          <w:rFonts w:hint="eastAsia" w:ascii="仿宋_GB2312" w:eastAsia="仿宋_GB2312"/>
          <w:sz w:val="28"/>
          <w:szCs w:val="28"/>
        </w:rPr>
        <w:t>19.城乡社区支出（类）国有土地使用权出让收入安排的支出（款）征地和拆迁补偿支出（项）：反映新疆生产建设兵团和地方政府在征地和收购土地过程中支付的土地补偿费、安置补助费、地上附着和青苗补偿费、拆迁补偿费支出。</w:t>
      </w:r>
    </w:p>
    <w:p>
      <w:pPr>
        <w:ind w:firstLine="560" w:firstLineChars="200"/>
        <w:rPr>
          <w:rFonts w:ascii="仿宋_GB2312" w:eastAsia="仿宋_GB2312"/>
          <w:sz w:val="28"/>
          <w:szCs w:val="28"/>
        </w:rPr>
      </w:pPr>
      <w:r>
        <w:rPr>
          <w:rFonts w:hint="eastAsia" w:ascii="仿宋_GB2312" w:eastAsia="仿宋_GB2312"/>
          <w:sz w:val="28"/>
          <w:szCs w:val="28"/>
        </w:rPr>
        <w:t>20.城乡社区支出（类）国有土地使用权出让收入安排的支出（款）城市建设支出（项）：反映土地出让收入用于完善国有土地使用功能的配套设施建设和城市基础设施建设支出。</w:t>
      </w:r>
    </w:p>
    <w:p>
      <w:pPr>
        <w:ind w:firstLine="560" w:firstLineChars="200"/>
        <w:rPr>
          <w:rFonts w:ascii="仿宋_GB2312" w:eastAsia="仿宋_GB2312"/>
          <w:sz w:val="28"/>
          <w:szCs w:val="28"/>
        </w:rPr>
      </w:pPr>
      <w:r>
        <w:rPr>
          <w:rFonts w:hint="eastAsia" w:ascii="仿宋_GB2312" w:eastAsia="仿宋_GB2312"/>
          <w:sz w:val="28"/>
          <w:szCs w:val="28"/>
        </w:rPr>
        <w:t>21.住房保障支出（类）住房改革支出（款）住房公积金（项）：反映行政事业单位按人力资源和社会保障部、财政部规定的基本工资和津贴补贴以及规定比例为职工缴纳的住房公积金。</w:t>
      </w:r>
    </w:p>
    <w:p>
      <w:pPr>
        <w:ind w:firstLine="560" w:firstLineChars="200"/>
        <w:rPr>
          <w:rFonts w:ascii="仿宋_GB2312" w:eastAsia="仿宋_GB2312"/>
          <w:sz w:val="28"/>
          <w:szCs w:val="28"/>
        </w:rPr>
      </w:pPr>
      <w:r>
        <w:rPr>
          <w:rFonts w:hint="eastAsia" w:ascii="仿宋_GB2312" w:eastAsia="仿宋_GB2312"/>
          <w:sz w:val="28"/>
          <w:szCs w:val="28"/>
        </w:rPr>
        <w:t>22.住房保障支出（类）住房改革支出（款）购房补贴（项）：反映按房改政策规定，行政事业单位向符合条件职工（含离退休人员）、军队（含武警）向转役复员离退休人员发放的用于购买住房的补贴。</w:t>
      </w:r>
    </w:p>
    <w:p>
      <w:pPr>
        <w:ind w:firstLine="640" w:firstLineChars="200"/>
        <w:jc w:val="left"/>
        <w:rPr>
          <w:rFonts w:ascii="黑体" w:eastAsia="黑体"/>
          <w:sz w:val="32"/>
          <w:szCs w:val="32"/>
        </w:rPr>
      </w:pPr>
    </w:p>
    <w:p>
      <w:pPr>
        <w:ind w:firstLine="640" w:firstLineChars="200"/>
        <w:jc w:val="center"/>
        <w:rPr>
          <w:rFonts w:ascii="仿宋_GB2312" w:eastAsia="仿宋_GB2312"/>
          <w:sz w:val="28"/>
          <w:szCs w:val="28"/>
        </w:rPr>
      </w:pPr>
      <w:r>
        <w:rPr>
          <w:rFonts w:hint="eastAsia" w:ascii="黑体" w:eastAsia="黑体"/>
          <w:sz w:val="32"/>
          <w:szCs w:val="32"/>
        </w:rPr>
        <w:t>第四部分  2022年度部门绩效评价情况</w:t>
      </w:r>
    </w:p>
    <w:p>
      <w:pPr>
        <w:ind w:firstLine="560" w:firstLineChars="200"/>
        <w:rPr>
          <w:rFonts w:ascii="黑体" w:eastAsia="黑体"/>
          <w:sz w:val="28"/>
          <w:szCs w:val="28"/>
        </w:rPr>
      </w:pPr>
      <w:r>
        <w:rPr>
          <w:rFonts w:hint="eastAsia" w:ascii="仿宋_GB2312" w:eastAsia="仿宋_GB2312"/>
          <w:sz w:val="28"/>
          <w:szCs w:val="28"/>
        </w:rPr>
        <w:t>（部门填写以下一、二、三部分，二级单位仅填写三）</w:t>
      </w:r>
    </w:p>
    <w:p>
      <w:pPr>
        <w:numPr>
          <w:ilvl w:val="0"/>
          <w:numId w:val="2"/>
        </w:numPr>
        <w:spacing w:line="580" w:lineRule="exact"/>
        <w:ind w:firstLine="560" w:firstLineChars="200"/>
        <w:rPr>
          <w:rFonts w:ascii="黑体" w:eastAsia="黑体"/>
          <w:sz w:val="28"/>
          <w:szCs w:val="28"/>
        </w:rPr>
      </w:pPr>
      <w:r>
        <w:rPr>
          <w:rFonts w:hint="eastAsia" w:ascii="黑体" w:eastAsia="黑体"/>
          <w:sz w:val="28"/>
          <w:szCs w:val="28"/>
        </w:rPr>
        <w:t>部门整体绩效评价报告</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rPr>
        <w:t>（</w:t>
      </w:r>
      <w:r>
        <w:rPr>
          <w:rFonts w:hint="eastAsia" w:ascii="仿宋_GB2312" w:hAnsi="仿宋_GB2312" w:eastAsia="仿宋_GB2312" w:cs="仿宋_GB2312"/>
          <w:color w:val="000000"/>
          <w:kern w:val="0"/>
          <w:sz w:val="28"/>
          <w:szCs w:val="28"/>
        </w:rPr>
        <w:t>一）部门概况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1.机构设置及职责工作任务情况</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为正处级全额拨款事业单位，共包含事业单位1个。内设职能科室21个，包括：党建办公室、办公室、人事教育培训科、财务科、固定资产管理科、安全保卫科、机要通讯管理科、膳食科、基建房管科、服务科、医务保健科、审计科、节能科、管理一科、管理二科、管理三科、管理四科、管理五科、管理六科、管理七科、管理八科。</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我中心单位职责工作任务情况概述如下：</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2022年，区机关事务管理服务中心紧紧围绕全区中心工作，着眼新形势、新特点、新任务、新要求，坚持稳字当头、稳中求进的总体工作思路，统筹推进党的建设、重点任务、主责业务、日常管理等工作有序、高效、协调发展，为区经济社会高质量发展和机关单位高效运行提供有力支撑。</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1、始终把党建工作放在突出位置，政治思想建设的根基更加坚实。</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抓实党的理论学习宣传。政治理论学习教育贯穿全年，每月制定党支部学习计划，加强对党员干部的政治引领和思想教育。带领全体党员深入研读领会党的二十大、市第十三次党代会和区委全会等重要会议精神，</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成员率先撰写二十大报告读书笔记和心得体会，开展学习交流，引导全体党员把思想和行动统一到二十大精神上来，并紧密结合工作实际，提高认识、锤炼本领，激发干事创业热情。</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持续夯实党建工作责任。年初制定了党组抓党建工作责任清单、班子成员抓分管科室党建工作责任清单，逐级推动落实“一岗双责”的党建工作责任体系。完成5个党支部的换届选举，配齐支部班子成员。严格落实民主生活会、组织生活会等党内政治生活制度。健全管党治党机制，修改完善《领导班子民主生活会制度》、《党组</w:t>
      </w:r>
      <w:r>
        <w:rPr>
          <w:rFonts w:hint="eastAsia" w:ascii="仿宋_GB2312" w:hAnsi="仿宋" w:eastAsia="仿宋_GB2312"/>
          <w:sz w:val="28"/>
          <w:szCs w:val="32"/>
          <w:lang w:eastAsia="zh-CN"/>
        </w:rPr>
        <w:t>理论学习中心组</w:t>
      </w:r>
      <w:r>
        <w:rPr>
          <w:rFonts w:hint="eastAsia" w:ascii="仿宋_GB2312" w:hAnsi="仿宋" w:eastAsia="仿宋_GB2312"/>
          <w:sz w:val="28"/>
          <w:szCs w:val="32"/>
        </w:rPr>
        <w:t>学习制度》等7项制度，稳固用制度规范和推动党建工作的良好局面。</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落实全面从严治党主体责任。制定全面从严治党主体责任“问题清单”和“整改清单”，认真履行党组主体责任、书记第一责任人责任和班子成员“一岗双责”，层层抓落实。按照《廉政风险点防控措施》，对重点岗位、重点人员，定期进行廉政提醒，强化管理监督。组织召开2022年全面从严治党（党建）工作推进会及警示教育大会，反复进行节前纪律提醒，督促广大党员干部绷紧纪律红线、守牢“廉节”底线。</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持续抓好巡察问题整改。自觉提高政治站位，接受巡察监督，完成十三届区委第一轮巡察工作。针对巡察反馈的意见，通过党组集中研究、职能科室对标认领等方式，对问题进行逐一梳理，系统梳理问题清单，剖析内在原因，延伸开展更深层次的自查自纠，制定切实可行的整改方案，持续做好整改落实，保证了巡察取得更深更实的效果。</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2、紧紧围绕全区性重点工作，服务支撑大局的特殊作用更加突出。</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积极投身防疫工作大局。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常抓各办公区疫情防控。根据区疫情防控要求，动态调整办公区疫情防控措施，先后落实进入办公区检查“四件套”、食堂错峰隔座就餐、安装“疫情防控电子哨兵”等防控措施。12月，优化防控“二十条”实行后，精准掌握干部感染情况，采取错时、压茬到岗等措施，保证业务工作的基本运行和干部职工的身体健康。截至12月底，中心已有85%的干部职工感染新冠后恢复，各项工作步入正轨。</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完成系列专项任务保障。严密组织中央、市、区各级的重要活动保障，较好完成1500名干部参加重要活动后勤保障，冬残奥会观众集结疏散工作后勤保障，蔡奇书记赴丰台街道检查调研、国家卫健委和市防疫工作组调研指导、国际服贸会内宾接待、第二轮市环保督察，以及区党代会、区委全会等重要活动的服务保障，为区冬奥会和冬残奥会、疫情防控、大数据等专班专组，提供住宿、用餐、会议、用车等任务，得到活动组织方和服务保障对象的充分肯定。</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认真做好审计问题整改。根据区委区政府关于市审计整改工作的统一部署，牵头落实、协调推进行政事业单位租赁、出租出借房屋和公务用车使用管理2项问题的整改，统筹协调相关单位开展统计调查、建账摸底、系统梳理，经区政府批准后印发了《党政机关办公用房管理实施办法（试行）》《党政机关公务用车管理办法》等制度性文件，形成规范管理的长效机制，按照要求完成审计整改问题的销账。</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高质量受理“接诉即办”。深入学习《北京市接诉即办工作条例》《北京市接诉即办考评实施办法》，针对区政务服务中心、文化中心等群众办事的重点区域，保安、保洁、维修等容易涉诉的重点岗位，以及群众咨询、引导群众落实防疫要求等重点环节，开展预先研究，形成化解矛盾、回应诉求的流程和标准，全年受理“接诉即办”57件，实现了“三率”达标，以高效回应群众诉求树立了区委区政府良好形象。</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3、聚焦主责业务下真功夫，服务保障规范化、精细化的成色更足。</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膳食服务质量提升明显。贯彻落实《反食品浪费法》，超额完成30%的就餐补贴用于购买扶贫农副产品的目标任务。积极对接机关伙食管理委员会，先后推出增加早餐糕点2种、小吃1种，午餐凉菜2种、小吃2种，以及在区委区政府和纪委办公区推行火锅就餐服务等提升措施，受到了干部职工的普遍欢迎和认可。全年共保障9个办公区5000余名干部职工用餐143.5万余人次，为各专班专组送餐6000余人次，为防疫部门配送加班宵夜食品16批次。</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公车管理保障更加有力。以安全、节约、规范、高效为原则，强化集中管理，充分发挥平台优势，通过完善车辆建档、健全管理制度等措施，实现对449辆公务车辆的有效管控和快速响应。对全区党政机关公车使用管理情况进行了2次专项检查，通报了4个方面的10类问题。全年保障运输、应急、调研和老干部用车6.79万车次，执法用车5.92万车次，安全行车210万公里，运行保障费用节约30%。</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基建房管工作高效推进。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机要通信保障及时到位。实现132个区属机要交换单位“一卡通”自助交换，全年完成机要信件交换3.91万件，被国家机要交换站评为机要交换工作先进单位。对9个集中办公区通讯设备及线路进行3次大检修，全年总机受理查询业务8360次，新安装电话60部，移机、查修1510部，办理登记、变更业务46件，高效保证了通信联络畅通。</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财务工作开展平稳有序。完成统管单位2021年财务决算编报、2022年资金支出及财务核算、财务报告编制、2023年预算编报审核，以及38家行政及参公单位机关运行成本统计等工作。配合财政、审计及纪检等部门对6家财务统管单位的审计、巡察和专项检查。年内审核预算用款计划3331笔，完成国库集中支付业务5076笔、10.57亿元。</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6）认真做好固定资产管理。进一步规范固定资产管理的相关流程，认真组织办公设备、家具采购，及时开展资产调拨、报废工作，提高资产使用效益。年内完成资产调拨1298件，报废961件，专项采购985件。截至2022年12月25日，统管固定资产增加2917件、1510.46万元，减少2259件、2401.6万元，净值2.88亿元。</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7）积极协调解决停车难题。9月份，协调丽泽控股和太平桥街道，为丽泽办公区建成了5000平方米、可容纳300辆的停车场，有效缓解了干部职工停车难的问题，并会同太平桥街道，探索与附近居民共享停车的模式办法，实现使用效益的增值。10月份，为区委区政府办公区升级重装充电桩27套，有效解决了办公区电动汽车充电桩老旧、数量少、充电慢的问题，为干部职工提供更多的工作便利。</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4、狠抓日常管理和内部建设，持续向上向好的发展态势更加稳固。</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制度建设持续完善。根据机关事务工作新的实践经验，充分考虑未来面临的新形势、新任务，全面梳理修订内部规章制度，汇编成册、严格落实，进一步规范了各项工作的步骤流程，保证高效运转。特别是对批转、承办的文件和事项，优化形成全程督办的流程，刚性落实时限和标准要求，确保工作在每个节点都有人督、有人干。</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干部队伍不断优化。站在适应区高质量发展需要的层面，综合多种方式，加大优秀人才的引进，优化梯次结构，建强干部队伍。年内选拔任用科级领导干部8名，进一步充实建强中坚力量。社会招聘、择优调入6人，扩大90后新生力量。组织参加区委组织部、宣传部、人保局、工会等专项培训，丰富干部知识储备，提高干部综合素养和专业能力。</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保密工作扎实有效。按照区统一要求，推进电子公文系统安全可靠应用全面替代项目。彻底清理微信工作群，全面推广“京办”智能政务办公平台，使用率达到100%。严格落实涉密计算机、文件资料管理规定，加强对干部职工和聘用人员的保密教育，做到上网信息不涉密、不涉敏感信息，保证了保密工作不留死角、取得实效。</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2.部门整体绩效目标设立情况（包括绩效目标设立依据、目标与职责任务匹配情况、目标合理性等）。</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北京市丰台区机关事务管理服务中心部门职能主要为：承担丰台区委、区人大、区政府、区政协、区纪监委及所辖9个办公区的后勤管理和服务保障工作。</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依据我中心各项主要职能设立部门整体绩效目标。具体目标为：</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1．贯彻执行党和国家的行政后勤管理政策，按照上级工作部署和规定，制定本中心工作规划、年度计划以及各项规章制度并组织实施。</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2．主要负责机关财务，固定资产，物资设备，环境秩序，会务收发，安全保卫，机要通讯，公务用车，就餐服务，医疗保健，办公用品的采购、管理及发放，办公设施设备配备、采购和报废，办公区办公用房规划、建设、改造、调配、物业和维修管理，土地证和房产证管理。</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3．负责除教育、卫生系统，检察院、法院，街道、乡镇以外，其它丰台区党政群机关和直属事业单位办公用房产权归属、房屋使用情况的统计、登记工作，并提出办公用房的规划、建设和调配使用意见。</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4．负责机关节约能源管理工作，会同有关部门制定规划、规章制度并组织实施；组织开展能耗统计、监测和评价考核工作；参与推动公共机构节能。</w:t>
      </w:r>
    </w:p>
    <w:p>
      <w:pPr>
        <w:spacing w:line="560" w:lineRule="exact"/>
        <w:ind w:firstLine="560" w:firstLineChars="200"/>
        <w:rPr>
          <w:rFonts w:hint="eastAsia" w:ascii="仿宋_GB2312" w:hAnsi="仿宋" w:eastAsia="仿宋_GB2312"/>
          <w:sz w:val="28"/>
          <w:szCs w:val="32"/>
        </w:rPr>
      </w:pPr>
      <w:r>
        <w:rPr>
          <w:rFonts w:hint="eastAsia" w:ascii="仿宋_GB2312" w:hAnsi="仿宋" w:eastAsia="仿宋_GB2312"/>
          <w:sz w:val="28"/>
          <w:szCs w:val="32"/>
        </w:rPr>
        <w:t>5．承办区委、区政府交办的其他工作。</w:t>
      </w:r>
    </w:p>
    <w:p>
      <w:pPr>
        <w:spacing w:line="560" w:lineRule="exact"/>
        <w:ind w:firstLine="560" w:firstLineChars="200"/>
        <w:rPr>
          <w:rFonts w:hint="eastAsia" w:ascii="仿宋_GB2312" w:hAnsi="宋体" w:eastAsia="仿宋_GB2312" w:cs="宋体"/>
          <w:color w:val="000000"/>
          <w:kern w:val="0"/>
          <w:sz w:val="28"/>
          <w:szCs w:val="32"/>
        </w:rPr>
      </w:pPr>
      <w:r>
        <w:rPr>
          <w:rFonts w:hint="eastAsia" w:ascii="仿宋_GB2312" w:hAnsi="仿宋" w:eastAsia="仿宋_GB2312"/>
          <w:sz w:val="28"/>
          <w:szCs w:val="32"/>
        </w:rPr>
        <w:t>我中心目标与职责任务能够相互匹配，目标设置具有充分合理性。</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（二）当年预算执行情况</w:t>
      </w: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2022年</w:t>
      </w:r>
      <w:r>
        <w:rPr>
          <w:rFonts w:ascii="仿宋_GB2312" w:hAnsi="仿宋_GB2312" w:eastAsia="仿宋_GB2312" w:cs="仿宋_GB2312"/>
          <w:color w:val="000000"/>
          <w:kern w:val="0"/>
          <w:sz w:val="28"/>
          <w:szCs w:val="28"/>
        </w:rPr>
        <w:t>全年</w:t>
      </w:r>
      <w:r>
        <w:rPr>
          <w:rFonts w:hint="eastAsia" w:ascii="仿宋_GB2312" w:hAnsi="仿宋_GB2312" w:eastAsia="仿宋_GB2312" w:cs="仿宋_GB2312"/>
          <w:color w:val="000000"/>
          <w:kern w:val="0"/>
          <w:sz w:val="28"/>
          <w:szCs w:val="28"/>
        </w:rPr>
        <w:t>预算数54852.61万元</w:t>
      </w:r>
      <w:r>
        <w:rPr>
          <w:rFonts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rPr>
        <w:t>其中</w:t>
      </w:r>
      <w:r>
        <w:rPr>
          <w:rFonts w:ascii="仿宋_GB2312" w:hAnsi="仿宋_GB2312" w:eastAsia="仿宋_GB2312" w:cs="仿宋_GB2312"/>
          <w:color w:val="000000"/>
          <w:kern w:val="0"/>
          <w:sz w:val="28"/>
          <w:szCs w:val="28"/>
        </w:rPr>
        <w:t>，基本</w:t>
      </w:r>
      <w:r>
        <w:rPr>
          <w:rFonts w:hint="eastAsia" w:ascii="仿宋_GB2312" w:hAnsi="仿宋_GB2312" w:eastAsia="仿宋_GB2312" w:cs="仿宋_GB2312"/>
          <w:color w:val="000000"/>
          <w:kern w:val="0"/>
          <w:sz w:val="28"/>
          <w:szCs w:val="28"/>
        </w:rPr>
        <w:t>支出</w:t>
      </w:r>
      <w:r>
        <w:rPr>
          <w:rFonts w:ascii="仿宋_GB2312" w:hAnsi="仿宋_GB2312" w:eastAsia="仿宋_GB2312" w:cs="仿宋_GB2312"/>
          <w:color w:val="000000"/>
          <w:kern w:val="0"/>
          <w:sz w:val="28"/>
          <w:szCs w:val="28"/>
        </w:rPr>
        <w:t>预算数</w:t>
      </w:r>
      <w:r>
        <w:rPr>
          <w:rFonts w:hint="eastAsia" w:ascii="仿宋_GB2312" w:hAnsi="仿宋_GB2312" w:eastAsia="仿宋_GB2312" w:cs="仿宋_GB2312"/>
          <w:color w:val="000000"/>
          <w:kern w:val="0"/>
          <w:sz w:val="28"/>
          <w:szCs w:val="28"/>
        </w:rPr>
        <w:t>6568.40</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项目支出预算数48281.36</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预算数2.85</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w:t>
      </w:r>
      <w:r>
        <w:rPr>
          <w:rFonts w:ascii="仿宋_GB2312" w:hAnsi="仿宋_GB2312" w:eastAsia="仿宋_GB2312" w:cs="仿宋_GB2312"/>
          <w:color w:val="000000"/>
          <w:kern w:val="0"/>
          <w:sz w:val="28"/>
          <w:szCs w:val="28"/>
        </w:rPr>
        <w:t>资金总体</w:t>
      </w:r>
      <w:r>
        <w:rPr>
          <w:rFonts w:hint="eastAsia" w:ascii="仿宋_GB2312" w:hAnsi="仿宋_GB2312" w:eastAsia="仿宋_GB2312" w:cs="仿宋_GB2312"/>
          <w:color w:val="000000"/>
          <w:kern w:val="0"/>
          <w:sz w:val="28"/>
          <w:szCs w:val="28"/>
        </w:rPr>
        <w:t>支出54751.08</w:t>
      </w:r>
      <w:r>
        <w:rPr>
          <w:rFonts w:ascii="仿宋_GB2312" w:hAnsi="仿宋_GB2312" w:eastAsia="仿宋_GB2312" w:cs="仿宋_GB2312"/>
          <w:color w:val="000000"/>
          <w:kern w:val="0"/>
          <w:sz w:val="28"/>
          <w:szCs w:val="28"/>
        </w:rPr>
        <w:t>万元，其中，基本支出</w:t>
      </w:r>
      <w:r>
        <w:rPr>
          <w:rFonts w:hint="eastAsia" w:ascii="仿宋_GB2312" w:hAnsi="仿宋_GB2312" w:eastAsia="仿宋_GB2312" w:cs="仿宋_GB2312"/>
          <w:color w:val="000000"/>
          <w:kern w:val="0"/>
          <w:sz w:val="28"/>
          <w:szCs w:val="28"/>
        </w:rPr>
        <w:t>6483.03</w:t>
      </w:r>
      <w:r>
        <w:rPr>
          <w:rFonts w:ascii="仿宋_GB2312" w:hAnsi="仿宋_GB2312" w:eastAsia="仿宋_GB2312" w:cs="仿宋_GB2312"/>
          <w:color w:val="000000"/>
          <w:kern w:val="0"/>
          <w:sz w:val="28"/>
          <w:szCs w:val="28"/>
        </w:rPr>
        <w:t>万元，项目</w:t>
      </w:r>
      <w:r>
        <w:rPr>
          <w:rFonts w:hint="eastAsia" w:ascii="仿宋_GB2312" w:hAnsi="仿宋_GB2312" w:eastAsia="仿宋_GB2312" w:cs="仿宋_GB2312"/>
          <w:color w:val="000000"/>
          <w:kern w:val="0"/>
          <w:sz w:val="28"/>
          <w:szCs w:val="28"/>
        </w:rPr>
        <w:t>支出48266.51</w:t>
      </w:r>
      <w:r>
        <w:rPr>
          <w:rFonts w:ascii="仿宋_GB2312" w:hAnsi="仿宋_GB2312" w:eastAsia="仿宋_GB2312" w:cs="仿宋_GB2312"/>
          <w:color w:val="000000"/>
          <w:kern w:val="0"/>
          <w:sz w:val="28"/>
          <w:szCs w:val="28"/>
        </w:rPr>
        <w:t>万元，其他支出</w:t>
      </w:r>
      <w:r>
        <w:rPr>
          <w:rFonts w:hint="eastAsia" w:ascii="仿宋_GB2312" w:hAnsi="仿宋_GB2312" w:eastAsia="仿宋_GB2312" w:cs="仿宋_GB2312"/>
          <w:color w:val="000000"/>
          <w:kern w:val="0"/>
          <w:sz w:val="28"/>
          <w:szCs w:val="28"/>
        </w:rPr>
        <w:t>1.54</w:t>
      </w:r>
      <w:r>
        <w:rPr>
          <w:rFonts w:ascii="仿宋_GB2312" w:hAnsi="仿宋_GB2312" w:eastAsia="仿宋_GB2312" w:cs="仿宋_GB2312"/>
          <w:color w:val="000000"/>
          <w:kern w:val="0"/>
          <w:sz w:val="28"/>
          <w:szCs w:val="28"/>
        </w:rPr>
        <w:t>万元。</w:t>
      </w:r>
      <w:r>
        <w:rPr>
          <w:rFonts w:hint="eastAsia" w:ascii="仿宋_GB2312" w:hAnsi="仿宋_GB2312" w:eastAsia="仿宋_GB2312" w:cs="仿宋_GB2312"/>
          <w:color w:val="000000"/>
          <w:kern w:val="0"/>
          <w:sz w:val="28"/>
          <w:szCs w:val="28"/>
        </w:rPr>
        <w:t>预算</w:t>
      </w:r>
      <w:r>
        <w:rPr>
          <w:rFonts w:ascii="仿宋_GB2312" w:hAnsi="仿宋_GB2312" w:eastAsia="仿宋_GB2312" w:cs="仿宋_GB2312"/>
          <w:color w:val="000000"/>
          <w:kern w:val="0"/>
          <w:sz w:val="28"/>
          <w:szCs w:val="28"/>
        </w:rPr>
        <w:t>执行率为</w:t>
      </w:r>
      <w:r>
        <w:rPr>
          <w:rFonts w:hint="eastAsia" w:ascii="仿宋_GB2312" w:hAnsi="仿宋_GB2312" w:eastAsia="仿宋_GB2312" w:cs="仿宋_GB2312"/>
          <w:color w:val="000000"/>
          <w:kern w:val="0"/>
          <w:sz w:val="28"/>
          <w:szCs w:val="28"/>
        </w:rPr>
        <w:t>99.81%。</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（三）整体绩效目标实现情况</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1.产出完成情况分析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（1）产出数量</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认真履行中心职能，以“管理、服务、保障”为工作目标。创新服务理念，加强队伍建设，扎实推进机关事务管理工作高效开展，</w:t>
      </w:r>
      <w:r>
        <w:rPr>
          <w:rFonts w:ascii="仿宋_GB2312" w:hAnsi="宋体" w:eastAsia="仿宋_GB2312" w:cs="宋体"/>
          <w:color w:val="000000"/>
          <w:kern w:val="0"/>
          <w:sz w:val="28"/>
          <w:szCs w:val="28"/>
        </w:rPr>
        <w:t>全年产出数量均</w:t>
      </w:r>
      <w:r>
        <w:rPr>
          <w:rFonts w:hint="eastAsia" w:ascii="仿宋_GB2312" w:hAnsi="宋体" w:eastAsia="仿宋_GB2312" w:cs="宋体"/>
          <w:color w:val="000000"/>
          <w:kern w:val="0"/>
          <w:sz w:val="28"/>
          <w:szCs w:val="28"/>
        </w:rPr>
        <w:t>已</w:t>
      </w:r>
      <w:r>
        <w:rPr>
          <w:rFonts w:ascii="仿宋_GB2312" w:hAnsi="宋体" w:eastAsia="仿宋_GB2312" w:cs="宋体"/>
          <w:color w:val="000000"/>
          <w:kern w:val="0"/>
          <w:sz w:val="28"/>
          <w:szCs w:val="28"/>
        </w:rPr>
        <w:t>满足</w:t>
      </w:r>
      <w:r>
        <w:rPr>
          <w:rFonts w:hint="eastAsia" w:ascii="仿宋_GB2312" w:hAnsi="宋体" w:eastAsia="仿宋_GB2312" w:cs="宋体"/>
          <w:color w:val="000000"/>
          <w:kern w:val="0"/>
          <w:sz w:val="28"/>
          <w:szCs w:val="28"/>
        </w:rPr>
        <w:t>各</w:t>
      </w:r>
      <w:r>
        <w:rPr>
          <w:rFonts w:ascii="仿宋_GB2312" w:hAnsi="宋体" w:eastAsia="仿宋_GB2312" w:cs="宋体"/>
          <w:color w:val="000000"/>
          <w:kern w:val="0"/>
          <w:sz w:val="28"/>
          <w:szCs w:val="28"/>
        </w:rPr>
        <w:t>项</w:t>
      </w:r>
      <w:r>
        <w:rPr>
          <w:rFonts w:hint="eastAsia" w:ascii="仿宋_GB2312" w:hAnsi="宋体" w:eastAsia="仿宋_GB2312" w:cs="宋体"/>
          <w:color w:val="000000"/>
          <w:kern w:val="0"/>
          <w:sz w:val="28"/>
          <w:szCs w:val="28"/>
        </w:rPr>
        <w:t>机关办公区</w:t>
      </w:r>
      <w:r>
        <w:rPr>
          <w:rFonts w:ascii="仿宋_GB2312" w:hAnsi="宋体" w:eastAsia="仿宋_GB2312" w:cs="宋体"/>
          <w:color w:val="000000"/>
          <w:kern w:val="0"/>
          <w:sz w:val="28"/>
          <w:szCs w:val="28"/>
        </w:rPr>
        <w:t>后勤管理和服务保障工作。</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（2）产出质量</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牢固树立大局意识，主动融入区重点任务、大项工作，重点围绕疫情防控、政务服务中心搬迁、行政区划调整、节约型机关创建、创卫、重要活动保障、重点基建项目等方面下实功、求实效，支撑区经济社会高质量发展。</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（3）产出进度</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以服务全区中心工作、树立丰台良好形象为出发点和落脚点，对担负的例行性、临时性重大活动保障任务，制定</w:t>
      </w:r>
      <w:r>
        <w:rPr>
          <w:rFonts w:ascii="仿宋_GB2312" w:hAnsi="宋体" w:eastAsia="仿宋_GB2312" w:cs="宋体"/>
          <w:color w:val="000000"/>
          <w:kern w:val="0"/>
          <w:sz w:val="28"/>
          <w:szCs w:val="28"/>
        </w:rPr>
        <w:t>周密计划，考虑各环节的时间节点，力求保障重要工作任务的完成进度。</w:t>
      </w:r>
      <w:r>
        <w:rPr>
          <w:rFonts w:hint="eastAsia" w:ascii="仿宋_GB2312" w:hAnsi="宋体" w:eastAsia="仿宋_GB2312" w:cs="宋体"/>
          <w:color w:val="000000"/>
          <w:kern w:val="0"/>
          <w:sz w:val="28"/>
          <w:szCs w:val="28"/>
        </w:rPr>
        <w:t>先后按时完成冬残奥会活动、联防联控机制综合组北京工作组、疫情专班、区党代会、区“两会”等保障任务。</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（4）产出成本</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宋体" w:eastAsia="仿宋_GB2312" w:cs="宋体"/>
          <w:color w:val="000000"/>
          <w:kern w:val="0"/>
          <w:sz w:val="28"/>
          <w:szCs w:val="28"/>
        </w:rPr>
        <w:t>为实现相关任务目标的投入控制在预算范围内，支出费用严格控制在财政资金支出标准范围内。</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2.效果实现情况分析</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（1）经济效益</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以安全、节约、规范、高效为原则，强化集中管理，充分发挥平台优势，通过完善车辆建档、健全管理制度等措施，实现对449辆公务车辆的有效管控和快速响应。全年保障运输、应急、调研和老干部用车6.79万车次，执法用车5.92万车次，安全行车210万公里，运行保障费用节约30%。</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（2）社会效益</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在北京出现疫情反复的特殊时期，先后组织干部下沉13批次，及时支援王佐镇7个村10个点位、5个社区的核酸检测，以及4个社区16个点位的卡口值守等工作，累计下沉干部1644人次，完成电子围栏流调2000余人次。11月，派出精干力量进驻区疫情防控8小时指挥指挥部，为指挥部运行提供后勤保障，支撑我区疫情防控大局。</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（3）环境效益</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按照市机关事务管理局要求，对9个集中办公区，以及54个独立办公的委办局、185个办公地址的办公用房面积、房屋性质、建设年代、权属情况等信息进行了统计汇总。按计划推进档案馆新馆建设，完成文体路6号、七里庄18号、市场监督管理局办公用房的修缮改造并投入使用。全年开展零维修项目85项，物业维修1900余次，保证了办公用房使用需求。</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（4）可持续性影响</w:t>
      </w:r>
    </w:p>
    <w:p>
      <w:pPr>
        <w:spacing w:line="5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协调丽泽控股和太平桥街道，为丽泽办公区建成了5000平方米、可容纳300辆的停车场，有效缓解了干部职工停车难的问题，并会同太平桥街道，探索与附近居民共享停车的模式办法，实现使用效益的增值。为区委区政府办公区升级重装充电桩27套，有效解决了办公区电动汽车充电桩老旧、数量少、充电慢的问题，为干部职工提供更多的工作便利。</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（5）服务对象满意度</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确保中心所辖各办公区区域环境保持干净、卫生，营造良好的工作环境。保障机关办公区运转正常，提供令各单位满意的后勤服务，机关运行服务保障满意度≥96%。</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（四）预算管理情况分析</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1.财务管理</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（1）财务管理制度健全性</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为规范财务统管单位的财务行为，加强财务统管单位财务管理和监督，依据《中华人民共和国会计法》、《中华人民共和国预算法》、《政府会计准则</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、《政府会计制度</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等有关法律法规，制定并执行《机关事务管理服务中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财务统管单位财务管理办法》等。</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（2）资金使用合规性和安全性</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严格执行财经法律和制度规定，加强资金管理，规范支付程序，确保财政资金安全规范，专款专用。切实做好厉行节约工作，将过紧日子作为我中</w:t>
      </w:r>
      <w:r>
        <w:rPr>
          <w:rFonts w:ascii="仿宋_GB2312" w:hAnsi="宋体" w:eastAsia="仿宋_GB2312" w:cs="宋体"/>
          <w:color w:val="000000"/>
          <w:kern w:val="0"/>
          <w:sz w:val="28"/>
          <w:szCs w:val="28"/>
        </w:rPr>
        <w:t>心</w:t>
      </w:r>
      <w:r>
        <w:rPr>
          <w:rFonts w:hint="eastAsia" w:ascii="仿宋_GB2312" w:hAnsi="宋体" w:eastAsia="仿宋_GB2312" w:cs="宋体"/>
          <w:color w:val="000000"/>
          <w:kern w:val="0"/>
          <w:sz w:val="28"/>
          <w:szCs w:val="28"/>
        </w:rPr>
        <w:t>预算管理长期坚持的基本方针，严控一般性支出，努力降低行政运行成本。严格执行公务接待费、差旅费、会议费和培训费审核审批程序，加强对公务用车的管理，做到一事一审批、一事一结账。会议费和培训费严格按年初计划和制度规定的标准执行，“三公”经费较好地控制在预算范围之内。</w:t>
      </w:r>
    </w:p>
    <w:p>
      <w:pPr>
        <w:spacing w:line="580" w:lineRule="exact"/>
        <w:ind w:left="105" w:leftChars="50" w:firstLine="420" w:firstLineChars="15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（3）会计基础信息完善性</w:t>
      </w:r>
    </w:p>
    <w:p>
      <w:pPr>
        <w:spacing w:line="560" w:lineRule="exact"/>
        <w:ind w:left="105" w:leftChars="50" w:firstLine="420" w:firstLineChars="15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建立健全并认真执行《机关事务管理服务中心财务统管单位财务管理办法》，认真贯彻执行《会计法》、《政府会计准则》、《政府会计制度》等财经法律、法规和国家统一的会计制度，进行会计核算，实行会计监督。按规定设置会计账簿，正确使用会计科目，及时记账，坚决抵制伪造、变造、故意毁损会计凭证及账簿行为，做到账证、账账、账表、账实相符。按时编报年终决算，在各财务统管单位确认后，及时报送区财政局。严格执行预算和财务计划，依法对各单位收支进行会计监督，保证提供的会计信息合法、真实、准确、及时、完整。按时</w:t>
      </w:r>
      <w:r>
        <w:rPr>
          <w:rFonts w:ascii="仿宋_GB2312" w:hAnsi="宋体" w:eastAsia="仿宋_GB2312" w:cs="宋体"/>
          <w:color w:val="000000"/>
          <w:kern w:val="0"/>
          <w:sz w:val="28"/>
          <w:szCs w:val="28"/>
        </w:rPr>
        <w:t>完成</w:t>
      </w:r>
      <w:r>
        <w:rPr>
          <w:rFonts w:hint="eastAsia" w:ascii="仿宋_GB2312" w:hAnsi="宋体" w:eastAsia="仿宋_GB2312" w:cs="宋体"/>
          <w:color w:val="000000"/>
          <w:kern w:val="0"/>
          <w:sz w:val="28"/>
          <w:szCs w:val="28"/>
        </w:rPr>
        <w:t>会计凭证、账簿、报表及其他会计资料的立卷、建档工作。</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2.资产管理</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严格执行固定资产管理各项规定和流程，做到按标准供给、按规定采购、按预算支出、按要求保障。2022年内统管固定资产增加</w:t>
      </w:r>
      <w:r>
        <w:rPr>
          <w:rFonts w:ascii="仿宋_GB2312" w:eastAsia="仿宋_GB2312"/>
          <w:sz w:val="28"/>
          <w:szCs w:val="32"/>
        </w:rPr>
        <w:t>2917</w:t>
      </w:r>
      <w:r>
        <w:rPr>
          <w:rFonts w:hint="eastAsia" w:ascii="仿宋_GB2312" w:eastAsia="仿宋_GB2312"/>
          <w:sz w:val="28"/>
          <w:szCs w:val="32"/>
        </w:rPr>
        <w:t>件、0.</w:t>
      </w:r>
      <w:r>
        <w:rPr>
          <w:rFonts w:ascii="仿宋_GB2312" w:eastAsia="仿宋_GB2312"/>
          <w:sz w:val="28"/>
          <w:szCs w:val="32"/>
        </w:rPr>
        <w:t>1510</w:t>
      </w:r>
      <w:r>
        <w:rPr>
          <w:rFonts w:hint="eastAsia" w:ascii="仿宋_GB2312" w:eastAsia="仿宋_GB2312"/>
          <w:sz w:val="28"/>
          <w:szCs w:val="32"/>
        </w:rPr>
        <w:t>亿元，减少</w:t>
      </w:r>
      <w:r>
        <w:rPr>
          <w:rFonts w:ascii="仿宋_GB2312" w:eastAsia="仿宋_GB2312"/>
          <w:sz w:val="28"/>
          <w:szCs w:val="32"/>
        </w:rPr>
        <w:t>2259</w:t>
      </w:r>
      <w:r>
        <w:rPr>
          <w:rFonts w:hint="eastAsia" w:ascii="仿宋_GB2312" w:eastAsia="仿宋_GB2312"/>
          <w:sz w:val="28"/>
          <w:szCs w:val="32"/>
        </w:rPr>
        <w:t>件、0.</w:t>
      </w:r>
      <w:r>
        <w:rPr>
          <w:rFonts w:ascii="仿宋_GB2312" w:eastAsia="仿宋_GB2312"/>
          <w:sz w:val="28"/>
          <w:szCs w:val="32"/>
        </w:rPr>
        <w:t>240</w:t>
      </w:r>
      <w:r>
        <w:rPr>
          <w:rFonts w:hint="eastAsia" w:ascii="仿宋_GB2312" w:eastAsia="仿宋_GB2312"/>
          <w:sz w:val="28"/>
          <w:szCs w:val="32"/>
        </w:rPr>
        <w:t>2亿元。截止至2022年12月25日，固定资产原值为4.8756亿元，折旧2.2766亿元，净值2.5990亿元。无形资产原值为0.4779亿元，摊销0.1752亿元，净值0.3027亿元。</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3.绩效管理</w:t>
      </w:r>
    </w:p>
    <w:p>
      <w:pPr>
        <w:spacing w:line="580" w:lineRule="exact"/>
        <w:ind w:left="105" w:leftChars="50" w:firstLine="420" w:firstLineChars="150"/>
        <w:rPr>
          <w:rFonts w:ascii="仿宋_GB2312" w:eastAsia="仿宋_GB2312"/>
          <w:sz w:val="28"/>
          <w:szCs w:val="32"/>
        </w:rPr>
      </w:pPr>
      <w:r>
        <w:rPr>
          <w:rFonts w:hint="eastAsia" w:ascii="仿宋_GB2312" w:eastAsia="仿宋_GB2312"/>
          <w:sz w:val="28"/>
          <w:szCs w:val="32"/>
        </w:rPr>
        <w:t>为贯彻落实《中共北京市委北京市人民政府关于全面实施预算绩效管理的实施意见》（京发〔2019〕12号）的精神，进一步推动财政资金科学化、精细化管理，提高预算资金的使用效益，按照《北京市丰台区预算绩效目标管理办法》（丰财绩效〔2021〕2514号）、《北京市丰台区项目支出绩效评价管理办法》（丰财绩效〔2021〕2526号）等相关文件的要求，我中心成立全过程绩效评价领导小组，负责协调、处理、决定全过程绩效评价工作中的重大事项，研究解决工作中遇到的重大问题。领导小组由财务主管领导任组长，各科室负责人为成员。领导小组由财务科牵头，负责全过程绩效评价工作的具体组织，组织开展审核绩效目标、绩效跟踪管理、绩效目标完成监督、绩效评价等具体工作，协调工作中出现的问题，联系区财政及相关绩效管理部门；主责业务科室和办公室等部门重点配合，按照资料清单要求出具相关材料；其余各资金使用管理科室协同配合。2023年3月完成我中心部门绩效自评工作，形成《项目支出绩效评价报告》1份、《项目支出绩效自评表》64份、《事后绩效自评统计表》1份及《部门及单位自评项目明细表》1份。</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4.结转结余率</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结转结余率=年终结转结余额÷调整预算数×100% 。</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2022年度结转结余率=</w:t>
      </w:r>
      <w:r>
        <w:rPr>
          <w:rFonts w:ascii="仿宋_GB2312" w:eastAsia="仿宋_GB2312"/>
          <w:sz w:val="28"/>
          <w:szCs w:val="32"/>
        </w:rPr>
        <w:t>101</w:t>
      </w:r>
      <w:r>
        <w:rPr>
          <w:rFonts w:hint="eastAsia" w:ascii="仿宋_GB2312" w:eastAsia="仿宋_GB2312"/>
          <w:sz w:val="28"/>
          <w:szCs w:val="32"/>
        </w:rPr>
        <w:t>.</w:t>
      </w:r>
      <w:r>
        <w:rPr>
          <w:rFonts w:ascii="仿宋_GB2312" w:eastAsia="仿宋_GB2312"/>
          <w:sz w:val="28"/>
          <w:szCs w:val="32"/>
        </w:rPr>
        <w:t>53</w:t>
      </w:r>
      <w:r>
        <w:rPr>
          <w:rFonts w:hint="eastAsia" w:ascii="仿宋_GB2312" w:eastAsia="仿宋_GB2312"/>
          <w:sz w:val="28"/>
          <w:szCs w:val="32"/>
        </w:rPr>
        <w:t>万元÷</w:t>
      </w:r>
      <w:r>
        <w:rPr>
          <w:rFonts w:ascii="仿宋_GB2312" w:eastAsia="仿宋_GB2312"/>
          <w:sz w:val="28"/>
          <w:szCs w:val="32"/>
        </w:rPr>
        <w:t>54852</w:t>
      </w:r>
      <w:r>
        <w:rPr>
          <w:rFonts w:hint="eastAsia" w:ascii="仿宋_GB2312" w:eastAsia="仿宋_GB2312"/>
          <w:sz w:val="28"/>
          <w:szCs w:val="32"/>
        </w:rPr>
        <w:t>.</w:t>
      </w:r>
      <w:r>
        <w:rPr>
          <w:rFonts w:ascii="仿宋_GB2312" w:eastAsia="仿宋_GB2312"/>
          <w:sz w:val="28"/>
          <w:szCs w:val="32"/>
        </w:rPr>
        <w:t>60</w:t>
      </w:r>
      <w:r>
        <w:rPr>
          <w:rFonts w:hint="eastAsia" w:ascii="仿宋_GB2312" w:eastAsia="仿宋_GB2312"/>
          <w:sz w:val="28"/>
          <w:szCs w:val="32"/>
        </w:rPr>
        <w:t>万元×100%=0.19%。</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5.部门预决算差异率</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部门预决算差异率=1-年度预算执行率</w:t>
      </w:r>
    </w:p>
    <w:p>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2022年度部门预决算差异率=1-</w:t>
      </w:r>
      <w:r>
        <w:rPr>
          <w:rFonts w:hint="eastAsia" w:ascii="仿宋_GB2312" w:hAnsi="宋体" w:eastAsia="仿宋_GB2312" w:cs="宋体"/>
          <w:color w:val="000000"/>
          <w:kern w:val="0"/>
          <w:sz w:val="28"/>
          <w:szCs w:val="32"/>
        </w:rPr>
        <w:t>99.81%</w:t>
      </w:r>
      <w:r>
        <w:rPr>
          <w:rFonts w:hint="eastAsia" w:ascii="仿宋_GB2312" w:eastAsia="仿宋_GB2312"/>
          <w:sz w:val="28"/>
          <w:szCs w:val="32"/>
        </w:rPr>
        <w:t>=0.19%，按照财政预算要求,属于合理范围（小于等于3.0%）。</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（五）总体评价结论</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1.评价得分情况</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依据我中心设立的部门整体绩效目标及绩效指标，依次对应检查目标和指标的完成情况，绩效评价领导小组打分为98分。</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2.存在的问题及原因分析</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1、绩效目标应进一步优化；</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2、项目立项前预算编制应进一步精细化；</w:t>
      </w:r>
    </w:p>
    <w:p>
      <w:pPr>
        <w:spacing w:line="560" w:lineRule="exact"/>
        <w:ind w:left="105" w:leftChars="50" w:firstLine="420" w:firstLineChars="150"/>
        <w:rPr>
          <w:rFonts w:ascii="仿宋_GB2312" w:eastAsia="仿宋_GB2312"/>
          <w:sz w:val="28"/>
          <w:szCs w:val="32"/>
        </w:rPr>
      </w:pPr>
      <w:r>
        <w:rPr>
          <w:rFonts w:hint="eastAsia" w:ascii="仿宋_GB2312" w:eastAsia="仿宋_GB2312"/>
          <w:sz w:val="28"/>
          <w:szCs w:val="32"/>
        </w:rPr>
        <w:t>3、项目的过程性管理应进一步规范化；</w:t>
      </w:r>
    </w:p>
    <w:p>
      <w:pPr>
        <w:spacing w:line="560" w:lineRule="exact"/>
        <w:ind w:left="105" w:leftChars="50" w:firstLine="420" w:firstLineChars="150"/>
        <w:rPr>
          <w:rFonts w:ascii="楷体_GB2312" w:eastAsia="楷体_GB2312"/>
          <w:sz w:val="28"/>
          <w:szCs w:val="32"/>
        </w:rPr>
      </w:pPr>
      <w:r>
        <w:rPr>
          <w:rFonts w:hint="eastAsia" w:ascii="仿宋_GB2312" w:eastAsia="仿宋_GB2312"/>
          <w:sz w:val="28"/>
          <w:szCs w:val="32"/>
        </w:rPr>
        <w:t>4、项目的满意度调查维度及方式应进一步标准化。</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（六）措施建议（整改措施、下一步工作举措）</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1．细化预算编制工作，认真做好预算的编制。</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w:t>
      </w:r>
      <w:r>
        <w:rPr>
          <w:rFonts w:ascii="仿宋_GB2312" w:eastAsia="仿宋_GB2312"/>
          <w:sz w:val="28"/>
          <w:szCs w:val="32"/>
        </w:rPr>
        <w:t>科</w:t>
      </w:r>
      <w:r>
        <w:rPr>
          <w:rFonts w:hint="eastAsia" w:ascii="仿宋_GB2312" w:eastAsia="仿宋_GB2312"/>
          <w:sz w:val="28"/>
          <w:szCs w:val="32"/>
        </w:rPr>
        <w:t>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2．继续强化绩效理念，深入推进评价工作。</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进一步加强各科室绩效管理理念，将“要我评价”的被动认识转化为“我要评价”的主动实践，健全完善评价机制，切实加强组织领导，深入推进评价工作，提升整体绩效管理水平。持续</w:t>
      </w:r>
      <w:r>
        <w:rPr>
          <w:rFonts w:ascii="仿宋_GB2312" w:eastAsia="仿宋_GB2312"/>
          <w:sz w:val="28"/>
          <w:szCs w:val="32"/>
        </w:rPr>
        <w:t>学习与绩效</w:t>
      </w:r>
      <w:r>
        <w:rPr>
          <w:rFonts w:hint="eastAsia" w:ascii="仿宋_GB2312" w:eastAsia="仿宋_GB2312"/>
          <w:sz w:val="28"/>
          <w:szCs w:val="32"/>
        </w:rPr>
        <w:t>目标</w:t>
      </w:r>
      <w:r>
        <w:rPr>
          <w:rFonts w:ascii="仿宋_GB2312" w:eastAsia="仿宋_GB2312"/>
          <w:sz w:val="28"/>
          <w:szCs w:val="32"/>
        </w:rPr>
        <w:t>设立相关的</w:t>
      </w:r>
      <w:r>
        <w:rPr>
          <w:rFonts w:hint="eastAsia" w:ascii="仿宋_GB2312" w:eastAsia="仿宋_GB2312"/>
          <w:sz w:val="28"/>
          <w:szCs w:val="32"/>
        </w:rPr>
        <w:t>方式</w:t>
      </w:r>
      <w:r>
        <w:rPr>
          <w:rFonts w:ascii="仿宋_GB2312" w:eastAsia="仿宋_GB2312"/>
          <w:sz w:val="28"/>
          <w:szCs w:val="32"/>
        </w:rPr>
        <w:t>方法，持续优化绩效目标与绩效指标。</w:t>
      </w:r>
      <w:r>
        <w:rPr>
          <w:rFonts w:hint="eastAsia" w:ascii="仿宋_GB2312" w:eastAsia="仿宋_GB2312"/>
          <w:sz w:val="28"/>
          <w:szCs w:val="32"/>
        </w:rPr>
        <w:t>继续</w:t>
      </w:r>
      <w:r>
        <w:rPr>
          <w:rFonts w:ascii="仿宋_GB2312" w:eastAsia="仿宋_GB2312"/>
          <w:sz w:val="28"/>
          <w:szCs w:val="32"/>
        </w:rPr>
        <w:t>优化各办公区</w:t>
      </w:r>
      <w:r>
        <w:rPr>
          <w:rFonts w:hint="eastAsia" w:ascii="仿宋_GB2312" w:eastAsia="仿宋_GB2312"/>
          <w:sz w:val="28"/>
          <w:szCs w:val="32"/>
        </w:rPr>
        <w:t>工</w:t>
      </w:r>
      <w:r>
        <w:rPr>
          <w:rFonts w:ascii="仿宋_GB2312" w:eastAsia="仿宋_GB2312"/>
          <w:sz w:val="28"/>
          <w:szCs w:val="32"/>
        </w:rPr>
        <w:t>作人员对我</w:t>
      </w:r>
      <w:r>
        <w:rPr>
          <w:rFonts w:hint="eastAsia" w:ascii="仿宋_GB2312" w:eastAsia="仿宋_GB2312"/>
          <w:sz w:val="28"/>
          <w:szCs w:val="32"/>
        </w:rPr>
        <w:t>中心各</w:t>
      </w:r>
      <w:r>
        <w:rPr>
          <w:rFonts w:ascii="仿宋_GB2312" w:eastAsia="仿宋_GB2312"/>
          <w:sz w:val="28"/>
          <w:szCs w:val="32"/>
        </w:rPr>
        <w:t>项工作满意度的测评方式</w:t>
      </w:r>
      <w:r>
        <w:rPr>
          <w:rFonts w:hint="eastAsia" w:ascii="仿宋_GB2312" w:eastAsia="仿宋_GB2312"/>
          <w:sz w:val="28"/>
          <w:szCs w:val="32"/>
        </w:rPr>
        <w:t>。</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3．继续强化事前准备，提升评价质量。</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在推进自身评价工作开展时，结合评价工作实际，项目实施过程中规范化、严格化，确保绩效评价结果公正、客观、精准、真实反映绩效，如实反映问题，切实提高评价质量。</w:t>
      </w:r>
    </w:p>
    <w:p>
      <w:pPr>
        <w:spacing w:line="560" w:lineRule="exact"/>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．加强财务管理，严格财务审核。</w:t>
      </w:r>
    </w:p>
    <w:p>
      <w:pPr>
        <w:spacing w:line="580" w:lineRule="exact"/>
        <w:ind w:firstLine="560" w:firstLineChars="200"/>
        <w:rPr>
          <w:rFonts w:ascii="仿宋_GB2312" w:eastAsia="仿宋_GB2312"/>
          <w:sz w:val="28"/>
          <w:szCs w:val="32"/>
        </w:rPr>
      </w:pPr>
      <w:r>
        <w:rPr>
          <w:rFonts w:hint="eastAsia" w:ascii="仿宋_GB2312" w:eastAsia="仿宋_GB2312"/>
          <w:sz w:val="28"/>
          <w:szCs w:val="32"/>
        </w:rPr>
        <w:t>加强单位财务管理，健全单位财务管理制度体系，规范单位财务行为。在费用报账支付时，按照预算规定的费用项目和用途进行资金使用审核、列报支付、财务核算，杜绝超支现象的发生。</w:t>
      </w:r>
    </w:p>
    <w:p>
      <w:pPr>
        <w:spacing w:line="580" w:lineRule="exact"/>
        <w:ind w:firstLine="560" w:firstLineChars="200"/>
        <w:rPr>
          <w:rFonts w:ascii="黑体" w:eastAsia="黑体"/>
          <w:sz w:val="28"/>
          <w:szCs w:val="28"/>
        </w:rPr>
      </w:pPr>
      <w:r>
        <w:rPr>
          <w:rFonts w:hint="eastAsia" w:ascii="黑体" w:eastAsia="黑体"/>
          <w:sz w:val="28"/>
          <w:szCs w:val="28"/>
        </w:rPr>
        <w:t>二、项目支出绩效评价报告</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1.项目概况。包括项目背景、主要内容及实施情况、资金投入和使用情况等。</w:t>
      </w:r>
    </w:p>
    <w:p>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1、项目背景</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机构改革后，区融媒体中心正式挂牌，区广电中心与区新闻中心合署办公，并选定七里庄路18号院为区融媒体中心新址。为贯彻落实区委区政府决策部署，加速推进区融媒体中心建设，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8月1日，融媒体中心建设项目（一期）第一阶段开工，主要包括办公楼内外装修、电路改造、监控设施改造等项目，空调布局及食堂改造等项目因方案未能确定，不包含在其中。后空调布局、食堂改造等项目方案确定，融媒体中心建设项目（一期）第二阶段项目于2022年8月1日开始施工并于同年11月22日完成施工。</w:t>
      </w:r>
    </w:p>
    <w:p>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主要内容及实施情况</w:t>
      </w:r>
    </w:p>
    <w:p>
      <w:p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仿宋" w:eastAsia="仿宋_GB2312" w:cs="仿宋"/>
          <w:sz w:val="28"/>
          <w:szCs w:val="32"/>
        </w:rPr>
        <w:t>根据设计方案和施工安排，融媒体中心建设项目（一期）第二阶段改造项目改造面积5136.28平方米，主要包括：食堂改造、门窗更换、屋面防水、空调安装等。2022年2月17日，经区财政局评审中心审定，该项目土建及空调（非政采）工程资金5705375.19元，并同意安排此项资金。2022年7月20日通过公开招标的方式确定了土建施工单位，并于2022年8月1日签订施工合同，正式开始施工。第二阶段改造项目于2022年11月22日完成施工，并通过四方验收合格。</w:t>
      </w:r>
    </w:p>
    <w:p>
      <w:pPr>
        <w:numPr>
          <w:ilvl w:val="0"/>
          <w:numId w:val="3"/>
        </w:numPr>
        <w:spacing w:line="560" w:lineRule="exact"/>
        <w:ind w:firstLine="560" w:firstLineChars="200"/>
        <w:outlineLvl w:val="0"/>
        <w:rPr>
          <w:rFonts w:hint="eastAsia" w:ascii="仿宋_GB2312" w:hAnsi="楷体_GB2312" w:eastAsia="仿宋_GB2312" w:cs="楷体_GB2312"/>
          <w:sz w:val="28"/>
          <w:szCs w:val="32"/>
        </w:rPr>
      </w:pPr>
      <w:r>
        <w:rPr>
          <w:rFonts w:hint="eastAsia" w:ascii="仿宋_GB2312" w:hAnsi="楷体_GB2312" w:eastAsia="仿宋_GB2312" w:cs="楷体_GB2312"/>
          <w:sz w:val="28"/>
          <w:szCs w:val="32"/>
        </w:rPr>
        <w:t>资金投入和使用情况</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丰台区融媒体中心建设项目（一期）第二阶段项目预算批复资金5704785.98元，实际到位资金5704785.98元。</w:t>
      </w:r>
    </w:p>
    <w:p>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设计部分于2021年10月8日签订合同，本次支付款项183320.11元。</w:t>
      </w:r>
    </w:p>
    <w:p>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造价咨询部分于2021年10月9日签订合同，本次支付款项22074.04元。</w:t>
      </w:r>
    </w:p>
    <w:p>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招标代理部分于2022年6月21日签订合同，本次支付款项31789.39元。</w:t>
      </w:r>
    </w:p>
    <w:p>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建设项目部分于2022年8月1日签订合同，本次支付款项5315770.28元。项目建设过程中未发生变更。</w:t>
      </w:r>
    </w:p>
    <w:p>
      <w:pPr>
        <w:numPr>
          <w:ilvl w:val="0"/>
          <w:numId w:val="4"/>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监理项目部分于2022年8月1日签订合同，本次支付款项138871.16元。</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截至2022年11月30日，该项目实际支出5704785.98元，预算执行率100%，剩余资金0元。</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2.项目绩效目标。包括总体目标和阶段性目标。</w:t>
      </w:r>
    </w:p>
    <w:p>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总体目标</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充分合理利用资金，满足融媒体中心及相关单位办公需求，按照项目计划，把控好数量、质量、时效、成本等指标，确保项目保质保量按时完工，完成融媒体中心建设项目（一期）第二阶段项目。</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_GB2312"/>
          <w:sz w:val="28"/>
          <w:szCs w:val="32"/>
        </w:rPr>
        <w:t>在项目开展过程中，为满足区融媒体中心对于办公用房的特殊专业需求，坚持高起点、高标准、高要求，充分借助中央广播电视总台在5G、VR、4K等新兴技术上的行业优势，将互联网工作模式的办公区、全媒体超高清融媒虚拟演播室、5G视听平台、融媒指挥中心、融媒创新产品展示等统一规划建设，打造具有前瞻性的网络视听新技术集成应用平台和互动体验终端，让新技术走进生活，就近就便服务群众。</w:t>
      </w:r>
    </w:p>
    <w:p>
      <w:pPr>
        <w:numPr>
          <w:ilvl w:val="0"/>
          <w:numId w:val="5"/>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阶段性目标</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2021年10月8日签订设计合同，10月22日完成设计工作。</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2021年10月9日签订造价咨询合同，10月23日完成清单及清单预算编制工作。</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2022年2月17日，经区财政局评审中心审定，该项目土建及空调（非政采）工程资金5705375.19元，并同意安排此项资金。</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2022年6月21日签订招标代理合同，7月20日通过公开招标的方式确定土建施工单位。</w:t>
      </w:r>
    </w:p>
    <w:p>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2022年8月1日与施工单位签订合同，正式开始施工。11月22日完成施工，并通过四方验收合格。</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（二）绩效评价工作开展情况</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1.绩效评价目的、对象和范围。</w:t>
      </w:r>
    </w:p>
    <w:p>
      <w:pPr>
        <w:spacing w:line="560" w:lineRule="exact"/>
        <w:ind w:firstLine="560" w:firstLineChars="200"/>
        <w:outlineLvl w:val="0"/>
        <w:rPr>
          <w:rFonts w:ascii="仿宋_GB2312" w:eastAsia="仿宋_GB2312"/>
          <w:bCs/>
          <w:kern w:val="44"/>
          <w:sz w:val="28"/>
          <w:szCs w:val="32"/>
        </w:rPr>
      </w:pPr>
      <w:r>
        <w:rPr>
          <w:rFonts w:hint="eastAsia" w:ascii="仿宋_GB2312" w:eastAsia="仿宋_GB2312"/>
          <w:bCs/>
          <w:kern w:val="44"/>
          <w:sz w:val="28"/>
          <w:szCs w:val="32"/>
        </w:rPr>
        <w:t>该项目评价目的为：一是加强预算绩效管理，强化支出责任，提高财政资金使用效益；二是进一步总结和分析项目资金的实施效果，检验财政支出预期目标实现程度，考核财政支出效率和综合效果；三是为</w:t>
      </w:r>
      <w:r>
        <w:rPr>
          <w:rFonts w:hint="eastAsia" w:ascii="仿宋_GB2312" w:eastAsia="仿宋_GB2312"/>
          <w:sz w:val="28"/>
          <w:szCs w:val="32"/>
        </w:rPr>
        <w:t>丰台</w:t>
      </w:r>
      <w:r>
        <w:rPr>
          <w:rFonts w:hint="eastAsia" w:ascii="仿宋_GB2312" w:eastAsia="仿宋_GB2312"/>
          <w:bCs/>
          <w:kern w:val="44"/>
          <w:sz w:val="28"/>
          <w:szCs w:val="32"/>
        </w:rPr>
        <w:t>机关事务中心以后相关项目提供参考依据。</w:t>
      </w:r>
    </w:p>
    <w:p>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通过项目绩效评价，进一步加强和规范“丰台区融媒体中心建设项目（一期）第二阶段项目”专项资金管理工作，增强专项资金支出的规范性和合理性，发挥财政资金对“丰台区融媒体中心建设项目（一期）第二阶段项目”的促进和推进作用，提高专项资金支出的效益和效果。</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2.绩效评价原则、评价指标体系（附表说明）、评价方法、评价标准等。</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根据绩效评价的基本原理、评价对象和范围，结合项目特点和绩效目标，确定项目绩效评价指标体系。</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评价人员根据指标体系表、基础表以及问卷调查和访谈取得的资料，对指标体系各个指标进行评价打分。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根据评分情况，评价人员进行分析判断，综合评价项目绩效，得出评价结论。</w:t>
      </w:r>
    </w:p>
    <w:p>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按照逻辑分析法设计评价指标体系表，包括项目决策、项目管理以及项目绩效三部分内容，围绕项目专项资金使用和项目实施的各个环节，体现从投入、过程到产出的绩效逻辑路径，客观分析项目的产出和结果。评价指标体系注重指标的内在逻辑性，评价方法的科学性和可操作性。</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3.绩效评价工作过程。</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前期通过查看相关资料对“丰台区融媒体中心建设项目（一期）第一阶段项目”和</w:t>
      </w:r>
      <w:r>
        <w:rPr>
          <w:rFonts w:hint="eastAsia" w:ascii="仿宋_GB2312" w:hAnsi="仿宋" w:eastAsia="仿宋_GB2312" w:cs="仿宋"/>
          <w:sz w:val="28"/>
          <w:szCs w:val="32"/>
        </w:rPr>
        <w:t>“丰台区融媒体中心建设项目（一期）第二阶段项目”</w:t>
      </w:r>
      <w:r>
        <w:rPr>
          <w:rFonts w:hint="eastAsia" w:ascii="仿宋_GB2312" w:hAnsi="仿宋_GB2312" w:eastAsia="仿宋_GB2312" w:cs="仿宋_GB2312"/>
          <w:sz w:val="28"/>
          <w:szCs w:val="28"/>
        </w:rPr>
        <w:t>的基本情况进行了解后，丰台区机关事务管理中心有关管理人员进行交流、讨论绩效评价工作内容、工作方向和工作方式，了解项目绩效评价工作的相关问题及工作开展的背景、目的等有关内容。通过查阅档案资料、对项目实地考察等初步活动进行基础资料的搜集取证。</w:t>
      </w:r>
    </w:p>
    <w:p>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结合初步了解的情况与绩效评价的有关要求制定详细的工作方案，然后与丰台区融媒体中心及相关单位有关工作人员进行协调沟通确定后续工作开展的具体时间。</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（三）综合评价情况及评价结论（附相关评分表）</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绩效评价工作方案，评价工作组根据项目实施管理及完成情况，对照评分标准，对绩效评价指标逐项进行考察、对比、计算和分析，最终得出项目综合评分为94分，其中“项目决策(A类）”指标得15分，“项目管理（B类）”指标得25分，“项目绩效类（C类）”指标得54分，评分结果属于“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3"/>
        <w:gridCol w:w="2588"/>
        <w:gridCol w:w="1113"/>
        <w:gridCol w:w="6120"/>
        <w:gridCol w:w="136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14"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一级</w:t>
            </w:r>
          </w:p>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指标</w:t>
            </w:r>
          </w:p>
        </w:tc>
        <w:tc>
          <w:tcPr>
            <w:tcW w:w="873"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2588"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二级指标</w:t>
            </w:r>
          </w:p>
        </w:tc>
        <w:tc>
          <w:tcPr>
            <w:tcW w:w="1113"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权重</w:t>
            </w:r>
          </w:p>
        </w:tc>
        <w:tc>
          <w:tcPr>
            <w:tcW w:w="6120"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三级指标</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细化权重</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A项目决策</w:t>
            </w:r>
          </w:p>
        </w:tc>
        <w:tc>
          <w:tcPr>
            <w:tcW w:w="87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项目立项</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A11立项依据充分性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A12项目立项规范性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A2项目目标</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A21绩效目标合理性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A22绩效指标明确性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项目管理</w:t>
            </w:r>
          </w:p>
        </w:tc>
        <w:tc>
          <w:tcPr>
            <w:tcW w:w="87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B1投入管理</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B11预算合规性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B12预算执行率</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B13专款专用率</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2财务</w:t>
            </w:r>
            <w:r>
              <w:rPr>
                <w:rFonts w:ascii="仿宋_GB2312" w:hAnsi="仿宋_GB2312" w:eastAsia="仿宋_GB2312" w:cs="仿宋_GB2312"/>
                <w:sz w:val="28"/>
                <w:szCs w:val="28"/>
              </w:rPr>
              <w:t>管理</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B21财务管理制度健全性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vAlign w:val="center"/>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B22资金使用合规性</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w:t>
            </w:r>
            <w:r>
              <w:rPr>
                <w:rFonts w:hint="eastAsia" w:ascii="仿宋_GB2312" w:hAnsi="仿宋_GB2312" w:eastAsia="仿宋_GB2312" w:cs="仿宋_GB2312"/>
                <w:sz w:val="28"/>
                <w:szCs w:val="28"/>
              </w:rPr>
              <w:t>3项目实施</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B31项目管理制度建设</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B32合同管理情况</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B33招投标执行情况</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w:t>
            </w:r>
            <w:r>
              <w:rPr>
                <w:rFonts w:hint="eastAsia" w:ascii="仿宋_GB2312" w:hAnsi="仿宋_GB2312" w:eastAsia="仿宋_GB2312" w:cs="仿宋_GB2312"/>
                <w:sz w:val="28"/>
                <w:szCs w:val="28"/>
              </w:rPr>
              <w:t>项目绩效</w:t>
            </w:r>
          </w:p>
        </w:tc>
        <w:tc>
          <w:tcPr>
            <w:tcW w:w="87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w:t>
            </w:r>
          </w:p>
        </w:tc>
        <w:tc>
          <w:tcPr>
            <w:tcW w:w="2588" w:type="dxa"/>
            <w:vMerge w:val="restart"/>
            <w:shd w:val="clear" w:color="auto" w:fill="auto"/>
            <w:vAlign w:val="center"/>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项目产出</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40</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C11数量指标：项目改造面积不少于5136平方米</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C12质量指标：项目竣工验收合格</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C13时效指标：确保项目于2022年11月22日前完工</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C14成本指标：项目总经费支出控制在5704785.98元内</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项目效益</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1工作人员工作效率提升</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2楼宇环境满意度</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C2</w:t>
            </w:r>
            <w:r>
              <w:rPr>
                <w:rFonts w:hint="eastAsia" w:ascii="仿宋_GB2312" w:hAnsi="仿宋_GB2312" w:eastAsia="仿宋_GB2312" w:cs="仿宋_GB2312"/>
                <w:sz w:val="28"/>
                <w:szCs w:val="28"/>
              </w:rPr>
              <w:t>3服务设施满意度</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restart"/>
            <w:shd w:val="clear" w:color="auto" w:fill="auto"/>
          </w:tcPr>
          <w:p>
            <w:pPr>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C3可持续和影响力</w:t>
            </w:r>
          </w:p>
        </w:tc>
        <w:tc>
          <w:tcPr>
            <w:tcW w:w="1113" w:type="dxa"/>
            <w:vMerge w:val="restart"/>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C31建立长效</w:t>
            </w:r>
            <w:r>
              <w:rPr>
                <w:rFonts w:hint="eastAsia" w:ascii="仿宋_GB2312" w:hAnsi="仿宋_GB2312" w:eastAsia="仿宋_GB2312" w:cs="仿宋_GB2312"/>
                <w:sz w:val="28"/>
                <w:szCs w:val="28"/>
              </w:rPr>
              <w:t>服务</w:t>
            </w:r>
            <w:r>
              <w:rPr>
                <w:rFonts w:ascii="仿宋_GB2312" w:hAnsi="仿宋_GB2312" w:eastAsia="仿宋_GB2312" w:cs="仿宋_GB2312"/>
                <w:sz w:val="28"/>
                <w:szCs w:val="28"/>
              </w:rPr>
              <w:t>管理制度</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4"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87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2588" w:type="dxa"/>
            <w:vMerge w:val="continue"/>
            <w:shd w:val="clear" w:color="auto" w:fill="auto"/>
          </w:tcPr>
          <w:p>
            <w:pPr>
              <w:snapToGrid w:val="0"/>
              <w:spacing w:line="560" w:lineRule="exact"/>
              <w:rPr>
                <w:rFonts w:hint="eastAsia" w:ascii="仿宋_GB2312" w:hAnsi="仿宋_GB2312" w:eastAsia="仿宋_GB2312" w:cs="仿宋_GB2312"/>
                <w:sz w:val="28"/>
                <w:szCs w:val="28"/>
              </w:rPr>
            </w:pPr>
          </w:p>
        </w:tc>
        <w:tc>
          <w:tcPr>
            <w:tcW w:w="1113" w:type="dxa"/>
            <w:vMerge w:val="continue"/>
            <w:shd w:val="clear" w:color="auto" w:fill="auto"/>
            <w:vAlign w:val="center"/>
          </w:tcPr>
          <w:p>
            <w:pPr>
              <w:snapToGrid w:val="0"/>
              <w:spacing w:line="560" w:lineRule="exact"/>
              <w:jc w:val="center"/>
              <w:rPr>
                <w:rFonts w:hint="eastAsia" w:ascii="仿宋_GB2312" w:hAnsi="仿宋_GB2312" w:eastAsia="仿宋_GB2312" w:cs="仿宋_GB2312"/>
                <w:sz w:val="28"/>
                <w:szCs w:val="28"/>
              </w:rPr>
            </w:pPr>
          </w:p>
        </w:tc>
        <w:tc>
          <w:tcPr>
            <w:tcW w:w="6120" w:type="dxa"/>
            <w:shd w:val="clear" w:color="auto" w:fill="auto"/>
          </w:tcPr>
          <w:p>
            <w:pPr>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C32受益群体满意度</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8" w:type="dxa"/>
            <w:gridSpan w:val="5"/>
            <w:shd w:val="clear" w:color="auto" w:fill="auto"/>
            <w:vAlign w:val="center"/>
          </w:tcPr>
          <w:p>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合计</w:t>
            </w:r>
          </w:p>
        </w:tc>
        <w:tc>
          <w:tcPr>
            <w:tcW w:w="1362" w:type="dxa"/>
            <w:shd w:val="clear" w:color="auto" w:fill="auto"/>
            <w:vAlign w:val="center"/>
          </w:tcPr>
          <w:p>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100</w:t>
            </w:r>
          </w:p>
        </w:tc>
        <w:tc>
          <w:tcPr>
            <w:tcW w:w="921" w:type="dxa"/>
            <w:shd w:val="clear" w:color="auto" w:fill="auto"/>
            <w:vAlign w:val="center"/>
          </w:tcPr>
          <w:p>
            <w:pPr>
              <w:snapToGrid w:val="0"/>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94</w:t>
            </w:r>
          </w:p>
        </w:tc>
      </w:tr>
    </w:tbl>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（四）绩效评价指标分析</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1.项目决策情况。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4月15日，区政府第90次常务会研究通过了区融媒体中心建设项目实施方案,该项目建设地点位于丰台区七里庄路18号，产权属于原区规划分局及丰台区建筑市政设计所。按照2021年1月5日第434期区政府专题会要求，以我中心作为项目规划审批申报主体，抓紧推动项目实施，工程完工后，区融媒体中心进驻办公。根据设计方案和施工安排，融媒体中心建设项目分为两个阶段进行，第一阶段改造项目主要包括办公楼内外装修、演播厅改造、配电改造等。第二阶段改造项目改造面积5136.28平方米，主要包括：食堂改造、门窗更换、屋面防水、空调安装等。</w:t>
      </w:r>
    </w:p>
    <w:p>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共计得分15分。</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2.项目过程情况。</w:t>
      </w:r>
    </w:p>
    <w:p>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投入管理，项目符合中国预算法的规定，符合北京市预算法规定。该部分预算资金</w:t>
      </w:r>
      <w:r>
        <w:rPr>
          <w:rFonts w:hint="eastAsia" w:ascii="仿宋_GB2312" w:hAnsi="仿宋" w:eastAsia="仿宋_GB2312" w:cs="仿宋"/>
          <w:sz w:val="28"/>
          <w:szCs w:val="32"/>
        </w:rPr>
        <w:t>5704785.98</w:t>
      </w:r>
      <w:r>
        <w:rPr>
          <w:rFonts w:hint="eastAsia" w:ascii="仿宋_GB2312" w:hAnsi="仿宋_GB2312" w:eastAsia="仿宋_GB2312" w:cs="仿宋_GB2312"/>
          <w:sz w:val="28"/>
          <w:szCs w:val="28"/>
        </w:rPr>
        <w:t>元，全部为财政资金。收到财政拨付的项目资金，支出进度达到100%。</w:t>
      </w:r>
    </w:p>
    <w:p>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务管理，项目资金严格执行《财务管理办法》中的相关规定，按照资金的使用范围及支持方式申报项目、充分履行项目执行单位职责并按规定进行项目预算的编报、执行和调整；在执行过程中，我们按照《采购管理暂行办法》的要求履行公开招投标程序，确定中标单位；资金支出时，项目组严格执行《财务管理办法》，按照资金审批权限报送相关领导审批，并严格遵照支付申请、业务审核、财务审核、领导审批和支付款项5个步骤支付项目资金；项目组严格实行专款专用，财务按会计制度要求进行项目核算，避免出现财政资金被挤占、挪用等违规行为。</w:t>
      </w:r>
    </w:p>
    <w:p>
      <w:pPr>
        <w:pStyle w:val="20"/>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为保证项目有效推进和执行，项目成立了多方联合管理机制，区机关事务管理中心作为合同甲方，对项目整体建设过程进行管理，区融媒体中心作为用户单位明确项目需求和建设内容，项目承建方作为实施主体全程根据各方要求进行项目执行，项目监理方作为监管单位依据项目合同、建设标准全程监管项目情况。</w:t>
      </w:r>
    </w:p>
    <w:p>
      <w:pPr>
        <w:spacing w:line="56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严格按照相关规定的要求，根据预算编报指南申报项目，并按照部门预算管理要求，编制项目申报文本，同时附加相关立项材料依据；按照预算批复内容组织项目实施，制定并落实项目工作计划，确保项目实施效果；项目实施期间，由联合管理小组对项目进行监督检查，严格实施过程控制和质量控制，确保项目的实施进度和成果质量。实施项目会报制度、项目责任制、项目档案制度。</w:t>
      </w:r>
    </w:p>
    <w:p>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_GB2312" w:eastAsia="仿宋_GB2312" w:cs="仿宋_GB2312"/>
          <w:sz w:val="28"/>
          <w:szCs w:val="28"/>
        </w:rPr>
        <w:t>共计得分25分。</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3.项目产出情况。</w:t>
      </w:r>
    </w:p>
    <w:p>
      <w:pPr>
        <w:spacing w:line="560" w:lineRule="exact"/>
        <w:ind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rPr>
        <w:t>具体各项指标如下：</w:t>
      </w:r>
    </w:p>
    <w:p>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数量指标：改造面积不少于5136平方米。该项目实际改造面积5136平方米。</w:t>
      </w:r>
    </w:p>
    <w:p>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质量指标：竣工验收合格。该项目竣工后经建设单位、施工单位、设计单位、监理单位四方验收合格。</w:t>
      </w:r>
    </w:p>
    <w:p>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时效指标：按照合同规定，项目确保在2022年11月22日前完成施工。项目已在合同规定时间内完成施工。</w:t>
      </w:r>
    </w:p>
    <w:p>
      <w:pPr>
        <w:numPr>
          <w:ilvl w:val="0"/>
          <w:numId w:val="6"/>
        </w:num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成本指标：项目实际支付金额控制在5704785.98元内。该项目实际支付金额5704785.98元。</w:t>
      </w:r>
    </w:p>
    <w:p>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共计得分40分。</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4.项目效益情况。</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该项目合理利用资金完成融媒体中心建设项目（一期）第二阶段项目，为融媒体中心及相关单位人员提供了良好的办公环境，满足了办公需求。在工作人员工作效率提升、楼宇环境满意度、服务设施满意度方面，评价工作组通过对工作人员进行随机调研，共30人次，其中21人表示工作效率、工作环境满意度和服务设施满意度有不同程度的提升，9人表示感觉不明显。</w:t>
      </w:r>
    </w:p>
    <w:p>
      <w:pPr>
        <w:spacing w:line="580" w:lineRule="exact"/>
        <w:ind w:firstLine="560" w:firstLineChars="200"/>
        <w:outlineLvl w:val="0"/>
        <w:rPr>
          <w:rFonts w:hint="eastAsia" w:ascii="仿宋_GB2312" w:hAnsi="仿宋_GB2312" w:eastAsia="仿宋_GB2312" w:cs="仿宋_GB2312"/>
          <w:sz w:val="24"/>
          <w:szCs w:val="28"/>
        </w:rPr>
      </w:pPr>
      <w:r>
        <w:rPr>
          <w:rFonts w:hint="eastAsia" w:ascii="仿宋_GB2312" w:hAnsi="仿宋" w:eastAsia="仿宋_GB2312" w:cs="仿宋"/>
          <w:sz w:val="28"/>
          <w:szCs w:val="32"/>
        </w:rPr>
        <w:t>共计得分7分。</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（五）主要经验及做法、存在的问题及原因分析</w:t>
      </w:r>
    </w:p>
    <w:p>
      <w:pPr>
        <w:spacing w:line="560" w:lineRule="exact"/>
        <w:ind w:firstLine="560" w:firstLineChars="200"/>
        <w:outlineLvl w:val="0"/>
        <w:rPr>
          <w:rFonts w:hint="eastAsia" w:ascii="楷体_GB2312" w:hAnsi="楷体_GB2312" w:eastAsia="楷体_GB2312" w:cs="楷体_GB2312"/>
          <w:sz w:val="28"/>
          <w:szCs w:val="32"/>
        </w:rPr>
      </w:pPr>
      <w:r>
        <w:rPr>
          <w:rFonts w:hint="eastAsia" w:ascii="楷体_GB2312" w:hAnsi="楷体_GB2312" w:eastAsia="楷体_GB2312" w:cs="楷体_GB2312"/>
          <w:sz w:val="28"/>
          <w:szCs w:val="32"/>
        </w:rPr>
        <w:t>1.主要经验及做法</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1、项目管理方面。项目前期，制定全面可控的项目管理计划，按照区财政规定的步骤逐一完成规定动作，确保前期手续合法合规。项目开展后，根据项目管理计划和实际施工情况，定期组织使用方、设计单位、施工单位、监理单位召开项目工程协调会，对项目开展过程中出现的问题进行即时协调，确保项目按时按点、保质保量顺利完工。</w:t>
      </w:r>
    </w:p>
    <w:p>
      <w:pPr>
        <w:spacing w:line="560" w:lineRule="exact"/>
        <w:ind w:firstLine="560" w:firstLineChars="200"/>
        <w:outlineLvl w:val="0"/>
        <w:rPr>
          <w:rFonts w:hint="eastAsia" w:ascii="仿宋_GB2312" w:hAnsi="仿宋" w:eastAsia="仿宋_GB2312" w:cs="仿宋"/>
          <w:sz w:val="28"/>
          <w:szCs w:val="32"/>
        </w:rPr>
      </w:pPr>
      <w:r>
        <w:rPr>
          <w:rFonts w:hint="eastAsia" w:ascii="仿宋_GB2312" w:hAnsi="仿宋" w:eastAsia="仿宋_GB2312" w:cs="仿宋"/>
          <w:sz w:val="28"/>
          <w:szCs w:val="32"/>
        </w:rPr>
        <w:t>2、成本控制方面。项目确定设计方案后，由造价咨询公司出具的初步造价，经由区财政选定的评审公司进行评审后，确定最终控制价。在项目开展过程中，通过现场管理、多方沟通协调等方式，确保施工过程中未发生项目变更及其他费用的产生，将工程费用控制在预算范围内。</w:t>
      </w:r>
    </w:p>
    <w:p>
      <w:pPr>
        <w:spacing w:line="580" w:lineRule="exact"/>
        <w:ind w:firstLine="560" w:firstLineChars="200"/>
        <w:rPr>
          <w:rFonts w:hint="eastAsia" w:ascii="仿宋_GB2312" w:hAnsi="仿宋" w:eastAsia="仿宋_GB2312" w:cs="仿宋"/>
          <w:sz w:val="28"/>
          <w:szCs w:val="32"/>
        </w:rPr>
      </w:pPr>
      <w:r>
        <w:rPr>
          <w:rFonts w:hint="eastAsia" w:ascii="仿宋_GB2312" w:hAnsi="仿宋" w:eastAsia="仿宋_GB2312" w:cs="仿宋"/>
          <w:sz w:val="28"/>
          <w:szCs w:val="32"/>
        </w:rPr>
        <w:t>3、工程质量方面。项目开展前期，对监理单位提出施工现场管理的具体要求并进行定期检查，同时不定期到施工现场进行抽查，确保施工单位和监理单位按照合同约定开展工作。项目施工完成后，组织施工单位、设计单位、监理单位进行四方验收，确保工程保质保量完成。</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 w:eastAsia="仿宋_GB2312" w:cs="仿宋"/>
          <w:sz w:val="28"/>
          <w:szCs w:val="32"/>
        </w:rPr>
        <w:t>2.</w:t>
      </w:r>
      <w:r>
        <w:rPr>
          <w:rFonts w:hint="eastAsia" w:ascii="仿宋_GB2312" w:hAnsi="仿宋_GB2312" w:eastAsia="仿宋_GB2312" w:cs="仿宋_GB2312"/>
          <w:sz w:val="28"/>
          <w:szCs w:val="28"/>
        </w:rPr>
        <w:t xml:space="preserve"> 存在的问题及原因分析</w:t>
      </w:r>
    </w:p>
    <w:p>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由于融媒体中心建设项目（一期）第一阶段和第二阶段交叉施工，在施工的过程中存在部分施工项目衔接不畅的现象，主要原因是在施工过程中的整体统筹工作不够全面。</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（六）有关建议</w:t>
      </w:r>
    </w:p>
    <w:p>
      <w:pPr>
        <w:spacing w:line="580" w:lineRule="exact"/>
        <w:ind w:firstLine="560" w:firstLineChars="200"/>
        <w:rPr>
          <w:rFonts w:hint="eastAsia" w:ascii="仿宋_GB2312" w:hAnsi="仿宋_GB2312" w:eastAsia="仿宋_GB2312" w:cs="仿宋_GB2312"/>
          <w:sz w:val="24"/>
          <w:szCs w:val="28"/>
        </w:rPr>
      </w:pPr>
      <w:r>
        <w:rPr>
          <w:rFonts w:hint="eastAsia" w:ascii="仿宋_GB2312" w:hAnsi="仿宋" w:eastAsia="仿宋_GB2312" w:cs="仿宋"/>
          <w:sz w:val="28"/>
          <w:szCs w:val="32"/>
        </w:rPr>
        <w:t>无</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（七）其他需要说明的问题</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ascii="仿宋_GB2312" w:hAnsi="仿宋_GB2312" w:eastAsia="仿宋_GB2312" w:cs="仿宋_GB2312"/>
          <w:color w:val="000000"/>
          <w:kern w:val="0"/>
          <w:sz w:val="28"/>
          <w:szCs w:val="28"/>
        </w:rPr>
        <w:br w:type="page"/>
      </w:r>
    </w:p>
    <w:p>
      <w:pPr>
        <w:widowControl/>
        <w:jc w:val="left"/>
        <w:rPr>
          <w:rFonts w:hint="eastAsia" w:ascii="仿宋_GB2312" w:hAnsi="仿宋_GB2312" w:eastAsia="仿宋_GB2312" w:cs="仿宋_GB2312"/>
          <w:color w:val="000000"/>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11010623T000002177942-第二轮北京市生态环境保护督察后勤保障经费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123.2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123.2</w:t>
            </w:r>
            <w:r>
              <w:rPr>
                <w:rFonts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w:t>
            </w:r>
            <w:r>
              <w:rPr>
                <w:rFonts w:hint="eastAsia" w:ascii="仿宋_GB2312" w:hAnsi="仿宋" w:eastAsia="仿宋_GB2312" w:cs="仿宋"/>
                <w:szCs w:val="32"/>
              </w:rPr>
              <w:t>北京市第二生态环境保护督察组</w:t>
            </w:r>
            <w:r>
              <w:rPr>
                <w:rFonts w:hint="eastAsia" w:ascii="仿宋_GB2312" w:hAnsi="宋体" w:eastAsia="仿宋_GB2312" w:cs="宋体"/>
                <w:kern w:val="0"/>
                <w:szCs w:val="21"/>
              </w:rPr>
              <w:t>住宿、餐饮、车辆租赁、办公用品和部分防疫物资。</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保障督察组所有人员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按照督察组要求完成相应保障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123.2万元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11010622T000001707976-福成大厦不动产新增保安保洁服务费及伙食补助</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47.56</w:t>
            </w:r>
            <w:r>
              <w:rPr>
                <w:rFonts w:hint="eastAsia" w:ascii="仿宋_GB2312" w:hAnsi="宋体" w:eastAsia="仿宋_GB2312" w:cs="宋体"/>
                <w:spacing w:val="-11"/>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47.56</w:t>
            </w:r>
            <w:r>
              <w:rPr>
                <w:rFonts w:ascii="仿宋_GB2312" w:hAnsi="宋体" w:eastAsia="仿宋_GB2312" w:cs="宋体"/>
                <w:kern w:val="0"/>
                <w:szCs w:val="21"/>
              </w:rPr>
              <w:t xml:space="preserve"> </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为福成大厦不动产中心，新增4名保洁，5名保安，满足不动产中心日常需要。</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保洁、保安人数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项目资金按照合同约定时间支付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47.56</w:t>
            </w:r>
          </w:p>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项目资金满足服务保障对象需求</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1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1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11010622T000001754461-机关事务管理服务中心疫情防控保障经费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3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3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为区新冠疫情防控领导小组办公室、疫苗工作组办公用品和膳食保障。</w:t>
            </w:r>
          </w:p>
        </w:tc>
        <w:tc>
          <w:tcPr>
            <w:tcW w:w="356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保障领导小组办公室、疫苗组所有人员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30.2</w:t>
            </w:r>
            <w:r>
              <w:rPr>
                <w:rFonts w:ascii="仿宋_GB2312" w:hAnsi="宋体" w:eastAsia="仿宋_GB2312" w:cs="宋体"/>
                <w:w w:val="80"/>
                <w:kern w:val="0"/>
                <w:szCs w:val="21"/>
              </w:rPr>
              <w:t>9</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11010622T000000429317-集中办公区保障经费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175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175</w:t>
            </w:r>
            <w:r>
              <w:rPr>
                <w:rFonts w:ascii="仿宋_GB2312" w:hAnsi="宋体" w:eastAsia="仿宋_GB2312" w:cs="宋体"/>
                <w:kern w:val="0"/>
                <w:szCs w:val="21"/>
              </w:rPr>
              <w:t xml:space="preserve"> </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174.3</w:t>
            </w:r>
            <w:r>
              <w:rPr>
                <w:rFonts w:ascii="仿宋_GB2312" w:hAnsi="宋体" w:eastAsia="仿宋_GB2312" w:cs="宋体"/>
                <w:spacing w:val="-11"/>
                <w:kern w:val="0"/>
                <w:szCs w:val="21"/>
              </w:rPr>
              <w:t>2</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满足各办公区工作需求</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物资质量符合标准和现实需要</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按时完成各专项工作按计划</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70"/>
                <w:kern w:val="0"/>
                <w:szCs w:val="21"/>
              </w:rPr>
              <w:t>174.3</w:t>
            </w:r>
            <w:r>
              <w:rPr>
                <w:rFonts w:ascii="仿宋_GB2312" w:hAnsi="宋体" w:eastAsia="仿宋_GB2312" w:cs="宋体"/>
                <w:w w:val="70"/>
                <w:kern w:val="0"/>
                <w:szCs w:val="21"/>
              </w:rPr>
              <w:t>2</w:t>
            </w:r>
            <w:r>
              <w:rPr>
                <w:rFonts w:hint="eastAsia" w:ascii="仿宋_GB2312" w:hAnsi="宋体" w:eastAsia="仿宋_GB2312" w:cs="宋体"/>
                <w:w w:val="7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有效完成各办公区日常工作保障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11010622T000001632788-区第十三次党代会保障经费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124.2</w:t>
            </w:r>
            <w:r>
              <w:rPr>
                <w:rFonts w:ascii="仿宋_GB2312" w:hAnsi="宋体" w:eastAsia="仿宋_GB2312" w:cs="宋体"/>
                <w:spacing w:val="-11"/>
                <w:kern w:val="0"/>
                <w:szCs w:val="21"/>
              </w:rPr>
              <w:t>8</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做好区第十三次党代会会议布展、会场布置、设备租赁、医疗救护、视频会议保障、会议用品等</w:t>
            </w:r>
            <w:r>
              <w:rPr>
                <w:rFonts w:hint="eastAsia" w:ascii="仿宋_GB2312" w:hAnsi="楷体_GB2312" w:eastAsia="仿宋_GB2312" w:cs="楷体_GB2312"/>
                <w:szCs w:val="32"/>
              </w:rPr>
              <w:t>后勤保障工作。</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w w:val="80"/>
                <w:kern w:val="0"/>
                <w:szCs w:val="21"/>
              </w:rPr>
            </w:pPr>
            <w:r>
              <w:rPr>
                <w:rFonts w:hint="eastAsia" w:ascii="仿宋_GB2312" w:hAnsi="宋体" w:eastAsia="仿宋_GB2312" w:cs="宋体"/>
                <w:spacing w:val="-11"/>
                <w:w w:val="80"/>
                <w:kern w:val="0"/>
                <w:szCs w:val="21"/>
              </w:rPr>
              <w:t>124.2769</w:t>
            </w:r>
          </w:p>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color w:val="000000"/>
                <w:spacing w:val="-17"/>
                <w:kern w:val="0"/>
                <w:szCs w:val="21"/>
              </w:rPr>
            </w:pPr>
            <w:r>
              <w:rPr>
                <w:rFonts w:hint="eastAsia" w:ascii="仿宋_GB2312" w:hAnsi="宋体" w:eastAsia="仿宋_GB2312" w:cs="宋体"/>
                <w:color w:val="000000"/>
                <w:spacing w:val="-17"/>
                <w:kern w:val="0"/>
                <w:szCs w:val="21"/>
              </w:rPr>
              <w:t>98.</w:t>
            </w:r>
            <w:r>
              <w:rPr>
                <w:rFonts w:ascii="仿宋_GB2312" w:hAnsi="宋体" w:eastAsia="仿宋_GB2312" w:cs="宋体"/>
                <w:color w:val="000000"/>
                <w:spacing w:val="-17"/>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3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11010622T000001632779-区第十三次党代会会议费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 xml:space="preserve">170.74 </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170.74</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170.74</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做好区第十三次党代会与会代表的住宿、餐饮、会议室、办公设备租赁、保安和会议服务、代表证制作、会议材料印刷等</w:t>
            </w:r>
            <w:r>
              <w:rPr>
                <w:rFonts w:hint="eastAsia" w:ascii="仿宋_GB2312" w:hAnsi="楷体_GB2312" w:eastAsia="仿宋_GB2312" w:cs="楷体_GB2312"/>
                <w:szCs w:val="32"/>
              </w:rPr>
              <w:t>工作</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w:t>
            </w:r>
            <w:r>
              <w:rPr>
                <w:rFonts w:ascii="仿宋_GB2312" w:hAnsi="宋体" w:eastAsia="仿宋_GB2312" w:cs="宋体"/>
                <w:spacing w:val="-11"/>
                <w:w w:val="80"/>
                <w:kern w:val="0"/>
                <w:szCs w:val="21"/>
              </w:rPr>
              <w:t>4</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w w:val="80"/>
                <w:kern w:val="0"/>
                <w:szCs w:val="21"/>
              </w:rPr>
              <w:t>170.74万元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较好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color w:val="000000"/>
                <w:spacing w:val="-11"/>
                <w:kern w:val="0"/>
                <w:szCs w:val="21"/>
              </w:rPr>
            </w:pPr>
            <w:r>
              <w:rPr>
                <w:rFonts w:hint="eastAsia" w:ascii="仿宋_GB2312" w:hAnsi="宋体" w:eastAsia="仿宋_GB2312" w:cs="宋体"/>
                <w:color w:val="000000"/>
                <w:spacing w:val="-11"/>
                <w:kern w:val="0"/>
                <w:szCs w:val="21"/>
              </w:rPr>
              <w:t>98.8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6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11010622T000000429315-全区性重点工作保障经费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25</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20.45</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做好丰台区</w:t>
            </w:r>
            <w:r>
              <w:rPr>
                <w:rFonts w:hint="eastAsia" w:ascii="仿宋_GB2312" w:hAnsi="楷体_GB2312" w:eastAsia="仿宋_GB2312" w:cs="楷体_GB2312"/>
                <w:szCs w:val="32"/>
              </w:rPr>
              <w:t>全区性会议后勤保障工作</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完成年内全部区级性会议保障数量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25万元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20.4</w:t>
            </w:r>
            <w:r>
              <w:rPr>
                <w:rFonts w:ascii="仿宋_GB2312" w:hAnsi="宋体" w:eastAsia="仿宋_GB2312" w:cs="宋体"/>
                <w:w w:val="80"/>
                <w:kern w:val="0"/>
                <w:szCs w:val="21"/>
              </w:rPr>
              <w:t>5</w:t>
            </w:r>
            <w:r>
              <w:rPr>
                <w:rFonts w:hint="eastAsia" w:ascii="仿宋_GB2312" w:hAnsi="宋体" w:eastAsia="仿宋_GB2312" w:cs="宋体"/>
                <w:w w:val="80"/>
                <w:kern w:val="0"/>
                <w:szCs w:val="21"/>
              </w:rPr>
              <w:t>万</w:t>
            </w:r>
            <w:r>
              <w:rPr>
                <w:rFonts w:ascii="仿宋_GB2312" w:hAnsi="宋体" w:eastAsia="仿宋_GB2312" w:cs="宋体"/>
                <w:w w:val="80"/>
                <w:kern w:val="0"/>
                <w:szCs w:val="21"/>
              </w:rPr>
              <w:t>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有效完成各类会议保障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服务保障模式是否实现提高优化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8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11010623T000001897293-上半年集中隔离工作组办公用品和膳食保障费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w w:val="80"/>
                <w:kern w:val="0"/>
                <w:szCs w:val="21"/>
              </w:rPr>
              <w:t>1.67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为区新冠疫情防控领导小组集中隔离工作组办公用品和膳食保障。</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保障集中隔离组组所有人员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按照需求完成办公用品和膳食保障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按照时限完成办公用品和膳食保障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ascii="仿宋_GB2312" w:hAnsi="宋体" w:eastAsia="仿宋_GB2312" w:cs="宋体"/>
                <w:w w:val="80"/>
                <w:kern w:val="0"/>
                <w:szCs w:val="21"/>
              </w:rPr>
              <w:t>1.67</w:t>
            </w:r>
            <w:r>
              <w:rPr>
                <w:rFonts w:hint="eastAsia" w:ascii="仿宋_GB2312" w:hAnsi="宋体" w:eastAsia="仿宋_GB2312" w:cs="宋体"/>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1</w:t>
            </w:r>
            <w:r>
              <w:rPr>
                <w:rFonts w:ascii="仿宋_GB2312" w:hAnsi="宋体" w:eastAsia="仿宋_GB2312" w:cs="宋体"/>
                <w:w w:val="80"/>
                <w:kern w:val="0"/>
                <w:szCs w:val="21"/>
              </w:rPr>
              <w:t>.67</w:t>
            </w:r>
            <w:r>
              <w:rPr>
                <w:rFonts w:hint="eastAsia" w:ascii="仿宋_GB2312" w:hAnsi="宋体" w:eastAsia="仿宋_GB2312" w:cs="宋体"/>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1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32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11010622T000000405411-物业费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4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2463.93</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6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文体路2号，北大街9号、14号，东安街3条1号、6号，西四环南路64号，北京西站南路168号，丰北路75号，丰体南路1号丰体时代，七里庄28号、丰北路77号、南苑路7号福成大厦办公区物业、保安和消防中控服务。确保机关事务管理工作更加节俭、务实、廉洁、高效，保证机关有序高效运行。</w:t>
            </w:r>
          </w:p>
        </w:tc>
        <w:tc>
          <w:tcPr>
            <w:tcW w:w="356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达到预期目标。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服务区域</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项目资金按照合同约定时间分次支付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2463.93万元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项目资金满足服务保障对象的物业需求</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落实扶持小微企业政策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服务保障能力持续满足需求</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rPr>
          <w:rFonts w:hint="eastAsia" w:ascii="方正小标宋简体" w:hAnsi="黑体" w:eastAsia="方正小标宋简体"/>
          <w:sz w:val="36"/>
          <w:szCs w:val="36"/>
        </w:rPr>
      </w:pPr>
      <w:r>
        <w:rPr>
          <w:rFonts w:hint="eastAsia" w:ascii="方正小标宋简体" w:eastAsia="方正小标宋简体"/>
          <w:sz w:val="36"/>
          <w:szCs w:val="36"/>
        </w:rPr>
        <w:t xml:space="preserve">                </w:t>
      </w:r>
      <w:r>
        <w:rPr>
          <w:rFonts w:hint="eastAsia" w:ascii="方正小标宋简体" w:hAnsi="黑体" w:eastAsia="方正小标宋简体"/>
          <w:sz w:val="36"/>
          <w:szCs w:val="36"/>
        </w:rPr>
        <w:t>项目支出绩效自评表</w:t>
      </w:r>
    </w:p>
    <w:p>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11010622T000001702225-疫情防控专项经费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保障市疫情防控督导组住宿、餐饮、车辆租赁、办公用品和部分防疫物资。</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保障督导组所有人员</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按照督导组要求完成相应保障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72.9</w:t>
            </w:r>
            <w:r>
              <w:rPr>
                <w:rFonts w:ascii="仿宋_GB2312" w:hAnsi="宋体" w:eastAsia="仿宋_GB2312" w:cs="宋体"/>
                <w:w w:val="80"/>
                <w:kern w:val="0"/>
                <w:szCs w:val="21"/>
              </w:rPr>
              <w:t>7</w:t>
            </w:r>
            <w:r>
              <w:rPr>
                <w:rFonts w:hint="eastAsia" w:ascii="仿宋_GB2312" w:hAnsi="宋体" w:eastAsia="仿宋_GB2312" w:cs="宋体"/>
                <w:spacing w:val="-11"/>
                <w:w w:val="80"/>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w w:val="80"/>
                <w:kern w:val="0"/>
                <w:szCs w:val="21"/>
              </w:rPr>
              <w:t>72.</w:t>
            </w:r>
            <w:r>
              <w:rPr>
                <w:rFonts w:ascii="仿宋_GB2312" w:hAnsi="宋体" w:eastAsia="仿宋_GB2312" w:cs="宋体"/>
                <w:w w:val="80"/>
                <w:kern w:val="0"/>
                <w:szCs w:val="21"/>
              </w:rPr>
              <w:t>97</w:t>
            </w:r>
            <w:r>
              <w:rPr>
                <w:rFonts w:hint="eastAsia" w:ascii="仿宋_GB2312" w:hAnsi="宋体" w:eastAsia="仿宋_GB2312" w:cs="宋体"/>
                <w:spacing w:val="-11"/>
                <w:w w:val="8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11010623T000001925191-中国共产党北京市丰台区代表会议保障经费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21"/>
              </w:rPr>
              <w:t>北京市丰台区机关事务管理服务中心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办公室</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曹葳</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spacing w:val="-11"/>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11"/>
                <w:kern w:val="0"/>
                <w:szCs w:val="21"/>
              </w:rPr>
              <w:t>0</w:t>
            </w: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spacing w:val="-11"/>
                <w:kern w:val="0"/>
                <w:szCs w:val="21"/>
              </w:rPr>
              <w:t>11.16</w:t>
            </w: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做好区代表会议</w:t>
            </w:r>
            <w:r>
              <w:rPr>
                <w:rFonts w:hint="eastAsia" w:ascii="仿宋_GB2312" w:hAnsi="楷体_GB2312" w:eastAsia="仿宋_GB2312" w:cs="楷体_GB2312"/>
                <w:szCs w:val="32"/>
              </w:rPr>
              <w:t>后勤保障工作</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2"/>
                <w:szCs w:val="21"/>
              </w:rPr>
              <w:t>已完成预期目标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完成全体会议和分会场会议保障数量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按照会议要求完成相应保障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按照时限要求完成保障任务</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848"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80"/>
                <w:kern w:val="0"/>
                <w:szCs w:val="21"/>
              </w:rPr>
            </w:pPr>
            <w:r>
              <w:rPr>
                <w:rFonts w:hint="eastAsia" w:ascii="仿宋_GB2312" w:hAnsi="宋体" w:eastAsia="仿宋_GB2312" w:cs="宋体"/>
                <w:spacing w:val="-11"/>
                <w:kern w:val="0"/>
                <w:szCs w:val="21"/>
              </w:rPr>
              <w:t>11</w:t>
            </w:r>
            <w:r>
              <w:rPr>
                <w:rFonts w:ascii="仿宋_GB2312" w:hAnsi="宋体" w:eastAsia="仿宋_GB2312" w:cs="宋体"/>
                <w:spacing w:val="-11"/>
                <w:kern w:val="0"/>
                <w:szCs w:val="21"/>
              </w:rPr>
              <w:t>.</w:t>
            </w:r>
            <w:r>
              <w:rPr>
                <w:rFonts w:hint="eastAsia" w:ascii="仿宋_GB2312" w:hAnsi="宋体" w:eastAsia="仿宋_GB2312" w:cs="宋体"/>
                <w:spacing w:val="-11"/>
                <w:kern w:val="0"/>
                <w:szCs w:val="21"/>
              </w:rPr>
              <w:t>1</w:t>
            </w:r>
            <w:r>
              <w:rPr>
                <w:rFonts w:ascii="仿宋_GB2312" w:hAnsi="宋体" w:eastAsia="仿宋_GB2312" w:cs="宋体"/>
                <w:spacing w:val="-11"/>
                <w:kern w:val="0"/>
                <w:szCs w:val="21"/>
              </w:rPr>
              <w:t>6</w:t>
            </w:r>
            <w:r>
              <w:rPr>
                <w:rFonts w:hint="eastAsia" w:ascii="仿宋_GB2312" w:hAnsi="宋体" w:eastAsia="仿宋_GB2312" w:cs="宋体"/>
                <w:spacing w:val="-11"/>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有效完成会议保障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通过采购落实小微企业扶持政策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color w:val="000000"/>
                <w:w w:val="90"/>
                <w:kern w:val="0"/>
                <w:szCs w:val="21"/>
              </w:rPr>
            </w:pPr>
            <w:r>
              <w:rPr>
                <w:rFonts w:hint="eastAsia" w:ascii="仿宋_GB2312" w:hAnsi="宋体" w:eastAsia="仿宋_GB2312" w:cs="宋体"/>
                <w:color w:val="000000"/>
                <w:kern w:val="0"/>
                <w:szCs w:val="21"/>
              </w:rPr>
              <w:t>按照节约型机关要求落实节能减排措施</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实现服务保障模式提高优化</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服务对象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w w:val="95"/>
                <w:kern w:val="0"/>
                <w:szCs w:val="21"/>
              </w:rPr>
              <w:t>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服务保障单位满意率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9"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ascii="仿宋_GB2312" w:hAnsi="宋体" w:eastAsia="仿宋_GB2312" w:cs="宋体"/>
                <w:color w:val="000000"/>
                <w:kern w:val="0"/>
                <w:szCs w:val="21"/>
              </w:rPr>
              <w:t>99.8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11010622T000001273824-基层党组织党建活动经费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0904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71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通过组织开展形式多样的教育、培训和主题党日活动等，加强中心六个党支部建设，进一步提升中心党员和党务工作者的综合素质，增强党员干部岗位技能和综合能力，推动中心党建引领各项工作干到实处、走在前列。</w:t>
            </w:r>
          </w:p>
        </w:tc>
        <w:tc>
          <w:tcPr>
            <w:tcW w:w="3341"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机关党委按照党费管理使用规定，在党员教育培训、主题党日活动和宣传教育方面合理安排使用好每一笔党费，发挥了党费的使用价值，进一步推动了中心的党建工作发挥应有的效能。</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27+1个</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购买《习近平谈治国理政》第四卷 </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40本</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组织党员观看电影《长津湖》</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60人</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为党支部订阅杂志《中共中央办公厅通讯》</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6份</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活动参与度</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图书发放率</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表彰2021年度民主评议优秀党员和先进党支部</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七一前</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1.0904</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是否有助于党员学习教育</w:t>
            </w:r>
          </w:p>
        </w:tc>
        <w:tc>
          <w:tcPr>
            <w:tcW w:w="1178" w:type="dxa"/>
            <w:tcBorders>
              <w:top w:val="single" w:color="auto" w:sz="4" w:space="0"/>
              <w:left w:val="nil"/>
              <w:bottom w:val="single" w:color="auto" w:sz="4" w:space="0"/>
              <w:right w:val="single" w:color="auto" w:sz="4" w:space="0"/>
            </w:tcBorders>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不断提高党员干部理论素养</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是否提高党建工作质量</w:t>
            </w:r>
          </w:p>
        </w:tc>
        <w:tc>
          <w:tcPr>
            <w:tcW w:w="1178" w:type="dxa"/>
            <w:tcBorders>
              <w:top w:val="single" w:color="auto" w:sz="4" w:space="0"/>
              <w:left w:val="nil"/>
              <w:bottom w:val="single" w:color="auto" w:sz="4" w:space="0"/>
              <w:right w:val="single" w:color="auto" w:sz="4" w:space="0"/>
            </w:tcBorders>
            <w:vAlign w:val="center"/>
          </w:tcPr>
          <w:p>
            <w:pPr>
              <w:widowControl/>
              <w:spacing w:line="200" w:lineRule="exact"/>
              <w:rPr>
                <w:rFonts w:hint="eastAsia" w:ascii="仿宋_GB2312" w:hAnsi="宋体" w:eastAsia="仿宋_GB2312" w:cs="宋体"/>
                <w:kern w:val="0"/>
                <w:szCs w:val="21"/>
              </w:rPr>
            </w:pPr>
            <w:r>
              <w:rPr>
                <w:rFonts w:hint="eastAsia" w:ascii="仿宋_GB2312" w:hAnsi="宋体" w:eastAsia="仿宋_GB2312" w:cs="宋体"/>
                <w:kern w:val="0"/>
                <w:szCs w:val="21"/>
              </w:rPr>
              <w:t>发挥党建引领作用，增强党建工作吸引力</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是否提升支部建设</w:t>
            </w:r>
          </w:p>
        </w:tc>
        <w:tc>
          <w:tcPr>
            <w:tcW w:w="1178" w:type="dxa"/>
            <w:tcBorders>
              <w:top w:val="single" w:color="auto" w:sz="4" w:space="0"/>
              <w:left w:val="nil"/>
              <w:bottom w:val="single" w:color="auto" w:sz="4" w:space="0"/>
              <w:right w:val="single" w:color="auto" w:sz="4" w:space="0"/>
            </w:tcBorders>
            <w:vAlign w:val="center"/>
          </w:tcPr>
          <w:p>
            <w:pPr>
              <w:widowControl/>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推动支部规范化建设</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已达到预期目标</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党员对全年党建工作综合评价</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党建工作认可度</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党建活动吸引力</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党员参与党建活动</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94</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477"/>
        <w:gridCol w:w="1083"/>
        <w:gridCol w:w="807"/>
        <w:gridCol w:w="1025"/>
        <w:gridCol w:w="505"/>
        <w:gridCol w:w="622"/>
        <w:gridCol w:w="1013"/>
        <w:gridCol w:w="967"/>
        <w:gridCol w:w="279"/>
        <w:gridCol w:w="284"/>
        <w:gridCol w:w="420"/>
        <w:gridCol w:w="26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11010622T000000428679-退休党支部书记补贴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7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0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4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1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4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47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5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63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27" w:hRule="exact"/>
          <w:jc w:val="center"/>
        </w:trPr>
        <w:tc>
          <w:tcPr>
            <w:tcW w:w="4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55"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促进退休党支部建设,组织退休党员开展学习、主题党日和志愿服务活动。</w:t>
            </w:r>
          </w:p>
        </w:tc>
        <w:tc>
          <w:tcPr>
            <w:tcW w:w="363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按时足额为三名退休党支部委员发放了补贴，退休党支部活动开展有了明显起色。</w:t>
            </w:r>
          </w:p>
        </w:tc>
      </w:tr>
      <w:tr>
        <w:tblPrEx>
          <w:tblCellMar>
            <w:top w:w="0" w:type="dxa"/>
            <w:left w:w="108" w:type="dxa"/>
            <w:bottom w:w="0" w:type="dxa"/>
            <w:right w:w="108" w:type="dxa"/>
          </w:tblCellMar>
        </w:tblPrEx>
        <w:trPr>
          <w:trHeight w:val="830" w:hRule="exact"/>
          <w:jc w:val="center"/>
        </w:trPr>
        <w:tc>
          <w:tcPr>
            <w:tcW w:w="4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8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80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加强退休党支部建设</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color w:val="000000"/>
                <w:kern w:val="0"/>
                <w:szCs w:val="21"/>
              </w:rPr>
              <w:t>充分发挥党支部作用</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按时、按标准发放</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按时足额发放</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4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1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1"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8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杨守德</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积极加强退休党支部建设</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赵婉茹</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6" w:hRule="exact"/>
          <w:jc w:val="center"/>
        </w:trPr>
        <w:tc>
          <w:tcPr>
            <w:tcW w:w="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3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廖  波</w:t>
            </w:r>
          </w:p>
        </w:tc>
        <w:tc>
          <w:tcPr>
            <w:tcW w:w="163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积极参与支部活动组织、宣传</w:t>
            </w:r>
          </w:p>
        </w:tc>
        <w:tc>
          <w:tcPr>
            <w:tcW w:w="9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092"/>
        <w:gridCol w:w="740"/>
        <w:gridCol w:w="1127"/>
        <w:gridCol w:w="1178"/>
        <w:gridCol w:w="915"/>
        <w:gridCol w:w="166"/>
        <w:gridCol w:w="479"/>
        <w:gridCol w:w="225"/>
        <w:gridCol w:w="450"/>
        <w:gridCol w:w="396"/>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11010623T000002246152－2022年重要活动保障经费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党建办</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3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崔学海</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43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rPr>
          <w:trHeight w:val="39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8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1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4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3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12" w:type="dxa"/>
            <w:gridSpan w:val="5"/>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 w:hAnsi="仿宋" w:eastAsia="仿宋"/>
                <w:szCs w:val="21"/>
              </w:rPr>
              <w:t>按照区12月3日关于送别江泽民同志《重要活动保障方案》，完成赵公口客运站和六里桥长途客运站参与活动约5000余人的个人防疫物资和早餐保障。</w:t>
            </w:r>
          </w:p>
        </w:tc>
        <w:tc>
          <w:tcPr>
            <w:tcW w:w="3341"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按时限要求保质保量完成。</w:t>
            </w:r>
          </w:p>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092"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防疫物资</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w:t>
            </w:r>
            <w:r>
              <w:rPr>
                <w:rFonts w:ascii="仿宋_GB2312" w:hAnsi="宋体" w:eastAsia="仿宋_GB2312" w:cs="宋体"/>
                <w:kern w:val="0"/>
                <w:szCs w:val="21"/>
              </w:rPr>
              <w:t>1722</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食物保障</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22</w:t>
            </w:r>
            <w:r>
              <w:rPr>
                <w:rFonts w:hint="eastAsia" w:ascii="仿宋_GB2312" w:hAnsi="宋体" w:eastAsia="仿宋_GB2312" w:cs="宋体"/>
                <w:kern w:val="0"/>
                <w:szCs w:val="21"/>
              </w:rPr>
              <w:t>.</w:t>
            </w:r>
            <w:r>
              <w:rPr>
                <w:rFonts w:ascii="仿宋_GB2312" w:hAnsi="宋体" w:eastAsia="仿宋_GB2312" w:cs="宋体"/>
                <w:kern w:val="0"/>
                <w:szCs w:val="21"/>
              </w:rPr>
              <w:t>04</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药包等活动必需品及人工费用</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配送物品是否达到活动保障需求</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配送物品质量好、良好、差</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2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12月5日早上七点前完成各点位配送</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w:t>
            </w:r>
            <w:r>
              <w:rPr>
                <w:rFonts w:hint="eastAsia" w:ascii="仿宋_GB2312" w:hAnsi="宋体" w:eastAsia="仿宋_GB2312" w:cs="宋体"/>
                <w:kern w:val="0"/>
                <w:szCs w:val="21"/>
              </w:rPr>
              <w:t>.</w:t>
            </w:r>
            <w:r>
              <w:rPr>
                <w:rFonts w:ascii="仿宋_GB2312" w:hAnsi="宋体" w:eastAsia="仿宋_GB2312" w:cs="宋体"/>
                <w:kern w:val="0"/>
                <w:szCs w:val="21"/>
              </w:rPr>
              <w:t>41</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178" w:type="dxa"/>
            <w:tcBorders>
              <w:top w:val="single" w:color="auto" w:sz="4" w:space="0"/>
              <w:left w:val="nil"/>
              <w:bottom w:val="single" w:color="auto" w:sz="4" w:space="0"/>
              <w:right w:val="single" w:color="auto" w:sz="4" w:space="0"/>
            </w:tcBorders>
            <w:vAlign w:val="center"/>
          </w:tcPr>
          <w:p>
            <w:pPr>
              <w:widowControl/>
              <w:spacing w:line="220" w:lineRule="exact"/>
              <w:rPr>
                <w:rFonts w:hint="eastAsia" w:ascii="仿宋_GB2312" w:hAnsi="宋体" w:eastAsia="仿宋_GB2312" w:cs="宋体"/>
                <w:kern w:val="0"/>
                <w:szCs w:val="21"/>
              </w:rPr>
            </w:pP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参与活动人员对配送物品满意度</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6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对物品配送时限满意度</w:t>
            </w:r>
          </w:p>
        </w:tc>
        <w:tc>
          <w:tcPr>
            <w:tcW w:w="11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9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rPr>
          <w:trHeight w:val="477" w:hRule="exact"/>
          <w:jc w:val="center"/>
        </w:trPr>
        <w:tc>
          <w:tcPr>
            <w:tcW w:w="661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10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06" w:type="dxa"/>
        <w:tblInd w:w="0" w:type="dxa"/>
        <w:tblLayout w:type="fixed"/>
        <w:tblCellMar>
          <w:top w:w="0" w:type="dxa"/>
          <w:left w:w="108" w:type="dxa"/>
          <w:bottom w:w="0" w:type="dxa"/>
          <w:right w:w="108" w:type="dxa"/>
        </w:tblCellMar>
      </w:tblPr>
      <w:tblGrid>
        <w:gridCol w:w="778"/>
        <w:gridCol w:w="778"/>
        <w:gridCol w:w="1104"/>
        <w:gridCol w:w="949"/>
        <w:gridCol w:w="713"/>
        <w:gridCol w:w="530"/>
        <w:gridCol w:w="902"/>
        <w:gridCol w:w="1267"/>
        <w:gridCol w:w="567"/>
        <w:gridCol w:w="709"/>
        <w:gridCol w:w="137"/>
        <w:gridCol w:w="872"/>
      </w:tblGrid>
      <w:tr>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50"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11010622T000000428575-劳动力安置项目经费</w:t>
            </w:r>
          </w:p>
        </w:tc>
      </w:tr>
      <w:tr>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8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tblPrEx>
          <w:tblCellMar>
            <w:top w:w="0" w:type="dxa"/>
            <w:left w:w="108" w:type="dxa"/>
            <w:bottom w:w="0" w:type="dxa"/>
            <w:right w:w="108" w:type="dxa"/>
          </w:tblCellMar>
        </w:tblPrEx>
        <w:trPr>
          <w:trHeight w:val="306" w:hRule="exact"/>
        </w:trPr>
        <w:tc>
          <w:tcPr>
            <w:tcW w:w="155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8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tblPrEx>
          <w:tblCellMar>
            <w:top w:w="0" w:type="dxa"/>
            <w:left w:w="108" w:type="dxa"/>
            <w:bottom w:w="0" w:type="dxa"/>
            <w:right w:w="108" w:type="dxa"/>
          </w:tblCellMar>
        </w:tblPrEx>
        <w:trPr>
          <w:trHeight w:val="567" w:hRule="exact"/>
        </w:trPr>
        <w:tc>
          <w:tcPr>
            <w:tcW w:w="15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43"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277"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4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57" w:hRule="exact"/>
        </w:trPr>
        <w:tc>
          <w:tcPr>
            <w:tcW w:w="7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7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5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6" w:hRule="exact"/>
        </w:trPr>
        <w:tc>
          <w:tcPr>
            <w:tcW w:w="7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97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落实市委、市政府关于疏解政治促提升、促进农民增收和促进农村劳动力就业的工作任务，提供40个公共服务类岗位，通过劳务派遣方式安置本市农村劳动力。</w:t>
            </w:r>
          </w:p>
        </w:tc>
        <w:tc>
          <w:tcPr>
            <w:tcW w:w="3552"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提供40个公共服务类岗位，共招聘25人</w:t>
            </w:r>
          </w:p>
        </w:tc>
      </w:tr>
      <w:tr>
        <w:tblPrEx>
          <w:tblCellMar>
            <w:top w:w="0" w:type="dxa"/>
            <w:left w:w="108" w:type="dxa"/>
            <w:bottom w:w="0" w:type="dxa"/>
            <w:right w:w="108" w:type="dxa"/>
          </w:tblCellMar>
        </w:tblPrEx>
        <w:trPr>
          <w:trHeight w:val="727" w:hRule="exact"/>
        </w:trPr>
        <w:tc>
          <w:tcPr>
            <w:tcW w:w="7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42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岗位设置数量</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实际招聘数量</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40</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9"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派遣公司履职情况</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1267" w:type="dxa"/>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按要求完成人员的招聘、入职等</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是否按时支付管理费</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按季度付管理费</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按季度支付管理费</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7"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每人每月管理费100元</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93"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是否实现疏解政治促提升、促进农民增收和促进农村劳动力就业的目标</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促进农民增收、促进农村劳动力就业</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4"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6"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35" w:hRule="exac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6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14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12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100%满意</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9" w:hRule="exact"/>
        </w:trPr>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96.3</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（2022年度）</w:t>
      </w:r>
    </w:p>
    <w:tbl>
      <w:tblPr>
        <w:tblStyle w:val="9"/>
        <w:tblpPr w:leftFromText="180" w:rightFromText="180" w:vertAnchor="text" w:horzAnchor="margin" w:tblpXSpec="center" w:tblpY="128"/>
        <w:tblW w:w="9378" w:type="dxa"/>
        <w:tblInd w:w="0" w:type="dxa"/>
        <w:tblLayout w:type="fixed"/>
        <w:tblCellMar>
          <w:top w:w="0" w:type="dxa"/>
          <w:left w:w="108" w:type="dxa"/>
          <w:bottom w:w="0" w:type="dxa"/>
          <w:right w:w="108" w:type="dxa"/>
        </w:tblCellMar>
      </w:tblPr>
      <w:tblGrid>
        <w:gridCol w:w="779"/>
        <w:gridCol w:w="779"/>
        <w:gridCol w:w="1104"/>
        <w:gridCol w:w="950"/>
        <w:gridCol w:w="1134"/>
        <w:gridCol w:w="53"/>
        <w:gridCol w:w="849"/>
        <w:gridCol w:w="1127"/>
        <w:gridCol w:w="137"/>
        <w:gridCol w:w="567"/>
        <w:gridCol w:w="748"/>
        <w:gridCol w:w="279"/>
        <w:gridCol w:w="872"/>
      </w:tblGrid>
      <w:tr>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20"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11010622T000000428554-部门运转聘用人员经费</w:t>
            </w:r>
          </w:p>
        </w:tc>
      </w:tr>
      <w:tr>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人事教育培训科</w:t>
            </w:r>
          </w:p>
        </w:tc>
      </w:tr>
      <w:tr>
        <w:tblPrEx>
          <w:tblCellMar>
            <w:top w:w="0" w:type="dxa"/>
            <w:left w:w="108" w:type="dxa"/>
            <w:bottom w:w="0" w:type="dxa"/>
            <w:right w:w="108" w:type="dxa"/>
          </w:tblCellMar>
        </w:tblPrEx>
        <w:trPr>
          <w:trHeight w:val="306" w:hRule="exact"/>
        </w:trPr>
        <w:tc>
          <w:tcPr>
            <w:tcW w:w="155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陈丽</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0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83656501</w:t>
            </w:r>
          </w:p>
        </w:tc>
      </w:tr>
      <w:tr>
        <w:tblPrEx>
          <w:tblCellMar>
            <w:top w:w="0" w:type="dxa"/>
            <w:left w:w="108" w:type="dxa"/>
            <w:bottom w:w="0" w:type="dxa"/>
            <w:right w:w="108" w:type="dxa"/>
          </w:tblCellMar>
        </w:tblPrEx>
        <w:trPr>
          <w:trHeight w:val="567" w:hRule="exact"/>
        </w:trPr>
        <w:tc>
          <w:tcPr>
            <w:tcW w:w="155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2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100</w:t>
            </w:r>
            <w:r>
              <w:rPr>
                <w:rFonts w:hint="eastAsia" w:ascii="仿宋_GB2312" w:hAnsi="宋体" w:eastAsia="仿宋_GB2312" w:cs="宋体"/>
                <w:kern w:val="0"/>
                <w:szCs w:val="21"/>
              </w:rPr>
              <w:t>%</w:t>
            </w: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10</w:t>
            </w:r>
          </w:p>
        </w:tc>
      </w:tr>
      <w:tr>
        <w:tblPrEx>
          <w:tblCellMar>
            <w:top w:w="0" w:type="dxa"/>
            <w:left w:w="108" w:type="dxa"/>
            <w:bottom w:w="0" w:type="dxa"/>
            <w:right w:w="108" w:type="dxa"/>
          </w:tblCellMar>
        </w:tblPrEx>
        <w:trPr>
          <w:trHeight w:val="343"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456.28</w:t>
            </w:r>
          </w:p>
        </w:tc>
        <w:tc>
          <w:tcPr>
            <w:tcW w:w="9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77"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5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7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57" w:hRule="exact"/>
        </w:trPr>
        <w:tc>
          <w:tcPr>
            <w:tcW w:w="7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6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829" w:hRule="exact"/>
        </w:trPr>
        <w:tc>
          <w:tcPr>
            <w:tcW w:w="7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69"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通过劳务派遣的形式，完成59名公务用车驾驶员的聘用，确保日常出勤保障任务顺利完成。通过劳务派遣、自聘的形式，聘用4名后勤人员，确保膳食科、管理四科、管理六科等有关岗位的日常工作正常运行。</w:t>
            </w:r>
          </w:p>
        </w:tc>
        <w:tc>
          <w:tcPr>
            <w:tcW w:w="373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2022年，全年保障运输、应急、调研和老干部用车6.79万车次，执法用车5.92万车次，安全行车210万公里，无重大责任事故；</w:t>
            </w:r>
            <w:r>
              <w:rPr>
                <w:rFonts w:hint="eastAsia" w:ascii="仿宋_GB2312" w:hAnsi="宋体" w:eastAsia="仿宋_GB2312" w:cs="宋体"/>
                <w:bCs/>
                <w:kern w:val="0"/>
                <w:szCs w:val="21"/>
              </w:rPr>
              <w:t>膳食科、管理四科、管理六科等派遣及自聘后勤人员的相关工作无纰漏，日常工作有序运行。</w:t>
            </w:r>
          </w:p>
        </w:tc>
      </w:tr>
      <w:tr>
        <w:tblPrEx>
          <w:tblCellMar>
            <w:top w:w="0" w:type="dxa"/>
            <w:left w:w="108" w:type="dxa"/>
            <w:bottom w:w="0" w:type="dxa"/>
            <w:right w:w="108" w:type="dxa"/>
          </w:tblCellMar>
        </w:tblPrEx>
        <w:trPr>
          <w:trHeight w:val="707" w:hRule="exact"/>
        </w:trPr>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40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产出指标（80分）</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劳务派遣司机人数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3"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劳务派遣、自聘后勤人员人数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99"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公务用车保障情况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公务用车保障有序，无差错</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全年保障各类用车12.71万车次，安全行车210万公里，无重大责任事故</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68"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后勤人员工作情况</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相关岗位的日常工作正常运行</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相关工作无纰漏，日常工作有序运行</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是否按时完成各项工作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Cs/>
                <w:kern w:val="0"/>
                <w:szCs w:val="21"/>
              </w:rPr>
            </w:pPr>
            <w:r>
              <w:rPr>
                <w:rFonts w:hint="eastAsia" w:ascii="仿宋_GB2312" w:hAnsi="宋体" w:eastAsia="仿宋_GB2312" w:cs="宋体"/>
                <w:bCs/>
                <w:kern w:val="0"/>
                <w:szCs w:val="21"/>
              </w:rPr>
              <w:t>按时保障各类公务用车</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bCs/>
                <w:kern w:val="0"/>
                <w:szCs w:val="21"/>
              </w:rPr>
              <w:t>按时保障各类公务用车</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5"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是否在预设成本控制范围内</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456.05</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2"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4"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16" w:hRule="exac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指标（20分）</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项目受益人对项目实施的满意程度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好评率100%</w:t>
            </w:r>
          </w:p>
        </w:tc>
        <w:tc>
          <w:tcPr>
            <w:tcW w:w="126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好评率98%</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9" w:hRule="exact"/>
        </w:trPr>
        <w:tc>
          <w:tcPr>
            <w:tcW w:w="691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1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392"/>
        <w:gridCol w:w="312"/>
        <w:gridCol w:w="397"/>
        <w:gridCol w:w="449"/>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11010623T000001892058-疫情防控电子哨兵设备购置经费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在各办公区安装12台疫情通行电子哨兵设备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“疫情通行电子哨兵”实现“机关一卡通”查验健康宝、出入证、核酸检测证明、测温通行“四合一”，提升了疫情检验工作效率，减少了人员聚集和车辆拥堵</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安装批次</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2次</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安装台数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12台</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产品使用率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产品合格率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安装时间</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当年8月前完</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ascii="仿宋_GB2312" w:hAnsi="宋体" w:eastAsia="仿宋_GB2312" w:cs="宋体"/>
                <w:kern w:val="0"/>
                <w:szCs w:val="21"/>
              </w:rPr>
              <w:t>.4</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5.4</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确保各办公区人员出入通行</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确保各办公区人员出入通行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疫情防控期间，确保各办公区人员安全进出</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疫情防控期间，确保各办公区人员安全进出</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疫情防控期间的防疫检测得到工作人员的一致好评</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疫情防控期间的防疫检测得到工作人员的一致好评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.8</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848"/>
        <w:gridCol w:w="279"/>
        <w:gridCol w:w="284"/>
        <w:gridCol w:w="420"/>
        <w:gridCol w:w="35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11010622T000000429268-福成大厦办公区消防维保经费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w:t>
            </w:r>
            <w:r>
              <w:rPr>
                <w:rFonts w:hint="eastAsia" w:ascii="仿宋_GB2312" w:hAnsi="宋体" w:eastAsia="仿宋_GB2312" w:cs="宋体"/>
                <w:kern w:val="0"/>
                <w:szCs w:val="21"/>
              </w:rPr>
              <w:t>5</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74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对福成大厦861台灭火器完成年检工作</w:t>
            </w:r>
          </w:p>
        </w:tc>
        <w:tc>
          <w:tcPr>
            <w:tcW w:w="3595" w:type="dxa"/>
            <w:gridSpan w:val="7"/>
            <w:tcBorders>
              <w:top w:val="single" w:color="auto" w:sz="4" w:space="0"/>
              <w:left w:val="nil"/>
              <w:bottom w:val="single" w:color="auto" w:sz="4" w:space="0"/>
              <w:right w:val="single" w:color="auto" w:sz="4" w:space="0"/>
            </w:tcBorders>
            <w:vAlign w:val="center"/>
          </w:tcPr>
          <w:p>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ABC干粉灭火器5公斤完成年检数量834台</w:t>
            </w:r>
          </w:p>
          <w:p>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ABC干粉推车灭火器35公斤完成年检2台</w:t>
            </w:r>
          </w:p>
          <w:p>
            <w:pPr>
              <w:widowControl/>
              <w:numPr>
                <w:ilvl w:val="0"/>
                <w:numId w:val="7"/>
              </w:numPr>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二氧化碳灭火器2公斤完成年检20台</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4、二氧化碳灭火器5公斤完成年检5台</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年检次数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年检台数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861台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年检合格率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年检时间</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ascii="仿宋_GB2312" w:hAnsi="宋体" w:eastAsia="仿宋_GB2312" w:cs="宋体"/>
                <w:kern w:val="0"/>
                <w:szCs w:val="21"/>
              </w:rPr>
              <w:t>.23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确保福成大厦灭火器可安全使用</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确保福成大厦灭火器可安全使用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为福成大厦防火工作提供保障</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为福成大厦防火工作提供保障</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w:t>
            </w:r>
            <w:r>
              <w:rPr>
                <w:rFonts w:hint="eastAsia" w:ascii="仿宋_GB2312" w:hAnsi="宋体" w:eastAsia="仿宋_GB2312" w:cs="宋体"/>
                <w:color w:val="000000"/>
                <w:kern w:val="0"/>
                <w:szCs w:val="21"/>
              </w:rPr>
              <w:t>不</w:t>
            </w:r>
            <w:r>
              <w:rPr>
                <w:rFonts w:ascii="仿宋_GB2312" w:hAnsi="宋体" w:eastAsia="仿宋_GB2312" w:cs="宋体"/>
                <w:color w:val="000000"/>
                <w:kern w:val="0"/>
                <w:szCs w:val="21"/>
              </w:rPr>
              <w:t>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50"/>
        <w:gridCol w:w="982"/>
        <w:gridCol w:w="952"/>
        <w:gridCol w:w="175"/>
        <w:gridCol w:w="392"/>
        <w:gridCol w:w="312"/>
        <w:gridCol w:w="397"/>
        <w:gridCol w:w="449"/>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11010622T000000429266-丽泽办公区火灾报警设备更换维修经费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安全保卫科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赵松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83656499</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r>
              <w:rPr>
                <w:rFonts w:ascii="仿宋_GB2312" w:hAnsi="宋体" w:eastAsia="仿宋_GB2312" w:cs="宋体"/>
                <w:kern w:val="0"/>
                <w:szCs w:val="21"/>
              </w:rPr>
              <w:t>.</w:t>
            </w:r>
            <w:r>
              <w:rPr>
                <w:rFonts w:hint="eastAsia" w:ascii="仿宋_GB2312" w:hAnsi="宋体" w:eastAsia="仿宋_GB2312" w:cs="宋体"/>
                <w:kern w:val="0"/>
                <w:szCs w:val="21"/>
              </w:rPr>
              <w:t>34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r>
              <w:rPr>
                <w:rFonts w:ascii="仿宋_GB2312" w:hAnsi="宋体" w:eastAsia="仿宋_GB2312" w:cs="宋体"/>
                <w:kern w:val="0"/>
                <w:szCs w:val="21"/>
              </w:rPr>
              <w:t>.2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1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9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1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对丽泽办公区消防报警及联动系统设备安装</w:t>
            </w:r>
          </w:p>
        </w:tc>
        <w:tc>
          <w:tcPr>
            <w:tcW w:w="3387" w:type="dxa"/>
            <w:gridSpan w:val="7"/>
            <w:tcBorders>
              <w:top w:val="single" w:color="auto" w:sz="4" w:space="0"/>
              <w:left w:val="nil"/>
              <w:bottom w:val="single" w:color="auto" w:sz="4" w:space="0"/>
              <w:right w:val="single" w:color="auto" w:sz="4" w:space="0"/>
            </w:tcBorders>
            <w:vAlign w:val="center"/>
          </w:tcPr>
          <w:p>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线管、线槽内导线敷设</w:t>
            </w:r>
          </w:p>
          <w:p>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消防报警设备安装</w:t>
            </w:r>
          </w:p>
          <w:p>
            <w:pPr>
              <w:widowControl/>
              <w:numPr>
                <w:ilvl w:val="0"/>
                <w:numId w:val="8"/>
              </w:numPr>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消防泵调试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措施</w:t>
            </w:r>
          </w:p>
        </w:tc>
      </w:tr>
      <w:tr>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安装设备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1137台</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竣工交验合格率</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竣工时间</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当年完成</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85.34</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确保丽泽办公区消防报警系统投入使用</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确保丽泽办公区消防报警系统投入使用</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为丽泽办公区防火工作提供保障</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为丽泽办公区防火工作提供保障</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0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工作人员满意</w:t>
            </w:r>
          </w:p>
        </w:tc>
        <w:tc>
          <w:tcPr>
            <w:tcW w:w="98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工作人员满意</w:t>
            </w:r>
          </w:p>
        </w:tc>
        <w:tc>
          <w:tcPr>
            <w:tcW w:w="9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好评率达98%</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3" w:hRule="exact"/>
          <w:jc w:val="center"/>
        </w:trPr>
        <w:tc>
          <w:tcPr>
            <w:tcW w:w="6603"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r>
              <w:rPr>
                <w:rFonts w:ascii="仿宋_GB2312" w:hAnsi="宋体" w:eastAsia="仿宋_GB2312" w:cs="宋体"/>
                <w:color w:val="000000"/>
                <w:kern w:val="0"/>
                <w:szCs w:val="21"/>
              </w:rPr>
              <w:t>.6</w:t>
            </w:r>
          </w:p>
        </w:tc>
        <w:tc>
          <w:tcPr>
            <w:tcW w:w="11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11010622T000000429331-厨余垃圾处理费</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29.1</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29.1</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29.1</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66" w:hRule="exact"/>
        </w:trPr>
        <w:tc>
          <w:tcPr>
            <w:tcW w:w="42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北京市城市管理委员会、北京发展和改革委员会、北京市财政局、北京市市场监督管理局关于加强本市非居民厨余垃圾计量收费管理工作的通知》文件精神，申请厨余垃圾处理费，保证我中心厨余垃圾顺利清运。</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圆满保障我中心所辖办公区非居民厨余垃圾清运工作。</w:t>
            </w:r>
          </w:p>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按时按点清运厨余垃圾满足工作需求</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保障每个点位清运彻底无遗漏</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29.1</w:t>
            </w:r>
          </w:p>
        </w:tc>
        <w:tc>
          <w:tcPr>
            <w:tcW w:w="107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29.1</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是否保证工作顺利开展</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保障工作顺利开展</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7"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11010622T000000429324-创建国家级卫生区专项经费</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16.648</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5.14</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5.14</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70" w:hRule="atLeast"/>
        </w:trPr>
        <w:tc>
          <w:tcPr>
            <w:tcW w:w="42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根据创卫工作开展情况，增加额外病媒消杀频次、督导检查轮次、应急检查及日常监测。保证创卫病媒验收工作顺利圆满进行。</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根据上级工作要求，我科室于2022年9月安排第三方公司为各办公区做全面病媒消杀工作，保障我中心顺利通过年底区级病媒生物防治工作验收。</w:t>
            </w:r>
          </w:p>
        </w:tc>
      </w:tr>
      <w:tr>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消杀药品符合相关规定</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91"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7"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5.144</w:t>
            </w:r>
          </w:p>
        </w:tc>
        <w:tc>
          <w:tcPr>
            <w:tcW w:w="107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5.144</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是否保证创卫工作顺利开展</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保障创卫工作顺利开展</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59"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2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1" w:hRule="atLeast"/>
        </w:trPr>
        <w:tc>
          <w:tcPr>
            <w:tcW w:w="67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黑体" w:hAnsi="黑体" w:eastAsia="黑体"/>
          <w:sz w:val="28"/>
          <w:szCs w:val="28"/>
        </w:rPr>
      </w:pPr>
      <w:r>
        <w:rPr>
          <w:rFonts w:hint="eastAsia" w:ascii="方正小标宋简体" w:hAnsi="黑体" w:eastAsia="方正小标宋简体"/>
          <w:sz w:val="36"/>
          <w:szCs w:val="36"/>
        </w:rPr>
        <w:t>项目支出绩效自评表</w:t>
      </w:r>
    </w:p>
    <w:p>
      <w:pPr>
        <w:spacing w:line="480" w:lineRule="exact"/>
        <w:jc w:val="center"/>
        <w:rPr>
          <w:rFonts w:hint="eastAsia" w:ascii="方正小标宋简体" w:hAnsi="黑体" w:eastAsia="方正小标宋简体"/>
          <w:sz w:val="36"/>
          <w:szCs w:val="36"/>
        </w:rPr>
      </w:pPr>
      <w:r>
        <w:rPr>
          <w:rFonts w:hint="eastAsia" w:ascii="仿宋_GB2312" w:hAnsi="宋体" w:eastAsia="仿宋_GB2312"/>
          <w:sz w:val="24"/>
        </w:rPr>
        <w:t xml:space="preserve">（  </w:t>
      </w:r>
      <w:r>
        <w:rPr>
          <w:rFonts w:hint="eastAsia" w:ascii="仿宋_GB2312" w:hAnsi="宋体" w:eastAsia="仿宋_GB2312"/>
          <w:b/>
          <w:sz w:val="24"/>
        </w:rPr>
        <w:t>2022</w:t>
      </w:r>
      <w:r>
        <w:rPr>
          <w:rFonts w:hint="eastAsia" w:ascii="仿宋_GB2312" w:hAnsi="宋体" w:eastAsia="仿宋_GB2312"/>
          <w:sz w:val="24"/>
        </w:rPr>
        <w:t>年度）</w:t>
      </w:r>
    </w:p>
    <w:tbl>
      <w:tblPr>
        <w:tblStyle w:val="9"/>
        <w:tblpPr w:leftFromText="180" w:rightFromText="180" w:vertAnchor="text" w:horzAnchor="margin" w:tblpXSpec="center" w:tblpY="128"/>
        <w:tblW w:w="9558" w:type="dxa"/>
        <w:tblInd w:w="0" w:type="dxa"/>
        <w:tblLayout w:type="fixed"/>
        <w:tblCellMar>
          <w:top w:w="0" w:type="dxa"/>
          <w:left w:w="108" w:type="dxa"/>
          <w:bottom w:w="0" w:type="dxa"/>
          <w:right w:w="108" w:type="dxa"/>
        </w:tblCellMar>
      </w:tblPr>
      <w:tblGrid>
        <w:gridCol w:w="423"/>
        <w:gridCol w:w="735"/>
        <w:gridCol w:w="402"/>
        <w:gridCol w:w="858"/>
        <w:gridCol w:w="1197"/>
        <w:gridCol w:w="588"/>
        <w:gridCol w:w="546"/>
        <w:gridCol w:w="902"/>
        <w:gridCol w:w="1072"/>
        <w:gridCol w:w="55"/>
        <w:gridCol w:w="575"/>
        <w:gridCol w:w="129"/>
        <w:gridCol w:w="606"/>
        <w:gridCol w:w="240"/>
        <w:gridCol w:w="1230"/>
      </w:tblGrid>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99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4"/>
              </w:rPr>
              <w:t>11010622T000000429320-专项工作保障经费</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服务科</w:t>
            </w:r>
          </w:p>
        </w:tc>
      </w:tr>
      <w:tr>
        <w:tblPrEx>
          <w:tblCellMar>
            <w:top w:w="0" w:type="dxa"/>
            <w:left w:w="108" w:type="dxa"/>
            <w:bottom w:w="0" w:type="dxa"/>
            <w:right w:w="108" w:type="dxa"/>
          </w:tblCellMar>
        </w:tblPrEx>
        <w:trPr>
          <w:trHeight w:val="306" w:hRule="exact"/>
        </w:trPr>
        <w:tc>
          <w:tcPr>
            <w:tcW w:w="1560"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甄春红</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78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83656456</w:t>
            </w:r>
          </w:p>
        </w:tc>
      </w:tr>
      <w:tr>
        <w:tblPrEx>
          <w:tblCellMar>
            <w:top w:w="0" w:type="dxa"/>
            <w:left w:w="108" w:type="dxa"/>
            <w:bottom w:w="0" w:type="dxa"/>
            <w:right w:w="108" w:type="dxa"/>
          </w:tblCellMar>
        </w:tblPrEx>
        <w:trPr>
          <w:trHeight w:val="567" w:hRule="exact"/>
        </w:trPr>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343"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5</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szCs w:val="21"/>
              </w:rPr>
            </w:pPr>
            <w:r>
              <w:rPr>
                <w:rFonts w:hint="eastAsia" w:ascii="宋体" w:hAnsi="宋体"/>
                <w:szCs w:val="21"/>
              </w:rPr>
              <w:t>4.9</w:t>
            </w:r>
          </w:p>
        </w:tc>
        <w:tc>
          <w:tcPr>
            <w:tcW w:w="1127"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4.9</w:t>
            </w:r>
          </w:p>
        </w:tc>
        <w:tc>
          <w:tcPr>
            <w:tcW w:w="704" w:type="dxa"/>
            <w:gridSpan w:val="2"/>
            <w:tcBorders>
              <w:top w:val="nil"/>
              <w:left w:val="nil"/>
              <w:bottom w:val="single" w:color="auto" w:sz="4" w:space="0"/>
              <w:right w:val="single" w:color="auto" w:sz="4" w:space="0"/>
            </w:tcBorders>
            <w:vAlign w:val="center"/>
          </w:tcPr>
          <w:p>
            <w:pPr>
              <w:jc w:val="center"/>
              <w:rPr>
                <w:rFonts w:hint="eastAsia" w:ascii="宋体" w:hAnsi="宋体"/>
                <w:szCs w:val="21"/>
              </w:rPr>
            </w:pPr>
            <w:r>
              <w:rPr>
                <w:rFonts w:ascii="宋体" w:hAnsi="宋体"/>
                <w:szCs w:val="21"/>
              </w:rPr>
              <w:t>10</w:t>
            </w:r>
          </w:p>
        </w:tc>
        <w:tc>
          <w:tcPr>
            <w:tcW w:w="846"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100%</w:t>
            </w:r>
          </w:p>
          <w:p>
            <w:pPr>
              <w:jc w:val="center"/>
              <w:rPr>
                <w:rFonts w:hint="eastAsia" w:ascii="宋体" w:hAnsi="宋体"/>
                <w:szCs w:val="21"/>
              </w:rPr>
            </w:pPr>
            <w:r>
              <w:rPr>
                <w:rFonts w:ascii="宋体" w:hAnsi="宋体"/>
                <w:szCs w:val="21"/>
              </w:rPr>
              <w:t>%</w:t>
            </w:r>
          </w:p>
        </w:tc>
        <w:tc>
          <w:tcPr>
            <w:tcW w:w="1230" w:type="dxa"/>
            <w:tcBorders>
              <w:top w:val="nil"/>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10</w:t>
            </w:r>
          </w:p>
        </w:tc>
      </w:tr>
      <w:tr>
        <w:tblPrEx>
          <w:tblCellMar>
            <w:top w:w="0" w:type="dxa"/>
            <w:left w:w="108" w:type="dxa"/>
            <w:bottom w:w="0" w:type="dxa"/>
            <w:right w:w="108" w:type="dxa"/>
          </w:tblCellMar>
        </w:tblPrEx>
        <w:trPr>
          <w:trHeight w:val="277"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704"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c>
          <w:tcPr>
            <w:tcW w:w="123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306" w:hRule="exact"/>
        </w:trPr>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0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0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57" w:hRule="exact"/>
        </w:trPr>
        <w:tc>
          <w:tcPr>
            <w:tcW w:w="42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851" w:hRule="atLeast"/>
        </w:trPr>
        <w:tc>
          <w:tcPr>
            <w:tcW w:w="42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228"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根据创卫、垃圾分类、控烟、健康促进机关等工作安排支出此项目经费，包括但不限于更换破损垃圾桶，制作以上工作的宣传海报、宣传品等，保证以上工作顺利圆满开展。</w:t>
            </w:r>
          </w:p>
        </w:tc>
        <w:tc>
          <w:tcPr>
            <w:tcW w:w="3907" w:type="dxa"/>
            <w:gridSpan w:val="7"/>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1.根据各办公区垃圾桶破损情况购置新的垃圾桶，以以旧换新的原则进行发放。</w:t>
            </w:r>
          </w:p>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2.按照创卫工作安排购置相应的宣传品进行发放。</w:t>
            </w:r>
          </w:p>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6" w:hRule="exact"/>
        </w:trPr>
        <w:tc>
          <w:tcPr>
            <w:tcW w:w="42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产出指标（60分）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满足以上工作的工作需求</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785"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物资质量符合标准，经验收合格后正常使用</w:t>
            </w:r>
          </w:p>
        </w:tc>
        <w:tc>
          <w:tcPr>
            <w:tcW w:w="1448"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按合同规定日期付款</w:t>
            </w:r>
          </w:p>
        </w:tc>
        <w:tc>
          <w:tcPr>
            <w:tcW w:w="1448"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63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5" w:hRule="atLeas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48"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4.9</w:t>
            </w:r>
          </w:p>
        </w:tc>
        <w:tc>
          <w:tcPr>
            <w:tcW w:w="107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4.9</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6"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效益指标（20分）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是否保证三项工作顺利开展</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保障三项工作顺利开展</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已达到预期目标</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93"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8"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85"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7" w:hRule="exact"/>
        </w:trPr>
        <w:tc>
          <w:tcPr>
            <w:tcW w:w="4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满意度指标（10</w:t>
            </w:r>
            <w:r>
              <w:rPr>
                <w:rFonts w:hint="eastAsia" w:ascii="仿宋_GB2312" w:hAnsi="宋体" w:eastAsia="仿宋_GB2312" w:cs="宋体"/>
                <w:kern w:val="0"/>
                <w:szCs w:val="21"/>
              </w:rPr>
              <w:t>分）</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各办公区工作人员对我中心相关工作比较满意</w:t>
            </w:r>
          </w:p>
        </w:tc>
        <w:tc>
          <w:tcPr>
            <w:tcW w:w="14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完成预期目标</w:t>
            </w:r>
          </w:p>
        </w:tc>
        <w:tc>
          <w:tcPr>
            <w:tcW w:w="107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9" w:hRule="exact"/>
        </w:trPr>
        <w:tc>
          <w:tcPr>
            <w:tcW w:w="6723"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4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480" w:lineRule="exact"/>
        <w:rPr>
          <w:rFonts w:ascii="方正小标宋简体" w:eastAsia="方正小标宋简体"/>
          <w:sz w:val="36"/>
          <w:szCs w:val="36"/>
        </w:rPr>
      </w:pPr>
      <w:r>
        <w:rPr>
          <w:rFonts w:hint="eastAsia" w:ascii="方正小标宋简体" w:eastAsia="方正小标宋简体"/>
          <w:sz w:val="36"/>
          <w:szCs w:val="36"/>
        </w:rPr>
        <w:t xml:space="preserve">  </w:t>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11010622T000001715466-1号楼1012、1110会议室设备、家具经费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对会议室进行升级改造，满足办公需求。</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通过对会议室保障，满足了机关日常办公需求，进一步做好了机关后勤服务保障工作，提升了服务保障能力。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家具和设备质量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9.52万元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06"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1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4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11010623T000002186146-910、1210会议室升级改造项目</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2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2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1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对会议室进行升级改造，确保办公区正常运转，满足各单位办公需求。</w:t>
            </w:r>
          </w:p>
        </w:tc>
        <w:tc>
          <w:tcPr>
            <w:tcW w:w="345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满足了机关日常办公需求，满足了会议需求，进一步做好了机关后勤服务保障工作，提升了服务保障能力。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36.76</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3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3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rPr>
          <w:rFonts w:hint="eastAsia"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11010622T000000429241-办公家具购置经费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对我中心统管各单位损坏且无法修复的办公家具进行报废更新，对新增人员及新增临时机构需求的办公家具进行购置，对会议室进行升级改造，确保各办公区正常运转，满足各单位办公需求。</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62.64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11010622T000000429237-办公设备购置经费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20"/>
                <w:szCs w:val="20"/>
              </w:rPr>
              <w:t>29.78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对我中心统管各单位损坏且无法修复的办公设备进行报废更新，对新增人员及新增临时机构需求的办公设备进行购置，对会议室设备进行升级改造，确保各办公区正常运转，满足各单位办公需求。</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通过对我中心统管的各单位、各临时机构、各会议室保障，满足了机关日常办公需求，进一步做好了机关后勤服务保障工作，提升了服务保障能力。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报废更新数量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设备质量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30万元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29.78万元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11010622T000001715488-丰台区融媒体中心建设项目（一期）第二阶段空调配套经费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15.29万元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5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11010622T000001706189-丰台区融媒体中心建设项目(一期)第二阶段项目空调设备采购经费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8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购置融媒体中心装修改造所需空调，满足办公需求。</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按照预期购置了融媒体中心装修改造所需空调，型号均在配置标准范围内。</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空调型号</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空调质量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76.40万元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各相关单位对办公设备比较满意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62"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6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02"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11010622T000000429274-固定资产及库房管理系统平台运维费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28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机关事务管理服务中心政府固定资产管理及库房管理系统平台平稳有效运行、保证软件系统应用体验。通过日常技术支持、系统日常服务、系统运行状态监控、系统故障处理，有效保障业务系统可靠、安全、平稳、高效运行。</w:t>
            </w:r>
          </w:p>
        </w:tc>
        <w:tc>
          <w:tcPr>
            <w:tcW w:w="351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保障了平台平稳有效运行、保证了软件系统应用体验，通过日常技术支持、系统日常服务、系统运行状态监控、系统故障处理，有效做好了保障工作，进一步提升系统服务水平。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1套</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1套</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保障系统稳定运行，及时解决问题</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Cs w:val="21"/>
              </w:rPr>
              <w:t>二十四小时内响应</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维护基础数据,根据用户的变化分配用户权限</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Cs w:val="21"/>
              </w:rPr>
              <w:t>数据准确率100%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4.48万元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环保效益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18"/>
                <w:szCs w:val="18"/>
              </w:rPr>
              <w:t>通过系统实现无纸化办公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5"/>
                <w:szCs w:val="15"/>
              </w:rPr>
            </w:pPr>
            <w:r>
              <w:rPr>
                <w:rFonts w:hint="eastAsia" w:ascii="仿宋_GB2312" w:hAnsi="宋体" w:eastAsia="仿宋_GB2312" w:cs="宋体"/>
                <w:kern w:val="0"/>
                <w:sz w:val="15"/>
                <w:szCs w:val="15"/>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各相关单位系统比较满意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8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r>
        <w:rPr>
          <w:rFonts w:hint="eastAsia" w:ascii="仿宋_GB2312" w:eastAsia="仿宋_GB2312"/>
          <w:vanish/>
          <w:sz w:val="32"/>
          <w:szCs w:val="32"/>
        </w:rPr>
        <w:t xml:space="preserve">   填</w:t>
      </w:r>
      <w:r>
        <w:rPr>
          <w:rFonts w:ascii="仿宋_GB2312" w:eastAsia="仿宋_GB2312"/>
          <w:vanish/>
          <w:sz w:val="32"/>
          <w:szCs w:val="32"/>
        </w:rPr>
        <w:t>表人：</w:t>
      </w:r>
      <w:r>
        <w:rPr>
          <w:rFonts w:hint="eastAsia" w:ascii="仿宋_GB2312" w:eastAsia="仿宋_GB2312"/>
          <w:vanish/>
          <w:sz w:val="32"/>
          <w:szCs w:val="32"/>
        </w:rPr>
        <w:t xml:space="preserve">              科室</w:t>
      </w:r>
      <w:r>
        <w:rPr>
          <w:rFonts w:ascii="仿宋_GB2312" w:eastAsia="仿宋_GB2312"/>
          <w:vanish/>
          <w:sz w:val="32"/>
          <w:szCs w:val="32"/>
        </w:rPr>
        <w:t>负责人签字：</w:t>
      </w:r>
    </w:p>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11010623T000001875401-投促中心晋商联合大厦办公区家具购置经费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38"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投促中心搬家，购置其搬家后所需办公家具，满足办公需求。</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按照预期购置了投促中心会议室、接待室、处级领导所需部分家具。</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家具款式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符合标准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5.85万元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jc w:val="cente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34" w:type="dxa"/>
        <w:jc w:val="center"/>
        <w:tblLayout w:type="fixed"/>
        <w:tblCellMar>
          <w:top w:w="0" w:type="dxa"/>
          <w:left w:w="108" w:type="dxa"/>
          <w:bottom w:w="0" w:type="dxa"/>
          <w:right w:w="108" w:type="dxa"/>
        </w:tblCellMar>
      </w:tblPr>
      <w:tblGrid>
        <w:gridCol w:w="585"/>
        <w:gridCol w:w="975"/>
        <w:gridCol w:w="1105"/>
        <w:gridCol w:w="727"/>
        <w:gridCol w:w="1127"/>
        <w:gridCol w:w="1132"/>
        <w:gridCol w:w="848"/>
        <w:gridCol w:w="279"/>
        <w:gridCol w:w="284"/>
        <w:gridCol w:w="420"/>
        <w:gridCol w:w="239"/>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7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8"/>
                <w:szCs w:val="18"/>
              </w:rPr>
              <w:t>11010623T000001913439-文体路6号院办公家具购置经费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资产科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郑亚媚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83656487</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2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文体路6号院组织部办公家具购置，满足办公需求。</w:t>
            </w:r>
          </w:p>
        </w:tc>
        <w:tc>
          <w:tcPr>
            <w:tcW w:w="348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按照预期购置了所需家具。</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家具数量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满足需求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家具质量</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符合规定</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验收合格率</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完成</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支出时间</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 w:val="20"/>
                <w:szCs w:val="20"/>
              </w:rPr>
              <w:t>当年12月前</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20"/>
                <w:szCs w:val="20"/>
              </w:rPr>
              <w:t>通过严格的成本控制，相关支出控制在预算范围内。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20.61万元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是否面向中小微企业</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中小微企业超70%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854"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1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54"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各相关单位对办公家具比较满意</w:t>
            </w:r>
          </w:p>
        </w:tc>
        <w:tc>
          <w:tcPr>
            <w:tcW w:w="11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90%以上</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完成预期指标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1127"/>
        <w:gridCol w:w="100"/>
        <w:gridCol w:w="1032"/>
        <w:gridCol w:w="848"/>
        <w:gridCol w:w="279"/>
        <w:gridCol w:w="284"/>
        <w:gridCol w:w="420"/>
        <w:gridCol w:w="28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11010623T000002121188-</w:t>
            </w:r>
            <w:r>
              <w:rPr>
                <w:rFonts w:hint="eastAsia" w:ascii="仿宋_GB2312" w:hAnsi="宋体" w:eastAsia="仿宋_GB2312" w:cs="宋体"/>
                <w:kern w:val="0"/>
                <w:sz w:val="18"/>
                <w:szCs w:val="18"/>
              </w:rPr>
              <w:t>2022年下半年防控办综合协调组办公用品和加值班餐</w:t>
            </w:r>
            <w:r>
              <w:rPr>
                <w:rFonts w:hint="eastAsia" w:ascii="仿宋_GB2312" w:hAnsi="宋体" w:eastAsia="仿宋_GB2312" w:cs="宋体"/>
                <w:kern w:val="0"/>
                <w:szCs w:val="21"/>
              </w:rPr>
              <w:t>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按照防控办综合协调组提交的办公用品计划单，完成相应的采购工作，确保疫情防控工作顺利开展，满足工作要求。</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通过完成防控办综合协调组提交的办公用品采购计划单确保了办公用品的日常需求，进一步做好了机关后勤服务保障工作，提升服务保障能力。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95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03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954" w:type="dxa"/>
            <w:gridSpan w:val="3"/>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完成防控办综合协调组专班提交的办公用品采购计划单</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954" w:type="dxa"/>
            <w:gridSpan w:val="3"/>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954" w:type="dxa"/>
            <w:gridSpan w:val="3"/>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954" w:type="dxa"/>
            <w:gridSpan w:val="3"/>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17.37</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954" w:type="dxa"/>
            <w:gridSpan w:val="3"/>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954" w:type="dxa"/>
            <w:gridSpan w:val="3"/>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032"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11010622T000001495608-北京2022年冬奥会活动保障经费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按照冬奥保障组提交的办公用品采购计划单完成相应的采购工作，确保活动顺利进行，满足活动需求。</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通过完成冬奥会保障组提交的办公用品采购计划单确保了办公需求，进一步做好了机关后勤服务保障工作，提升了服务保障能力。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完成冬奥保障组提交的办公用品采购计划单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3.73</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w:t>
            </w:r>
            <w:r>
              <w:rPr>
                <w:rFonts w:ascii="仿宋_GB2312" w:hAnsi="宋体" w:eastAsia="仿宋_GB2312" w:cs="宋体"/>
                <w:kern w:val="0"/>
                <w:szCs w:val="21"/>
              </w:rPr>
              <w:t>指</w:t>
            </w:r>
            <w:r>
              <w:rPr>
                <w:rFonts w:hint="eastAsia" w:ascii="仿宋_GB2312" w:hAnsi="宋体" w:eastAsia="仿宋_GB2312" w:cs="宋体"/>
                <w:kern w:val="0"/>
                <w:szCs w:val="21"/>
              </w:rPr>
              <w:t>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11010622T000000429771-集中办公区财务统管单位办公经费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25.88</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按照资产科提交的办公用品采购计划单完成办公区办公用品的采购工作，确保各办公区正常运转，满足各单位日常办公需求。</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通过完成资产科提交的办公用品采购计划单确保了我中心集中统管的各单位办公用品的日常需求，进一步做好机关后勤服务保障工作，提升服务保障能力。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23.21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32"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337"/>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11010622T000000429329-全区创建节约型机关专项经费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8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按照《北京市创建节约型机关行动方案》整体要求，将创建工作日常化，完成相应的节水节电、减少碳摆放等宣传标识采购，确保创建工作顺利开展，满足日常需求。</w:t>
            </w:r>
          </w:p>
        </w:tc>
        <w:tc>
          <w:tcPr>
            <w:tcW w:w="358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通过完成采购节约标识及制作安装宣传栏，确保了我中心各办公区创建工作的有序进行，进一步做好了机关后勤服务保障工作，提升了服务保障能力。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完成资产科提交的办公用品采购计划单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3.56</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合理利用资金保障各单位的办公用品实际需求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57"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11010623T000001913981-上半年疫苗专班办公用品和膳食保障费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按照疫苗专班提交的办公用品计划单，完成相应的采购工作，确保疫情防控工作顺利开展，满足工作要求。</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通过完成疫苗专班提交的办公用品采购计划单确保了办公用品的日常需求，进一步做好了机关后勤服务保障工作，提升服务保障能力。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完成疫苗专班提交的办公用品采购计划单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25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11010623T000001892413-上半年疫情防控办公用品及加值班餐费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按照疫情防控综合领导小组提交的办公用品计划单，完成相应的采购工作，确保疫情防控工作顺利开展，满足工作要求。</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通过完成疫情防控工作组提交的办公用品采购计划单确保了办公用品的日常需求，进一步做好了机关后勤服务保障工作，提升服务保障能力。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完成疫情防控工作组提交的办公用品采购计划单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70"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085"/>
        <w:gridCol w:w="42"/>
        <w:gridCol w:w="1132"/>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11010622T000001681352-新发地市场市级工作组住宿经费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节</w:t>
            </w:r>
            <w:r>
              <w:rPr>
                <w:rFonts w:ascii="仿宋_GB2312" w:hAnsi="宋体" w:eastAsia="仿宋_GB2312" w:cs="宋体"/>
                <w:kern w:val="0"/>
                <w:szCs w:val="21"/>
              </w:rPr>
              <w:t>能科</w:t>
            </w:r>
          </w:p>
        </w:tc>
      </w:tr>
      <w:tr>
        <w:tblPrEx>
          <w:tblCellMar>
            <w:top w:w="0" w:type="dxa"/>
            <w:left w:w="108" w:type="dxa"/>
            <w:bottom w:w="0" w:type="dxa"/>
            <w:right w:w="108" w:type="dxa"/>
          </w:tblCellMar>
        </w:tblPrEx>
        <w:trPr>
          <w:trHeight w:val="41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刘硕</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83656480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按照市级工作组提交的办公用品计划单，完成相应的采购工作，确保新发地市场市级工作组工作顺利开展，满足工作要求。</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通过完成市级工作组提交的办公用品采购计划单确保了新发地工作组办公用品的日常需求，进一步做好了机关后勤服务保障工作，提升服务保障能力。</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7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57"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kern w:val="0"/>
                <w:sz w:val="18"/>
                <w:szCs w:val="18"/>
              </w:rPr>
              <w:t>完成市级工作组提交的办公用品采购计划单</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所采购的办公用品质量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符合国家规定质量标准</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及时采购所需办公用品</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未发生因配置不到而影响工作的情况</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812"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项目预算金额控制</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66.59</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合理利用资金保障工作组的办公用品实际需求</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在预算范围内合理利用完成保障工作</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08"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812" w:type="dxa"/>
            <w:gridSpan w:val="2"/>
            <w:tcBorders>
              <w:top w:val="single" w:color="auto" w:sz="4" w:space="0"/>
              <w:left w:val="nil"/>
              <w:right w:val="single" w:color="auto" w:sz="4" w:space="0"/>
            </w:tcBorders>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各相关单位对办公用品比较满意</w:t>
            </w:r>
          </w:p>
        </w:tc>
        <w:tc>
          <w:tcPr>
            <w:tcW w:w="1174"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总体满意</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基本达到预期</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11010622T000000419222-机构运转经费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3285.52</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合理利用资金按情况完成餐饮服务商招标，完成食品原材料及食堂所需设备消耗用品、天燃气、厨师工作服等采购工作，定期完成排烟系统清洗、工服洗涤、设备维修等各项保障任务，保证各食堂顺利运转。</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充分合理利用了资金顺利保障了各食堂顺利运转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全年保障就餐人数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≥120万人次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130万人次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餐饮服务人员质量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顺利完成各食堂全年运转保障工作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3242.2</w:t>
            </w:r>
            <w:r>
              <w:rPr>
                <w:rFonts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11010622T000000431426-聘用人员伙食补贴</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合理利用资金完成食品原材料采购，保证各个集中办公区食堂正常运转，为聘用人员做好餐饮服务保障。</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充分合理利用了资金顺利保障了各办公区聘用人员就餐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8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保障食堂数量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全年保障聘用人员就餐人数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≥14万人次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14.89万人次</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餐饮服务质量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食品原材料质量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全年顺利保障各办公区临聘人员就餐</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保障全年各食堂运转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325.44</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全年未发生原材料流失、浪费现象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按要求完成扶贫采购任务持续帮扶受援地区</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购买扶贫产品占食品原材料资金的30%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实际采购比例占43%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4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5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8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11010623T000001875207-融媒体食堂开办经费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7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96"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充分合理资金支付融媒体食堂厨房设备尾款，采购开业所需其他家具、设备。</w:t>
            </w:r>
          </w:p>
        </w:tc>
        <w:tc>
          <w:tcPr>
            <w:tcW w:w="349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厨房设备按合同规定全部安装、调试到位</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102台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采购开业所需其他家具、设备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40台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40台</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厨房设备质量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开业所需其他家具、设备</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按要求完成全部安装调试工作</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49.68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通过竞争性磋商、政府采购的</w:t>
            </w:r>
            <w:r>
              <w:rPr>
                <w:rFonts w:hint="eastAsia" w:ascii="仿宋_GB2312" w:hAnsi="宋体" w:eastAsia="仿宋_GB2312" w:cs="宋体"/>
                <w:kern w:val="0"/>
                <w:szCs w:val="21"/>
              </w:rPr>
              <w:t>方式确保经</w:t>
            </w:r>
            <w:r>
              <w:rPr>
                <w:rFonts w:hint="eastAsia" w:ascii="仿宋_GB2312" w:hAnsi="宋体" w:eastAsia="仿宋_GB2312" w:cs="宋体"/>
                <w:color w:val="000000"/>
                <w:kern w:val="0"/>
                <w:szCs w:val="21"/>
              </w:rPr>
              <w:t>费使用公开合理，所购设备满足工作要求。</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价格合理、满足工作需求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社会化保障的方式完成各类设备采购、安装、调试</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7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93"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298"/>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33"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11010623T000001876386-融媒体中心食堂开业运转经费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膳食科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闻顺海</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1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83656495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7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合理利用资金采购融媒体食堂开业运转所需厨杂、消耗用品、天燃气、厨师工作服等，保证各食堂顺利运转。</w:t>
            </w:r>
          </w:p>
        </w:tc>
        <w:tc>
          <w:tcPr>
            <w:tcW w:w="354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充分合理利用了资金按要求完成了采购任务，确保融媒体食堂顺利投入使用。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按申报数量采购所需厨杂消耗品</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125类</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按实际情况采购所需工作服</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cs="宋体"/>
                <w:kern w:val="0"/>
                <w:szCs w:val="21"/>
              </w:rPr>
            </w:pPr>
            <w:r>
              <w:rPr>
                <w:rFonts w:hint="eastAsia" w:ascii="仿宋_GB2312" w:hAnsi="宋体" w:eastAsia="仿宋_GB2312" w:cs="宋体"/>
                <w:color w:val="000000"/>
                <w:kern w:val="0"/>
                <w:szCs w:val="21"/>
              </w:rPr>
              <w:t>23套</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23套</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厨杂消耗品质量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满足保障要求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工作服</w:t>
            </w:r>
            <w:r>
              <w:rPr>
                <w:rFonts w:hint="eastAsia" w:ascii="仿宋_GB2312" w:hAnsi="宋体" w:eastAsia="仿宋_GB2312" w:cs="宋体"/>
                <w:color w:val="000000"/>
                <w:kern w:val="0"/>
                <w:szCs w:val="21"/>
              </w:rPr>
              <w:t>质量</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质量可靠、满足要求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按要求全部配送到位</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rPr>
              <w:t>17.5</w:t>
            </w:r>
            <w:r>
              <w:t>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统筹分配库存，合理制定计划，通过对比择优采购，避免浪费</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全年未发生物资流失、浪费现象</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社会化采购食堂开业运转所需各类用具</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满足工作需求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达到预期目标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各食堂综合满意度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各食堂综合满意度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jc w:val="center"/>
        <w:rPr>
          <w:rFonts w:ascii="仿宋_GB2312" w:eastAsia="仿宋_GB2312"/>
          <w:vanish/>
          <w:sz w:val="32"/>
          <w:szCs w:val="32"/>
        </w:rPr>
      </w:pPr>
    </w:p>
    <w:p>
      <w:pPr>
        <w:jc w:val="center"/>
        <w:rPr>
          <w:rFonts w:ascii="仿宋_GB2312" w:eastAsia="仿宋_GB2312"/>
          <w:vanish/>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582"/>
        <w:gridCol w:w="410"/>
        <w:gridCol w:w="710"/>
      </w:tblGrid>
      <w:tr>
        <w:tblPrEx>
          <w:tblCellMar>
            <w:top w:w="0" w:type="dxa"/>
            <w:left w:w="108" w:type="dxa"/>
            <w:bottom w:w="0" w:type="dxa"/>
            <w:right w:w="108" w:type="dxa"/>
          </w:tblCellMar>
        </w:tblPrEx>
        <w:trPr>
          <w:trHeight w:val="44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spacing w:val="-20"/>
                <w:kern w:val="0"/>
                <w:szCs w:val="21"/>
              </w:rPr>
              <w:t>11010622T000001707203-（2022年1月-3月）派驻集中隔离观察点司机补助经费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集中隔离观察点派驻了2名司机，为3个月的疫情防控提供用车保障</w:t>
            </w:r>
            <w:r>
              <w:rPr>
                <w:rFonts w:hint="eastAsia" w:ascii="仿宋_GB2312" w:hAnsi="宋体" w:eastAsia="仿宋_GB2312" w:cs="宋体"/>
                <w:color w:val="000000"/>
                <w:kern w:val="0"/>
                <w:szCs w:val="21"/>
              </w:rPr>
              <w:t xml:space="preserve"> </w:t>
            </w:r>
          </w:p>
        </w:tc>
      </w:tr>
      <w:tr>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3个月</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1.8</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84" w:type="dxa"/>
        <w:jc w:val="center"/>
        <w:tblLayout w:type="fixed"/>
        <w:tblCellMar>
          <w:top w:w="0" w:type="dxa"/>
          <w:left w:w="108" w:type="dxa"/>
          <w:bottom w:w="0" w:type="dxa"/>
          <w:right w:w="108" w:type="dxa"/>
        </w:tblCellMar>
      </w:tblPr>
      <w:tblGrid>
        <w:gridCol w:w="585"/>
        <w:gridCol w:w="975"/>
        <w:gridCol w:w="1105"/>
        <w:gridCol w:w="648"/>
        <w:gridCol w:w="900"/>
        <w:gridCol w:w="1515"/>
        <w:gridCol w:w="1140"/>
        <w:gridCol w:w="161"/>
        <w:gridCol w:w="453"/>
        <w:gridCol w:w="114"/>
        <w:gridCol w:w="713"/>
        <w:gridCol w:w="165"/>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11010622T000001371478-福成大厦办公区网络租赁费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1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9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7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按时缴纳福成大厦丰台政务服务中心办公区所产生的网络租赁费用，保证办公区的网络通畅及安全。    </w:t>
            </w:r>
          </w:p>
        </w:tc>
        <w:tc>
          <w:tcPr>
            <w:tcW w:w="345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按时缴纳移动和联通2家公司的网络租赁费用，保障了福成大厦丰台政务服务中心办公区的办公网络需求</w:t>
            </w:r>
          </w:p>
        </w:tc>
      </w:tr>
      <w:tr>
        <w:tblPrEx>
          <w:tblCellMar>
            <w:top w:w="0" w:type="dxa"/>
            <w:left w:w="108" w:type="dxa"/>
            <w:bottom w:w="0" w:type="dxa"/>
            <w:right w:w="108" w:type="dxa"/>
          </w:tblCellMar>
        </w:tblPrEx>
        <w:trPr>
          <w:trHeight w:val="945"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指标1：网宽带端口速率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提供速率为700Mbs的全速独享互联网宽带端口</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2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指标2：WIFI覆盖楼层数量，满足使用人员数量</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WIFI覆盖B1-F7共8个楼层，满足1400名驻场办公人员及日均6000-8000人员办事需求</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指标3：5G信号覆盖楼层数量</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5G信号覆盖B3-F7共10个楼层</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网络故障率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网络修复响应时间</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≤24小时</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12</w:t>
            </w:r>
            <w:r>
              <w:rPr>
                <w:rFonts w:ascii="仿宋_GB2312" w:hAnsi="宋体" w:eastAsia="仿宋_GB2312" w:cs="宋体"/>
                <w:kern w:val="0"/>
                <w:szCs w:val="21"/>
              </w:rPr>
              <w:t>4</w:t>
            </w:r>
            <w:r>
              <w:rPr>
                <w:rFonts w:hint="eastAsia" w:ascii="仿宋_GB2312" w:hAnsi="宋体" w:eastAsia="仿宋_GB2312" w:cs="宋体"/>
                <w:kern w:val="0"/>
                <w:szCs w:val="21"/>
              </w:rPr>
              <w:t>.74</w:t>
            </w:r>
            <w:r>
              <w:rPr>
                <w:rFonts w:hint="eastAsia" w:ascii="仿宋_GB2312" w:hAnsi="宋体" w:eastAsia="仿宋_GB2312" w:cs="宋体"/>
                <w:color w:val="000000"/>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是否节约办公办事成本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节约了办公办事成本</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是否提升办公办事效率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提升了办公办事效率</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网络租用年限</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1年</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2022年12月18日完成</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网络使用方便快捷，得到办公人员好评</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9" w:hRule="exact"/>
          <w:jc w:val="center"/>
        </w:trPr>
        <w:tc>
          <w:tcPr>
            <w:tcW w:w="5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办事人员满意度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网络使用方便快捷，得到办事人员好评</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70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8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46" w:type="dxa"/>
        <w:jc w:val="center"/>
        <w:tblLayout w:type="fixed"/>
        <w:tblCellMar>
          <w:top w:w="0" w:type="dxa"/>
          <w:left w:w="108" w:type="dxa"/>
          <w:bottom w:w="0" w:type="dxa"/>
          <w:right w:w="108" w:type="dxa"/>
        </w:tblCellMar>
      </w:tblPr>
      <w:tblGrid>
        <w:gridCol w:w="585"/>
        <w:gridCol w:w="975"/>
        <w:gridCol w:w="1105"/>
        <w:gridCol w:w="727"/>
        <w:gridCol w:w="943"/>
        <w:gridCol w:w="184"/>
        <w:gridCol w:w="1132"/>
        <w:gridCol w:w="848"/>
        <w:gridCol w:w="279"/>
        <w:gridCol w:w="284"/>
        <w:gridCol w:w="420"/>
        <w:gridCol w:w="35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8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11010623T000001922447-公务车辆更新购置经费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孙鸿博</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83656695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195.24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5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9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报废老旧公务车辆18台，购置更新公务用车18台，保障人员出行执行公务方便、安全。</w:t>
            </w:r>
          </w:p>
        </w:tc>
        <w:tc>
          <w:tcPr>
            <w:tcW w:w="359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1.报废老旧车辆18台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2.购置更新车辆18台</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指标1：报废老旧车辆18台</w:t>
            </w:r>
          </w:p>
          <w:p>
            <w:pPr>
              <w:widowControl/>
              <w:jc w:val="left"/>
              <w:rPr>
                <w:rFonts w:hint="eastAsia" w:ascii="仿宋_GB2312" w:hAnsi="宋体" w:eastAsia="仿宋_GB2312" w:cs="宋体"/>
                <w:color w:val="000000"/>
                <w:kern w:val="0"/>
                <w:szCs w:val="21"/>
              </w:rPr>
            </w:pPr>
          </w:p>
        </w:tc>
        <w:tc>
          <w:tcPr>
            <w:tcW w:w="1316"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报废老旧车辆18台</w:t>
            </w:r>
          </w:p>
          <w:p>
            <w:pPr>
              <w:widowControl/>
              <w:spacing w:line="240" w:lineRule="exact"/>
              <w:jc w:val="left"/>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指标2：购置更新车辆18台</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购置更新车辆18台</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指标1：车辆故障率</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指标2：车辆故障率</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316"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195.24</w:t>
            </w:r>
            <w:r>
              <w:rPr>
                <w:rFonts w:hint="eastAsia" w:ascii="仿宋_GB2312" w:hAnsi="宋体" w:eastAsia="仿宋_GB2312" w:cs="宋体"/>
                <w:color w:val="000000"/>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新购置的新能源汽车是否降低了行车成本</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新购置的新能源汽车降低了行车成本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新购置的公务车辆是否降低车辆故障率，提高驾驶员出车效率</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降低了车辆故障率，提高了驾驶员出车效率</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新购置的新能源汽车是否减少尾气排放降低环境污染</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新购置的新能源汽车减少尾气排放降低环境污染</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新购置的公务车辆是否满足车辆出行需求</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新购置的公务车辆可以满足车辆出行需求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指标1：驾驶员满意度</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新购置车辆得到驾驶员好评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316"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新购置车辆得到用车人员好评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7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37"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40"/>
        <w:gridCol w:w="605"/>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11010622T000000428720-机要文件智能流转管理系统运行维护费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r>
              <w:rPr>
                <w:rFonts w:ascii="仿宋_GB2312" w:hAnsi="宋体" w:eastAsia="仿宋_GB2312" w:cs="宋体"/>
                <w:kern w:val="0"/>
                <w:szCs w:val="21"/>
              </w:rPr>
              <w:t>3</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21.42</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09"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年初设定目标:</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对本区机要文件智能流转系统进行维护，以保证各单位机要文件流转能够顺利。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tc>
        <w:tc>
          <w:tcPr>
            <w:tcW w:w="3509"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对机要文件智能流转管理系统进行维护，保证机要文件智能流转管理系统能够顺利运行。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2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pPr>
              <w:widowControl/>
              <w:jc w:val="left"/>
              <w:rPr>
                <w:rFonts w:hint="eastAsia" w:ascii="仿宋_GB2312" w:hAnsi="宋体" w:eastAsia="仿宋_GB2312" w:cs="宋体"/>
                <w:color w:val="000000"/>
                <w:kern w:val="0"/>
                <w:szCs w:val="21"/>
              </w:rPr>
            </w:pPr>
          </w:p>
        </w:tc>
        <w:tc>
          <w:tcPr>
            <w:tcW w:w="1515"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13组智能交换箱，2组交换箱控制柜，143块OLED单位显示屏，2台网络交换机，4台条码打印机，2把条码打印枪，2张CPU卡，1台CPU读卡器，300张IC取件卡，1台IC卡读卡器，1台短信收发器，8套系统，3个管理平台以及1套通用设备进行维护</w:t>
            </w:r>
          </w:p>
          <w:p>
            <w:pPr>
              <w:widowControl/>
              <w:spacing w:line="240" w:lineRule="exact"/>
              <w:jc w:val="left"/>
              <w:rPr>
                <w:rFonts w:hint="eastAsia" w:ascii="仿宋_GB2312" w:hAnsi="宋体" w:eastAsia="仿宋_GB2312" w:cs="宋体"/>
                <w:kern w:val="0"/>
                <w:szCs w:val="21"/>
              </w:rPr>
            </w:pP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平台故障率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21.42</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机要文件智能流转管理系统是否节约了文件收发成本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机要文件智能流转管理系统降低了文件收发成本</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机要文件智能流转管理系统是否提升了文件收发效率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机要文件智能流转管理系统提升了文件收发效率</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机要文件智能流转管理系统是否减少了纸质办公响应了绿色办公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机要文件智能流转管理系统减少了纸质办公响应了绿色办公</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机要文件智能流转管理系统是否降低了文件传输过程中的失泄密风险</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机要文件智能流转管理系统降低了文件传输过程中的失泄密风险</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指标1：机要交换站人员满意度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得到机要交换站人员好评</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指标2：收发件人员满意度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机要文件智能流转管理系统</w:t>
            </w:r>
            <w:r>
              <w:rPr>
                <w:rFonts w:hint="eastAsia" w:ascii="仿宋_GB2312" w:hAnsi="宋体" w:eastAsia="仿宋_GB2312" w:cs="宋体"/>
                <w:color w:val="000000"/>
                <w:kern w:val="0"/>
                <w:szCs w:val="21"/>
              </w:rPr>
              <w:t>得到收发件人员好评</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04" w:type="dxa"/>
        <w:jc w:val="center"/>
        <w:tblLayout w:type="fixed"/>
        <w:tblCellMar>
          <w:top w:w="0" w:type="dxa"/>
          <w:left w:w="108" w:type="dxa"/>
          <w:bottom w:w="0" w:type="dxa"/>
          <w:right w:w="108" w:type="dxa"/>
        </w:tblCellMar>
      </w:tblPr>
      <w:tblGrid>
        <w:gridCol w:w="585"/>
        <w:gridCol w:w="975"/>
        <w:gridCol w:w="1105"/>
        <w:gridCol w:w="648"/>
        <w:gridCol w:w="900"/>
        <w:gridCol w:w="1515"/>
        <w:gridCol w:w="855"/>
        <w:gridCol w:w="285"/>
        <w:gridCol w:w="285"/>
        <w:gridCol w:w="329"/>
        <w:gridCol w:w="407"/>
        <w:gridCol w:w="605"/>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44"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11010622T000000428734-集中办公区电话通讯费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146.58</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01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按时缴纳所产生的电话通讯费用，做好固定电话移机业务，电话保证通信畅通    </w:t>
            </w:r>
          </w:p>
        </w:tc>
        <w:tc>
          <w:tcPr>
            <w:tcW w:w="3476"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按时缴纳2400台公务电话的通讯费用，保证了办公区内通信畅通</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及时做好固定电话移机业务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缴纳2400台公务电话费用</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缴纳2400台公务电话费用</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电话故障率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515"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55"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70"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146.58</w:t>
            </w:r>
            <w:r>
              <w:rPr>
                <w:rFonts w:hint="eastAsia" w:ascii="仿宋_GB2312" w:hAnsi="宋体" w:eastAsia="仿宋_GB2312" w:cs="宋体"/>
                <w:color w:val="000000"/>
                <w:kern w:val="0"/>
                <w:szCs w:val="21"/>
              </w:rPr>
              <w:t>万元</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办公电话是否减少了出行办公成本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电话通信办公减少了出行办公成本</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是否提高了办公效率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电话通信提高了办公效率</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w:t>
            </w:r>
            <w:r>
              <w:rPr>
                <w:rFonts w:hint="eastAsia" w:ascii="仿宋_GB2312" w:hAnsi="宋体" w:eastAsia="仿宋_GB2312" w:cs="宋体"/>
                <w:kern w:val="0"/>
                <w:szCs w:val="21"/>
              </w:rPr>
              <w:t>是否降低了疫情期间出行办公的传播风险</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电话通信办公降低了疫情期间出行办公的传播风险</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办公电话是否提高各单位之间沟通的时效性</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办公电话提高了各单位之间沟通的时效性</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办公电话使用人员满意度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办公电话畅通、移机业务办理及时，通讯效率得到使用人员好评</w:t>
            </w:r>
          </w:p>
        </w:tc>
        <w:tc>
          <w:tcPr>
            <w:tcW w:w="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58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19" w:type="dxa"/>
        <w:jc w:val="center"/>
        <w:tblLayout w:type="fixed"/>
        <w:tblCellMar>
          <w:top w:w="0" w:type="dxa"/>
          <w:left w:w="108" w:type="dxa"/>
          <w:bottom w:w="0" w:type="dxa"/>
          <w:right w:w="108" w:type="dxa"/>
        </w:tblCellMar>
      </w:tblPr>
      <w:tblGrid>
        <w:gridCol w:w="585"/>
        <w:gridCol w:w="975"/>
        <w:gridCol w:w="1105"/>
        <w:gridCol w:w="648"/>
        <w:gridCol w:w="900"/>
        <w:gridCol w:w="1515"/>
        <w:gridCol w:w="1035"/>
        <w:gridCol w:w="105"/>
        <w:gridCol w:w="495"/>
        <w:gridCol w:w="119"/>
        <w:gridCol w:w="617"/>
        <w:gridCol w:w="410"/>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5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11010622T000001495501-派驻集中隔离观察点司机补助经费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79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3.66</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75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515"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4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6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02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91"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31"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1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为</w:t>
            </w:r>
            <w:r>
              <w:rPr>
                <w:rFonts w:hint="eastAsia" w:ascii="仿宋_GB2312" w:hAnsi="宋体" w:eastAsia="仿宋_GB2312" w:cs="宋体"/>
                <w:kern w:val="0"/>
                <w:szCs w:val="21"/>
              </w:rPr>
              <w:t>集中隔离观察点派驻司机，为疫情防控提供用车保障</w:t>
            </w:r>
            <w:r>
              <w:rPr>
                <w:rFonts w:hint="eastAsia" w:ascii="仿宋_GB2312" w:hAnsi="宋体" w:eastAsia="仿宋_GB2312" w:cs="宋体"/>
                <w:color w:val="000000"/>
                <w:kern w:val="0"/>
                <w:szCs w:val="21"/>
              </w:rPr>
              <w:t xml:space="preserve">  </w:t>
            </w:r>
          </w:p>
        </w:tc>
        <w:tc>
          <w:tcPr>
            <w:tcW w:w="3491"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w:t>
            </w:r>
            <w:r>
              <w:rPr>
                <w:rFonts w:hint="eastAsia" w:ascii="仿宋_GB2312" w:hAnsi="宋体" w:eastAsia="仿宋_GB2312" w:cs="宋体"/>
                <w:kern w:val="0"/>
                <w:szCs w:val="21"/>
              </w:rPr>
              <w:t>集中隔离观察点派驻了2名司机，为6个月的疫情防控提供用车保障</w:t>
            </w:r>
            <w:r>
              <w:rPr>
                <w:rFonts w:hint="eastAsia" w:ascii="仿宋_GB2312" w:hAnsi="宋体" w:eastAsia="仿宋_GB2312" w:cs="宋体"/>
                <w:color w:val="000000"/>
                <w:kern w:val="0"/>
                <w:szCs w:val="21"/>
              </w:rPr>
              <w:t xml:space="preserve"> </w:t>
            </w:r>
          </w:p>
        </w:tc>
      </w:tr>
      <w:tr>
        <w:tblPrEx>
          <w:tblCellMar>
            <w:top w:w="0" w:type="dxa"/>
            <w:left w:w="108" w:type="dxa"/>
            <w:bottom w:w="0" w:type="dxa"/>
            <w:right w:w="108" w:type="dxa"/>
          </w:tblCellMar>
        </w:tblPrEx>
        <w:trPr>
          <w:trHeight w:val="799" w:hRule="atLeas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6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保障人数</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驾驶员2名</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驾驶员保障质量</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保障反应及时，完成任务及时</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保障时间</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6个月</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补助预算</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rPr>
              <w:t>3.66</w:t>
            </w:r>
            <w:r>
              <w:rPr>
                <w:rFonts w:hint="eastAsia" w:ascii="仿宋_GB2312" w:hAnsi="宋体" w:eastAsia="仿宋_GB2312" w:cs="宋体"/>
                <w:color w:val="000000"/>
                <w:kern w:val="0"/>
                <w:szCs w:val="21"/>
              </w:rPr>
              <w:t>万元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2"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是否节约交通成本</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节约了交通成本</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是否提升疫情防控效率</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提升了疫情防控效率</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是否降低疫情防控工作人员的感染风险</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降低了疫情防控工作人员的感染风险</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5" w:hRule="atLeas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4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疫情防控工作人员满意度</w:t>
            </w:r>
          </w:p>
        </w:tc>
        <w:tc>
          <w:tcPr>
            <w:tcW w:w="151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驾驶员得到疫情防控工作人员人员好评</w:t>
            </w:r>
          </w:p>
        </w:tc>
        <w:tc>
          <w:tcPr>
            <w:tcW w:w="10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好评率达100%</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76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1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727"/>
        <w:gridCol w:w="802"/>
        <w:gridCol w:w="325"/>
        <w:gridCol w:w="1132"/>
        <w:gridCol w:w="848"/>
        <w:gridCol w:w="279"/>
        <w:gridCol w:w="284"/>
        <w:gridCol w:w="420"/>
        <w:gridCol w:w="281"/>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11010622T000000428704-区公车管理平台运行维护费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宋体" w:hAnsi="宋体" w:cs="宋体"/>
                <w:color w:val="000000"/>
                <w:kern w:val="0"/>
                <w:sz w:val="20"/>
                <w:szCs w:val="20"/>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机要通信管理科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智翔</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83656466</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21.25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年初设定目标: </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通过维护公务车辆信息化保障平台，保证平台正常运行，以此加强车管人员对车辆与驾驶员动态的调度以及管理，并提高车辆派遣的效率，加强车管人员对车辆的监控，避免公车私用，强化廉政风险防控。</w:t>
            </w:r>
          </w:p>
        </w:tc>
        <w:tc>
          <w:tcPr>
            <w:tcW w:w="3525"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年度总体目标完成情况综述：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完善建设公务车辆信息化保障平台</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完成对新购置车辆车载终端加装</w:t>
            </w:r>
          </w:p>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3.完成GPS卫星监控车辆调度管理系统调试运行</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8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产出指标（40分）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指标1：完成对全区449辆公务车辆安装完善智能终端和行车记录仪，并进行日常运行维护</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完成对全区449辆公务车辆安装完善智能终端和行车记录仪，并进行日常运行维护</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指标2：完成对1个车辆信息化保障平台和7个子平台进行维护</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完成对1个车辆信息化保障平台和7个子平台进行维护</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指标1：车载设备故障率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指标2：平台故障率</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29"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项目完成时间</w:t>
            </w:r>
          </w:p>
        </w:tc>
        <w:tc>
          <w:tcPr>
            <w:tcW w:w="1457"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848"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当年12月前完成</w:t>
            </w:r>
          </w:p>
        </w:tc>
        <w:tc>
          <w:tcPr>
            <w:tcW w:w="563"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21.25万元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是否提高管理人员对车辆及驾驶员的管理</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提高管理人员对车辆及驾驶员的管理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管理人员是否能够对车辆及驾驶员进行合理调度</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管理人员对车辆及驾驶员进行合理调度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管理人员是否依据平台信息，合理安排公车出行，减少尾气排放降低环境污染</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管理人员依据平台信息，合理安排公车出行，减少尾气排放降低环境污染</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管理人员是否能够按规定用车标准及时派车</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管理人员能够按规定用车标准及时派车</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完成预期指标</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cs="宋体"/>
                <w:color w:val="000000"/>
                <w:kern w:val="0"/>
                <w:szCs w:val="21"/>
              </w:rPr>
            </w:pPr>
            <w:r>
              <w:rPr>
                <w:rFonts w:hint="eastAsia" w:ascii="仿宋_GB2312" w:hAnsi="宋体" w:eastAsia="仿宋_GB2312" w:cs="宋体"/>
                <w:color w:val="000000"/>
                <w:kern w:val="0"/>
                <w:szCs w:val="21"/>
              </w:rPr>
              <w:t>指标1：平台的操控人员满意度</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平台的操控性得到车管人员好评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指标2：用车人员满意度</w:t>
            </w:r>
          </w:p>
        </w:tc>
        <w:tc>
          <w:tcPr>
            <w:tcW w:w="14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平台的派车反应及效率得到用车人员好评</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好评率达95%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br w:type="page"/>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tbl>
      <w:tblPr>
        <w:tblStyle w:val="9"/>
        <w:tblW w:w="9038" w:type="dxa"/>
        <w:jc w:val="center"/>
        <w:tblLayout w:type="fixed"/>
        <w:tblCellMar>
          <w:top w:w="0" w:type="dxa"/>
          <w:left w:w="108" w:type="dxa"/>
          <w:bottom w:w="0" w:type="dxa"/>
          <w:right w:w="108" w:type="dxa"/>
        </w:tblCellMar>
      </w:tblPr>
      <w:tblGrid>
        <w:gridCol w:w="585"/>
        <w:gridCol w:w="774"/>
        <w:gridCol w:w="1134"/>
        <w:gridCol w:w="283"/>
        <w:gridCol w:w="1134"/>
        <w:gridCol w:w="1418"/>
        <w:gridCol w:w="1417"/>
        <w:gridCol w:w="33"/>
        <w:gridCol w:w="534"/>
        <w:gridCol w:w="170"/>
        <w:gridCol w:w="539"/>
        <w:gridCol w:w="307"/>
        <w:gridCol w:w="710"/>
      </w:tblGrid>
      <w:tr>
        <w:tblPrEx>
          <w:tblCellMar>
            <w:top w:w="0" w:type="dxa"/>
            <w:left w:w="108" w:type="dxa"/>
            <w:bottom w:w="0" w:type="dxa"/>
            <w:right w:w="108" w:type="dxa"/>
          </w:tblCellMar>
        </w:tblPrEx>
        <w:trPr>
          <w:trHeight w:val="601"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7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11010622T000001727510-丰台区档案馆建设工程项目2022年度第一批区政府投资计划资金</w:t>
            </w:r>
          </w:p>
        </w:tc>
      </w:tr>
      <w:tr>
        <w:tblPrEx>
          <w:tblCellMar>
            <w:top w:w="0" w:type="dxa"/>
            <w:left w:w="108" w:type="dxa"/>
            <w:bottom w:w="0" w:type="dxa"/>
            <w:right w:w="108" w:type="dxa"/>
          </w:tblCellMar>
        </w:tblPrEx>
        <w:trPr>
          <w:trHeight w:val="56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tblPrEx>
          <w:tblCellMar>
            <w:top w:w="0" w:type="dxa"/>
            <w:left w:w="108" w:type="dxa"/>
            <w:bottom w:w="0" w:type="dxa"/>
            <w:right w:w="108" w:type="dxa"/>
          </w:tblCellMar>
        </w:tblPrEx>
        <w:trPr>
          <w:trHeight w:val="417"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2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2889.5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88"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1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67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c>
          <w:tcPr>
            <w:tcW w:w="3710"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完成本年环境保护税的缴纳；2、按照协议约定开展本年监理工作，并完成本年监理费的支付；3、按照协议约定完成本年施工产值，并完成本年施工费进度款的支付；4、完成测绘费预付款支付，并按照协议约定开展测绘工作，完成灰线验线工作 。</w:t>
            </w:r>
          </w:p>
        </w:tc>
      </w:tr>
      <w:tr>
        <w:tblPrEx>
          <w:tblCellMar>
            <w:top w:w="0" w:type="dxa"/>
            <w:left w:w="108" w:type="dxa"/>
            <w:bottom w:w="0" w:type="dxa"/>
            <w:right w:w="108" w:type="dxa"/>
          </w:tblCellMar>
        </w:tblPrEx>
        <w:trPr>
          <w:trHeight w:val="1000" w:hRule="exact"/>
          <w:jc w:val="center"/>
        </w:trPr>
        <w:tc>
          <w:tcPr>
            <w:tcW w:w="5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一级指标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二级指标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三级指标</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指标值</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实际</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分值</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得分</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偏差原因分析及改进</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措施</w:t>
            </w:r>
          </w:p>
        </w:tc>
      </w:tr>
      <w:tr>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8" w:type="dxa"/>
            <w:tcBorders>
              <w:top w:val="single" w:color="auto" w:sz="4" w:space="0"/>
              <w:left w:val="nil"/>
              <w:bottom w:val="single" w:color="auto" w:sz="4" w:space="0"/>
              <w:right w:val="single" w:color="auto" w:sz="4" w:space="0"/>
            </w:tcBorders>
          </w:tcPr>
          <w:p>
            <w:r>
              <w:rPr>
                <w:rFonts w:ascii="仿宋_GB2312" w:hAnsi="宋体" w:eastAsia="仿宋_GB2312" w:cs="宋体"/>
                <w:kern w:val="0"/>
                <w:szCs w:val="21"/>
              </w:rPr>
              <w:t>2889.5</w:t>
            </w:r>
            <w:r>
              <w:rPr>
                <w:rFonts w:hint="eastAsia" w:ascii="仿宋_GB2312" w:hAnsi="宋体" w:eastAsia="仿宋_GB2312" w:cs="宋体"/>
                <w:kern w:val="0"/>
                <w:szCs w:val="21"/>
              </w:rPr>
              <w:t>万</w:t>
            </w:r>
            <w:r>
              <w:rPr>
                <w:rFonts w:ascii="仿宋_GB2312" w:hAnsi="宋体" w:eastAsia="仿宋_GB2312" w:cs="宋体"/>
                <w:kern w:val="0"/>
                <w:szCs w:val="21"/>
              </w:rPr>
              <w:t>元</w:t>
            </w:r>
          </w:p>
        </w:tc>
        <w:tc>
          <w:tcPr>
            <w:tcW w:w="1417" w:type="dxa"/>
            <w:tcBorders>
              <w:top w:val="single" w:color="auto" w:sz="4" w:space="0"/>
              <w:left w:val="nil"/>
              <w:bottom w:val="single" w:color="auto" w:sz="4" w:space="0"/>
              <w:right w:val="single" w:color="auto" w:sz="4" w:space="0"/>
            </w:tcBorders>
          </w:tcPr>
          <w:p>
            <w:r>
              <w:rPr>
                <w:rFonts w:ascii="仿宋_GB2312" w:hAnsi="宋体" w:eastAsia="仿宋_GB2312" w:cs="宋体"/>
                <w:kern w:val="0"/>
                <w:szCs w:val="21"/>
              </w:rPr>
              <w:t>2889.5</w:t>
            </w:r>
            <w:r>
              <w:rPr>
                <w:rFonts w:hint="eastAsia" w:ascii="仿宋_GB2312" w:hAnsi="宋体" w:eastAsia="仿宋_GB2312" w:cs="宋体"/>
                <w:kern w:val="0"/>
                <w:szCs w:val="21"/>
              </w:rPr>
              <w:t>万元</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满意度</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624" w:hRule="exact"/>
          <w:jc w:val="center"/>
        </w:trPr>
        <w:tc>
          <w:tcPr>
            <w:tcW w:w="6745"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70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0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bl>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975"/>
        <w:gridCol w:w="1105"/>
        <w:gridCol w:w="536"/>
        <w:gridCol w:w="851"/>
        <w:gridCol w:w="1276"/>
        <w:gridCol w:w="1134"/>
        <w:gridCol w:w="316"/>
        <w:gridCol w:w="284"/>
        <w:gridCol w:w="420"/>
        <w:gridCol w:w="393"/>
        <w:gridCol w:w="591"/>
        <w:gridCol w:w="710"/>
      </w:tblGrid>
      <w:tr>
        <w:tblPrEx>
          <w:tblCellMar>
            <w:top w:w="0" w:type="dxa"/>
            <w:left w:w="108" w:type="dxa"/>
            <w:bottom w:w="0" w:type="dxa"/>
            <w:right w:w="108" w:type="dxa"/>
          </w:tblCellMar>
        </w:tblPrEx>
        <w:trPr>
          <w:trHeight w:val="459"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1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11010623T000001966287-丰台区档案馆建设工程项目大市政建设前期经费</w:t>
            </w:r>
          </w:p>
        </w:tc>
      </w:tr>
      <w:tr>
        <w:tblPrEx>
          <w:tblCellMar>
            <w:top w:w="0" w:type="dxa"/>
            <w:left w:w="108" w:type="dxa"/>
            <w:bottom w:w="0" w:type="dxa"/>
            <w:right w:w="108" w:type="dxa"/>
          </w:tblCellMar>
        </w:tblPrEx>
        <w:trPr>
          <w:trHeight w:val="423"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414"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6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tblPrEx>
          <w:tblCellMar>
            <w:top w:w="0" w:type="dxa"/>
            <w:left w:w="108" w:type="dxa"/>
            <w:bottom w:w="0" w:type="dxa"/>
            <w:right w:w="108" w:type="dxa"/>
          </w:tblCellMar>
        </w:tblPrEx>
        <w:trPr>
          <w:trHeight w:val="860"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2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 xml:space="preserve">1 </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35"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7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9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1、完成大市政建设项目管理单位预付款支付，并开展相关服务工作；2、完成大市政建设项目管线地形图测绘工作；3、完成大市政建设项目天燃气工程设计工作</w:t>
            </w:r>
          </w:p>
        </w:tc>
        <w:tc>
          <w:tcPr>
            <w:tcW w:w="384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1、已完成大市政建设项目管理单位预付款支付，并已开展相关服务工作；2、已完成大市政建设项目管线地形图测绘工作；3、已完成大市政建设项目天燃气工程设计工作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定性</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前期经费支付进度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当年12月前已完成</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成本控制数</w:t>
            </w:r>
          </w:p>
        </w:tc>
        <w:tc>
          <w:tcPr>
            <w:tcW w:w="1276" w:type="dxa"/>
            <w:tcBorders>
              <w:top w:val="single" w:color="auto" w:sz="4" w:space="0"/>
              <w:left w:val="nil"/>
              <w:bottom w:val="single" w:color="auto" w:sz="4" w:space="0"/>
              <w:right w:val="single" w:color="auto" w:sz="4" w:space="0"/>
            </w:tcBorders>
          </w:tcPr>
          <w:p>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1134" w:type="dxa"/>
            <w:tcBorders>
              <w:top w:val="single" w:color="auto" w:sz="4" w:space="0"/>
              <w:left w:val="nil"/>
              <w:bottom w:val="single" w:color="auto" w:sz="4" w:space="0"/>
              <w:right w:val="single" w:color="auto" w:sz="4" w:space="0"/>
            </w:tcBorders>
          </w:tcPr>
          <w:p>
            <w:r>
              <w:rPr>
                <w:rFonts w:hint="eastAsia" w:ascii="仿宋_GB2312" w:hAnsi="宋体" w:eastAsia="仿宋_GB2312" w:cs="宋体"/>
                <w:kern w:val="0"/>
                <w:szCs w:val="21"/>
              </w:rPr>
              <w:t>16</w:t>
            </w:r>
            <w:r>
              <w:rPr>
                <w:rFonts w:ascii="仿宋_GB2312" w:hAnsi="宋体" w:eastAsia="仿宋_GB2312" w:cs="宋体"/>
                <w:kern w:val="0"/>
                <w:szCs w:val="21"/>
              </w:rPr>
              <w:t>.</w:t>
            </w:r>
            <w:r>
              <w:rPr>
                <w:rFonts w:hint="eastAsia" w:ascii="仿宋_GB2312" w:hAnsi="宋体" w:eastAsia="仿宋_GB2312" w:cs="宋体"/>
                <w:kern w:val="0"/>
                <w:szCs w:val="21"/>
              </w:rPr>
              <w:t>1万元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38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Cs w:val="21"/>
              </w:rPr>
              <w:t>≥95%</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7" w:hRule="exact"/>
          <w:jc w:val="center"/>
        </w:trPr>
        <w:tc>
          <w:tcPr>
            <w:tcW w:w="646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99.5</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257" w:type="dxa"/>
        <w:jc w:val="center"/>
        <w:tblLayout w:type="fixed"/>
        <w:tblCellMar>
          <w:top w:w="0" w:type="dxa"/>
          <w:left w:w="108" w:type="dxa"/>
          <w:bottom w:w="0" w:type="dxa"/>
          <w:right w:w="108" w:type="dxa"/>
        </w:tblCellMar>
      </w:tblPr>
      <w:tblGrid>
        <w:gridCol w:w="585"/>
        <w:gridCol w:w="975"/>
        <w:gridCol w:w="1105"/>
        <w:gridCol w:w="536"/>
        <w:gridCol w:w="1134"/>
        <w:gridCol w:w="1134"/>
        <w:gridCol w:w="1134"/>
        <w:gridCol w:w="175"/>
        <w:gridCol w:w="392"/>
        <w:gridCol w:w="312"/>
        <w:gridCol w:w="499"/>
        <w:gridCol w:w="449"/>
        <w:gridCol w:w="827"/>
      </w:tblGrid>
      <w:tr>
        <w:tblPrEx>
          <w:tblCellMar>
            <w:top w:w="0" w:type="dxa"/>
            <w:left w:w="108" w:type="dxa"/>
            <w:bottom w:w="0" w:type="dxa"/>
            <w:right w:w="108" w:type="dxa"/>
          </w:tblCellMar>
        </w:tblPrEx>
        <w:trPr>
          <w:trHeight w:val="60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9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11010622T000001500370-丰台区档案馆建设工程项目前期服务费剩余款</w:t>
            </w:r>
          </w:p>
        </w:tc>
      </w:tr>
      <w:tr>
        <w:tblPrEx>
          <w:tblCellMar>
            <w:top w:w="0" w:type="dxa"/>
            <w:left w:w="108" w:type="dxa"/>
            <w:bottom w:w="0" w:type="dxa"/>
            <w:right w:w="108" w:type="dxa"/>
          </w:tblCellMar>
        </w:tblPrEx>
        <w:trPr>
          <w:trHeight w:val="57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0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55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0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7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2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r>
              <w:rPr>
                <w:rFonts w:ascii="仿宋_GB2312" w:hAnsi="宋体" w:eastAsia="仿宋_GB2312" w:cs="宋体"/>
                <w:kern w:val="0"/>
                <w:szCs w:val="21"/>
              </w:rPr>
              <w:t>.</w:t>
            </w:r>
            <w:r>
              <w:rPr>
                <w:rFonts w:hint="eastAsia" w:ascii="仿宋_GB2312" w:hAnsi="宋体" w:eastAsia="仿宋_GB2312" w:cs="宋体"/>
                <w:kern w:val="0"/>
                <w:szCs w:val="21"/>
              </w:rPr>
              <w:t xml:space="preserve">62 </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93"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30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9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8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99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84"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1、完成前期所有手续，取得施工证</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2、待手续完成后，支付前期服务费剩余款</w:t>
            </w:r>
          </w:p>
        </w:tc>
        <w:tc>
          <w:tcPr>
            <w:tcW w:w="378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1、已完成前期所有手续，取得施工证；2、按照程序支付前期经费剩余款。</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服务产值</w:t>
            </w:r>
          </w:p>
        </w:tc>
        <w:tc>
          <w:tcPr>
            <w:tcW w:w="1134" w:type="dxa"/>
            <w:tcBorders>
              <w:top w:val="single" w:color="auto" w:sz="4" w:space="0"/>
              <w:left w:val="nil"/>
              <w:bottom w:val="single" w:color="auto" w:sz="4" w:space="0"/>
              <w:right w:val="single" w:color="auto" w:sz="4" w:space="0"/>
            </w:tcBorders>
          </w:tcPr>
          <w:p>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服务的质量</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定性</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取得施工许可证</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已取得</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服务费支付进度</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当年3月前已完成</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前期服务成本控制数</w:t>
            </w:r>
          </w:p>
        </w:tc>
        <w:tc>
          <w:tcPr>
            <w:tcW w:w="1134" w:type="dxa"/>
            <w:tcBorders>
              <w:top w:val="single" w:color="auto" w:sz="4" w:space="0"/>
              <w:left w:val="nil"/>
              <w:bottom w:val="single" w:color="auto" w:sz="4" w:space="0"/>
              <w:right w:val="single" w:color="auto" w:sz="4" w:space="0"/>
            </w:tcBorders>
          </w:tcPr>
          <w:p>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tcPr>
          <w:p>
            <w:pPr>
              <w:rPr>
                <w:sz w:val="18"/>
                <w:szCs w:val="18"/>
              </w:rPr>
            </w:pPr>
            <w:r>
              <w:rPr>
                <w:rFonts w:hint="eastAsia" w:ascii="仿宋_GB2312" w:hAnsi="宋体" w:eastAsia="仿宋_GB2312" w:cs="宋体"/>
                <w:kern w:val="0"/>
                <w:sz w:val="18"/>
                <w:szCs w:val="18"/>
              </w:rPr>
              <w:t>60</w:t>
            </w:r>
            <w:r>
              <w:rPr>
                <w:rFonts w:ascii="仿宋_GB2312" w:hAnsi="宋体" w:eastAsia="仿宋_GB2312" w:cs="宋体"/>
                <w:kern w:val="0"/>
                <w:sz w:val="18"/>
                <w:szCs w:val="18"/>
              </w:rPr>
              <w:t>.</w:t>
            </w:r>
            <w:r>
              <w:rPr>
                <w:rFonts w:hint="eastAsia" w:ascii="仿宋_GB2312" w:hAnsi="宋体" w:eastAsia="仿宋_GB2312" w:cs="宋体"/>
                <w:kern w:val="0"/>
                <w:sz w:val="18"/>
                <w:szCs w:val="18"/>
              </w:rPr>
              <w:t>62万</w:t>
            </w:r>
            <w:r>
              <w:rPr>
                <w:rFonts w:ascii="仿宋_GB2312" w:hAnsi="宋体" w:eastAsia="仿宋_GB2312" w:cs="宋体"/>
                <w:kern w:val="0"/>
                <w:sz w:val="18"/>
                <w:szCs w:val="18"/>
              </w:rPr>
              <w:t>元</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手续办理推进程度</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定性</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被服务单位满意度</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sz w:val="24"/>
              </w:rPr>
              <w:t>≥98%</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00" w:hRule="exact"/>
          <w:jc w:val="center"/>
        </w:trPr>
        <w:tc>
          <w:tcPr>
            <w:tcW w:w="6603"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570" w:type="dxa"/>
        <w:jc w:val="center"/>
        <w:tblLayout w:type="fixed"/>
        <w:tblCellMar>
          <w:top w:w="0" w:type="dxa"/>
          <w:left w:w="108" w:type="dxa"/>
          <w:bottom w:w="0" w:type="dxa"/>
          <w:right w:w="108" w:type="dxa"/>
        </w:tblCellMar>
      </w:tblPr>
      <w:tblGrid>
        <w:gridCol w:w="585"/>
        <w:gridCol w:w="774"/>
        <w:gridCol w:w="1134"/>
        <w:gridCol w:w="283"/>
        <w:gridCol w:w="1134"/>
        <w:gridCol w:w="142"/>
        <w:gridCol w:w="1417"/>
        <w:gridCol w:w="1477"/>
        <w:gridCol w:w="536"/>
        <w:gridCol w:w="131"/>
        <w:gridCol w:w="681"/>
        <w:gridCol w:w="148"/>
        <w:gridCol w:w="1128"/>
      </w:tblGrid>
      <w:tr>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211"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11010623T000002005831-丰台区档案馆建设工程项目市级补助资金</w:t>
            </w:r>
          </w:p>
        </w:tc>
      </w:tr>
      <w:tr>
        <w:tblPrEx>
          <w:tblCellMar>
            <w:top w:w="0" w:type="dxa"/>
            <w:left w:w="108" w:type="dxa"/>
            <w:bottom w:w="0" w:type="dxa"/>
            <w:right w:w="108" w:type="dxa"/>
          </w:tblCellMar>
        </w:tblPrEx>
        <w:trPr>
          <w:trHeight w:val="423"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丰台区机关事务管理服务中心</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基建房管科</w:t>
            </w:r>
          </w:p>
        </w:tc>
      </w:tr>
      <w:tr>
        <w:tblPrEx>
          <w:tblCellMar>
            <w:top w:w="0" w:type="dxa"/>
            <w:left w:w="108" w:type="dxa"/>
            <w:bottom w:w="0" w:type="dxa"/>
            <w:right w:w="108" w:type="dxa"/>
          </w:tblCellMar>
        </w:tblPrEx>
        <w:trPr>
          <w:trHeight w:val="41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王存德</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2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83656805</w:t>
            </w:r>
          </w:p>
        </w:tc>
      </w:tr>
      <w:tr>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8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tblPrEx>
          <w:tblCellMar>
            <w:top w:w="0" w:type="dxa"/>
            <w:left w:w="108" w:type="dxa"/>
            <w:bottom w:w="0" w:type="dxa"/>
            <w:right w:w="108" w:type="dxa"/>
          </w:tblCellMar>
        </w:tblPrEx>
        <w:trPr>
          <w:trHeight w:val="601"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4336.49</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11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567"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7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53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6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1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88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101"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06"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884"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完成本年下半年度施工产值，并完成工程款支付。</w:t>
            </w:r>
          </w:p>
        </w:tc>
        <w:tc>
          <w:tcPr>
            <w:tcW w:w="4101"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已完成本年下半年度施工产值，并完成工程款支付。</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支付进度</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1417" w:type="dxa"/>
            <w:tcBorders>
              <w:top w:val="single" w:color="auto" w:sz="4" w:space="0"/>
              <w:left w:val="nil"/>
              <w:bottom w:val="single" w:color="auto" w:sz="4" w:space="0"/>
              <w:right w:val="single" w:color="auto" w:sz="4" w:space="0"/>
            </w:tcBorders>
          </w:tcPr>
          <w:p>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1477" w:type="dxa"/>
            <w:tcBorders>
              <w:top w:val="single" w:color="auto" w:sz="4" w:space="0"/>
              <w:left w:val="nil"/>
              <w:bottom w:val="single" w:color="auto" w:sz="4" w:space="0"/>
              <w:right w:val="single" w:color="auto" w:sz="4" w:space="0"/>
            </w:tcBorders>
          </w:tcPr>
          <w:p>
            <w:r>
              <w:rPr>
                <w:rFonts w:ascii="仿宋_GB2312" w:hAnsi="宋体" w:eastAsia="仿宋_GB2312" w:cs="宋体"/>
                <w:kern w:val="0"/>
                <w:sz w:val="18"/>
                <w:szCs w:val="18"/>
              </w:rPr>
              <w:t>4336.49</w:t>
            </w:r>
            <w:r>
              <w:rPr>
                <w:rFonts w:hint="eastAsia" w:ascii="仿宋_GB2312" w:hAnsi="宋体" w:eastAsia="仿宋_GB2312" w:cs="宋体"/>
                <w:kern w:val="0"/>
                <w:sz w:val="18"/>
                <w:szCs w:val="18"/>
              </w:rPr>
              <w:t>万元</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716" w:hRule="exact"/>
          <w:jc w:val="center"/>
        </w:trPr>
        <w:tc>
          <w:tcPr>
            <w:tcW w:w="5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55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14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47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80" w:hRule="exact"/>
          <w:jc w:val="center"/>
        </w:trPr>
        <w:tc>
          <w:tcPr>
            <w:tcW w:w="694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68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98</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bl>
    <w:p>
      <w:pPr>
        <w:widowControl/>
        <w:spacing w:line="520" w:lineRule="exact"/>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76" w:type="dxa"/>
        <w:jc w:val="center"/>
        <w:tblLayout w:type="fixed"/>
        <w:tblCellMar>
          <w:top w:w="0" w:type="dxa"/>
          <w:left w:w="108" w:type="dxa"/>
          <w:bottom w:w="0" w:type="dxa"/>
          <w:right w:w="108" w:type="dxa"/>
        </w:tblCellMar>
      </w:tblPr>
      <w:tblGrid>
        <w:gridCol w:w="585"/>
        <w:gridCol w:w="774"/>
        <w:gridCol w:w="1306"/>
        <w:gridCol w:w="111"/>
        <w:gridCol w:w="1134"/>
        <w:gridCol w:w="567"/>
        <w:gridCol w:w="851"/>
        <w:gridCol w:w="1134"/>
        <w:gridCol w:w="316"/>
        <w:gridCol w:w="284"/>
        <w:gridCol w:w="420"/>
        <w:gridCol w:w="393"/>
        <w:gridCol w:w="591"/>
        <w:gridCol w:w="710"/>
      </w:tblGrid>
      <w:tr>
        <w:tblPrEx>
          <w:tblCellMar>
            <w:top w:w="0" w:type="dxa"/>
            <w:left w:w="108" w:type="dxa"/>
            <w:bottom w:w="0" w:type="dxa"/>
            <w:right w:w="108" w:type="dxa"/>
          </w:tblCellMar>
        </w:tblPrEx>
        <w:trPr>
          <w:trHeight w:val="459"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81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11010622T000001500391-丰台区档案馆建设工程项目资金</w:t>
            </w:r>
          </w:p>
        </w:tc>
      </w:tr>
      <w:tr>
        <w:tblPrEx>
          <w:tblCellMar>
            <w:top w:w="0" w:type="dxa"/>
            <w:left w:w="108" w:type="dxa"/>
            <w:bottom w:w="0" w:type="dxa"/>
            <w:right w:w="108" w:type="dxa"/>
          </w:tblCellMar>
        </w:tblPrEx>
        <w:trPr>
          <w:trHeight w:val="434"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丰台区机关事务管理服务中心</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412" w:hRule="exac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王存德</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9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83656805</w:t>
            </w:r>
          </w:p>
        </w:tc>
      </w:tr>
      <w:tr>
        <w:tblPrEx>
          <w:tblCellMar>
            <w:top w:w="0" w:type="dxa"/>
            <w:left w:w="108" w:type="dxa"/>
            <w:bottom w:w="0" w:type="dxa"/>
            <w:right w:w="108" w:type="dxa"/>
          </w:tblCellMar>
        </w:tblPrEx>
        <w:trPr>
          <w:trHeight w:val="567" w:hRule="exact"/>
          <w:jc w:val="center"/>
        </w:trPr>
        <w:tc>
          <w:tcPr>
            <w:tcW w:w="13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2448.92</w:t>
            </w:r>
            <w:r>
              <w:rPr>
                <w:rFonts w:hint="eastAsia" w:ascii="仿宋_GB2312" w:hAnsi="宋体" w:eastAsia="仿宋_GB2312" w:cs="宋体"/>
                <w:kern w:val="0"/>
                <w:szCs w:val="21"/>
              </w:rPr>
              <w:t xml:space="preserve"> </w:t>
            </w:r>
          </w:p>
        </w:tc>
        <w:tc>
          <w:tcPr>
            <w:tcW w:w="1450" w:type="dxa"/>
            <w:gridSpan w:val="2"/>
            <w:tcBorders>
              <w:top w:val="nil"/>
              <w:left w:val="nil"/>
              <w:bottom w:val="single" w:color="auto" w:sz="4" w:space="0"/>
              <w:right w:val="single" w:color="auto" w:sz="4" w:space="0"/>
            </w:tcBorders>
          </w:tcPr>
          <w:p>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r>
      <w:tr>
        <w:tblPrEx>
          <w:tblCellMar>
            <w:top w:w="0" w:type="dxa"/>
            <w:left w:w="108" w:type="dxa"/>
            <w:bottom w:w="0" w:type="dxa"/>
            <w:right w:w="108" w:type="dxa"/>
          </w:tblCellMar>
        </w:tblPrEx>
        <w:trPr>
          <w:trHeight w:val="563"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其中：当年财政</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ascii="仿宋_GB2312" w:hAnsi="宋体" w:eastAsia="仿宋_GB2312" w:cs="宋体"/>
                <w:kern w:val="0"/>
                <w:szCs w:val="21"/>
              </w:rPr>
              <w:t>2448.92</w:t>
            </w:r>
          </w:p>
        </w:tc>
        <w:tc>
          <w:tcPr>
            <w:tcW w:w="1450" w:type="dxa"/>
            <w:gridSpan w:val="2"/>
            <w:tcBorders>
              <w:top w:val="nil"/>
              <w:left w:val="nil"/>
              <w:bottom w:val="single" w:color="auto" w:sz="4" w:space="0"/>
              <w:right w:val="single" w:color="auto" w:sz="4" w:space="0"/>
            </w:tcBorders>
          </w:tcPr>
          <w:p>
            <w:r>
              <w:rPr>
                <w:rFonts w:ascii="仿宋_GB2312" w:hAnsi="宋体" w:eastAsia="仿宋_GB2312" w:cs="宋体"/>
                <w:kern w:val="0"/>
                <w:szCs w:val="21"/>
              </w:rPr>
              <w:t>2448.92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429"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306" w:hRule="exact"/>
          <w:jc w:val="center"/>
        </w:trPr>
        <w:tc>
          <w:tcPr>
            <w:tcW w:w="13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14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c>
          <w:tcPr>
            <w:tcW w:w="9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CellMar>
            <w:top w:w="0" w:type="dxa"/>
            <w:left w:w="108" w:type="dxa"/>
            <w:bottom w:w="0" w:type="dxa"/>
            <w:right w:w="108" w:type="dxa"/>
          </w:tblCellMar>
        </w:tblPrEx>
        <w:trPr>
          <w:trHeight w:val="449"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74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84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1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743"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完成临电设计及施工；2、完成临水设计及施工；3、完成临水施工预算评审；4、完成临电施工预算评审；5、完成高程测绘工作；6、完成项目管理单位预付款支付,并开展项目管理配合工作；7、完成监理单位预付款支付，开展工程质量把关工作；8、完成</w:t>
            </w:r>
            <w:r>
              <w:rPr>
                <w:rFonts w:hint="eastAsia" w:ascii="仿宋_GB2312" w:hAnsi="黑体" w:eastAsia="仿宋_GB2312" w:cs="仿宋"/>
                <w:sz w:val="18"/>
                <w:szCs w:val="18"/>
              </w:rPr>
              <w:t>施工招标代理服务费、工程量清单及预算编制费支付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施工总承包预付款支付，并开展项目施工工程。</w:t>
            </w:r>
          </w:p>
        </w:tc>
        <w:tc>
          <w:tcPr>
            <w:tcW w:w="384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1、已完成临电设计及施工；2、已完成临水设计及施工；3、已完成临水施工预算评审；4、已完成临电施工预算评审；5、已完成高程测绘工作；6、已完成项目管理单位预付款支付，按照合同约定开展相关工作；7、已完成监理单位预付款支付，按照合同约定开展相关工作；8、已完成</w:t>
            </w:r>
            <w:r>
              <w:rPr>
                <w:rFonts w:hint="eastAsia" w:ascii="仿宋_GB2312" w:hAnsi="黑体" w:eastAsia="仿宋_GB2312" w:cs="仿宋"/>
                <w:sz w:val="18"/>
                <w:szCs w:val="18"/>
              </w:rPr>
              <w:t>工程量清单及预算编制费支付</w:t>
            </w:r>
            <w:r>
              <w:rPr>
                <w:rFonts w:hint="eastAsia" w:ascii="仿宋_GB2312" w:hAnsi="仿宋" w:eastAsia="仿宋_GB2312" w:cs="仿宋"/>
                <w:bCs/>
                <w:sz w:val="18"/>
                <w:szCs w:val="18"/>
              </w:rPr>
              <w:t>；9、完成</w:t>
            </w:r>
            <w:r>
              <w:rPr>
                <w:rFonts w:hint="eastAsia" w:ascii="仿宋_GB2312" w:hAnsi="黑体" w:eastAsia="仿宋_GB2312" w:cs="仿宋"/>
                <w:sz w:val="18"/>
                <w:szCs w:val="18"/>
              </w:rPr>
              <w:t>施工总承包预付款支付，并开展施工工程。</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7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30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数量指标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工程产值</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2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工程验收合格率</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宋体" w:hAnsi="宋体" w:cs="宋体"/>
                <w:sz w:val="18"/>
                <w:szCs w:val="18"/>
              </w:rPr>
              <w:t>﹦</w:t>
            </w:r>
            <w:r>
              <w:rPr>
                <w:rFonts w:hint="eastAsia" w:ascii="仿宋_GB2312" w:hAnsi="宋体" w:eastAsia="仿宋_GB2312"/>
                <w:sz w:val="18"/>
                <w:szCs w:val="18"/>
              </w:rPr>
              <w:t>100%</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100%</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833"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时效指标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工程款支付进度</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当年12月前完成</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31"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成本指标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成本控制数</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2448</w:t>
            </w:r>
            <w:r>
              <w:rPr>
                <w:rFonts w:ascii="仿宋_GB2312" w:hAnsi="宋体" w:eastAsia="仿宋_GB2312" w:cs="宋体"/>
                <w:kern w:val="0"/>
                <w:sz w:val="18"/>
                <w:szCs w:val="18"/>
              </w:rPr>
              <w:t>.</w:t>
            </w:r>
            <w:r>
              <w:rPr>
                <w:rFonts w:hint="eastAsia" w:ascii="仿宋_GB2312" w:hAnsi="宋体" w:eastAsia="仿宋_GB2312" w:cs="宋体"/>
                <w:kern w:val="0"/>
                <w:sz w:val="18"/>
                <w:szCs w:val="18"/>
              </w:rPr>
              <w:t>92</w:t>
            </w:r>
            <w:r>
              <w:rPr>
                <w:rFonts w:hint="eastAsia" w:ascii="微软雅黑" w:hAnsi="微软雅黑" w:eastAsia="微软雅黑" w:cs="微软雅黑"/>
                <w:kern w:val="0"/>
                <w:sz w:val="18"/>
                <w:szCs w:val="18"/>
              </w:rPr>
              <w:t>万</w:t>
            </w:r>
            <w:r>
              <w:rPr>
                <w:rFonts w:hint="eastAsia" w:ascii="仿宋_GB2312" w:hAnsi="宋体" w:eastAsia="仿宋_GB2312" w:cs="宋体"/>
                <w:kern w:val="0"/>
                <w:sz w:val="18"/>
                <w:szCs w:val="18"/>
              </w:rPr>
              <w:t>元</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61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社会效益</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工程施工推进程度</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定性</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585" w:hRule="exact"/>
          <w:jc w:val="center"/>
        </w:trPr>
        <w:tc>
          <w:tcPr>
            <w:tcW w:w="58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0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服务对象满意度指标</w:t>
            </w: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建设单位满意度</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423" w:hRule="exact"/>
          <w:jc w:val="center"/>
        </w:trPr>
        <w:tc>
          <w:tcPr>
            <w:tcW w:w="58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c>
          <w:tcPr>
            <w:tcW w:w="181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使用单位满意度</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≥95%</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477" w:hRule="exact"/>
          <w:jc w:val="center"/>
        </w:trPr>
        <w:tc>
          <w:tcPr>
            <w:tcW w:w="646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总分</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w:t>
            </w:r>
          </w:p>
        </w:tc>
        <w:tc>
          <w:tcPr>
            <w:tcW w:w="8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99</w:t>
            </w:r>
          </w:p>
        </w:tc>
        <w:tc>
          <w:tcPr>
            <w:tcW w:w="13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p>
        </w:tc>
      </w:tr>
    </w:tbl>
    <w:p>
      <w:pPr>
        <w:widowControl/>
        <w:spacing w:line="520" w:lineRule="exact"/>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15"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309"/>
        <w:gridCol w:w="614"/>
        <w:gridCol w:w="710"/>
      </w:tblGrid>
      <w:tr>
        <w:tblPrEx>
          <w:tblCellMar>
            <w:top w:w="0" w:type="dxa"/>
            <w:left w:w="108" w:type="dxa"/>
            <w:bottom w:w="0" w:type="dxa"/>
            <w:right w:w="108" w:type="dxa"/>
          </w:tblCellMar>
        </w:tblPrEx>
        <w:trPr>
          <w:trHeight w:val="551"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5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rPr>
              <w:t>11010623T000001764895-丰台区融媒体中心建设项目（一期）第一阶段尾款</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3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3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2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18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color w:val="000000"/>
                <w:kern w:val="0"/>
                <w:sz w:val="18"/>
                <w:szCs w:val="18"/>
              </w:rPr>
              <w:t>丰台区融媒体中心建设项目（一期）第一阶段为2021年开展的建设项目，因疫情原因及部分施工与第二阶段项目有交叉，2021年根据工程进度支付部分工程款。2022年完成一阶段施工并支付剩余工程款489.22万元。</w:t>
            </w:r>
          </w:p>
        </w:tc>
        <w:tc>
          <w:tcPr>
            <w:tcW w:w="3464" w:type="dxa"/>
            <w:gridSpan w:val="7"/>
            <w:tcBorders>
              <w:top w:val="single" w:color="auto" w:sz="4" w:space="0"/>
              <w:left w:val="nil"/>
              <w:bottom w:val="single" w:color="auto" w:sz="4" w:space="0"/>
              <w:right w:val="single" w:color="auto" w:sz="4" w:space="0"/>
            </w:tcBorders>
            <w:vAlign w:val="center"/>
          </w:tcPr>
          <w:p>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完成区融媒体中心装修改造项目。</w:t>
            </w:r>
          </w:p>
          <w:p>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2.资金使用情况，支付工程款489.22万元，目标值结余0万元。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pPr>
              <w:widowControl/>
              <w:spacing w:line="240" w:lineRule="exac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848" w:type="dxa"/>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kern w:val="0"/>
                <w:sz w:val="20"/>
                <w:szCs w:val="21"/>
              </w:rPr>
            </w:pPr>
            <w:r>
              <w:rPr>
                <w:rFonts w:hint="eastAsia" w:ascii="仿宋_GB2312" w:hAnsi="宋体" w:eastAsia="仿宋_GB2312" w:cs="宋体"/>
                <w:kern w:val="0"/>
                <w:sz w:val="20"/>
                <w:szCs w:val="21"/>
              </w:rPr>
              <w:t>4936.1</w:t>
            </w:r>
            <w:r>
              <w:rPr>
                <w:rFonts w:hint="eastAsia" w:ascii="宋体" w:hAnsi="宋体" w:cs="宋体"/>
                <w:color w:val="000000"/>
                <w:kern w:val="0"/>
                <w:sz w:val="20"/>
                <w:szCs w:val="21"/>
              </w:rPr>
              <w:t xml:space="preserve"> m²</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w:t>
            </w:r>
            <w:r>
              <w:rPr>
                <w:rFonts w:hint="eastAsia" w:ascii="仿宋" w:hAnsi="仿宋" w:eastAsia="仿宋" w:cs="仿宋"/>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12月底前 完工</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489.22万元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11010622T000000429234-各办公区防水工程经费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4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保证各办公区屋面不漏雨，铺设、修补防水面积总计1860</w:t>
            </w:r>
            <w:r>
              <w:rPr>
                <w:rFonts w:ascii="仿宋_GB2312" w:hAnsi="宋体" w:eastAsia="仿宋_GB2312" w:cs="宋体"/>
                <w:kern w:val="0"/>
                <w:szCs w:val="21"/>
              </w:rPr>
              <w:t>m²</w:t>
            </w:r>
            <w:r>
              <w:rPr>
                <w:rFonts w:hint="eastAsia" w:ascii="仿宋_GB2312" w:hAnsi="宋体" w:eastAsia="仿宋_GB2312" w:cs="宋体"/>
                <w:kern w:val="0"/>
                <w:szCs w:val="21"/>
              </w:rPr>
              <w:t>，完成支付金额50万元。</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1.按时完成年初项目计划，更换屋面防水面积1860</w:t>
            </w:r>
            <w:r>
              <w:rPr>
                <w:rFonts w:ascii="仿宋_GB2312" w:hAnsi="宋体" w:eastAsia="仿宋_GB2312" w:cs="宋体"/>
                <w:kern w:val="0"/>
                <w:szCs w:val="21"/>
              </w:rPr>
              <w:t>m²</w:t>
            </w:r>
            <w:r>
              <w:rPr>
                <w:rFonts w:hint="eastAsia" w:ascii="仿宋_GB2312" w:hAnsi="宋体" w:eastAsia="仿宋_GB2312" w:cs="宋体"/>
                <w:kern w:val="0"/>
                <w:szCs w:val="21"/>
              </w:rPr>
              <w:t>。</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2.资金使用情况，支付工程款50万元，目标值结余0万元。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铺设、修补防水面积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办公区是否正常运行，不存在安全隐患</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满足办公区正常运行，不存在安全隐患。</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≥5年</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11010622T000000429256-各办公区设备设施维修维保经费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15"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保障所辖办公区大型设备设施及公共区域设备设施正常运转，包括空调设备维保、电梯维保、电气设施维保、消防设施维保、机电通讯设备维保等，完成支付设备维修维保款149.98万元。</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1.按时完成年初项目计划，完成保障所辖办公区大型设备设施及公共区域设备设施正常运转。</w:t>
            </w:r>
          </w:p>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2.资金使用情况，支付工程款149.98万元，目标值结余0万元。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设备维修维保次数</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维修维保验收合格率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149.98万元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是否保障各办公区设备设施正常运行</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保障各办公区设备设施正常运行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11010622T000001707361-区规自分局租用丰开集团办公用房租金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2914.28</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为满足区规自分局办公场所需求，租用丰台北路125号及其附属办公楼，租用面积5073.07平方米，支付租金2914.28万元。</w:t>
            </w:r>
          </w:p>
        </w:tc>
        <w:tc>
          <w:tcPr>
            <w:tcW w:w="3387" w:type="dxa"/>
            <w:gridSpan w:val="7"/>
            <w:tcBorders>
              <w:top w:val="single" w:color="auto" w:sz="4" w:space="0"/>
              <w:left w:val="nil"/>
              <w:bottom w:val="single" w:color="auto" w:sz="4" w:space="0"/>
              <w:right w:val="single" w:color="auto" w:sz="4" w:space="0"/>
            </w:tcBorders>
            <w:vAlign w:val="center"/>
          </w:tcPr>
          <w:p>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1.按时完成年初项目计划，完成租赁丰台北路125号及其附属办公楼，满足区规自分局办公用房需求。</w:t>
            </w:r>
          </w:p>
          <w:p>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2.资金使用情况，支付租金2914.28万元，目标值结余0万元。</w:t>
            </w:r>
          </w:p>
        </w:tc>
      </w:tr>
      <w:tr>
        <w:tblPrEx>
          <w:tblCellMar>
            <w:top w:w="0" w:type="dxa"/>
            <w:left w:w="108" w:type="dxa"/>
            <w:bottom w:w="0" w:type="dxa"/>
            <w:right w:w="108" w:type="dxa"/>
          </w:tblCellMar>
        </w:tblPrEx>
        <w:trPr>
          <w:trHeight w:val="842"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5073.07</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w:t>
            </w:r>
            <w:r>
              <w:rPr>
                <w:rFonts w:ascii="仿宋_GB2312" w:hAnsi="宋体" w:eastAsia="仿宋_GB2312" w:cs="宋体"/>
                <w:color w:val="000000"/>
                <w:kern w:val="0"/>
                <w:szCs w:val="21"/>
              </w:rPr>
              <w:t>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11010622T000001705825-区市场监督管理局办公用房修缮经费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为满足区市场监督管理局办公需求，对菜户营东街乙360号办公区办公楼一层大厅进行改造，装修改造面积2894平方米，支付金额771.</w:t>
            </w:r>
            <w:r>
              <w:rPr>
                <w:rFonts w:ascii="仿宋_GB2312" w:hAnsi="宋体" w:eastAsia="仿宋_GB2312" w:cs="宋体"/>
                <w:color w:val="000000"/>
                <w:kern w:val="0"/>
                <w:szCs w:val="21"/>
              </w:rPr>
              <w:t>34</w:t>
            </w:r>
            <w:r>
              <w:rPr>
                <w:rFonts w:hint="eastAsia" w:ascii="仿宋_GB2312" w:hAnsi="宋体" w:eastAsia="仿宋_GB2312" w:cs="宋体"/>
                <w:color w:val="000000"/>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完成区市场监督管理局办公楼装修改造项目。</w:t>
            </w:r>
          </w:p>
          <w:p>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2.资金使用情况，支付工程款771.</w:t>
            </w:r>
            <w:r>
              <w:rPr>
                <w:rFonts w:ascii="仿宋_GB2312" w:hAnsi="宋体" w:eastAsia="仿宋_GB2312" w:cs="宋体"/>
                <w:kern w:val="0"/>
                <w:sz w:val="18"/>
                <w:szCs w:val="18"/>
              </w:rPr>
              <w:t>34</w:t>
            </w:r>
            <w:r>
              <w:rPr>
                <w:rFonts w:hint="eastAsia" w:ascii="仿宋_GB2312" w:hAnsi="宋体" w:eastAsia="仿宋_GB2312" w:cs="宋体"/>
                <w:kern w:val="0"/>
                <w:sz w:val="18"/>
                <w:szCs w:val="18"/>
              </w:rPr>
              <w:t>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2894平方米</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771.3</w:t>
            </w:r>
            <w:r>
              <w:rPr>
                <w:rFonts w:ascii="仿宋_GB2312" w:hAnsi="宋体" w:eastAsia="仿宋_GB2312" w:cs="宋体"/>
                <w:kern w:val="0"/>
                <w:szCs w:val="21"/>
              </w:rPr>
              <w:t>4</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968"/>
        <w:gridCol w:w="159"/>
        <w:gridCol w:w="396"/>
        <w:gridCol w:w="308"/>
        <w:gridCol w:w="337"/>
        <w:gridCol w:w="509"/>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11010622T000000429211-所辖各办公区房屋维修改造经费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为保证各办公区办公用房的正常使用，满足正常办公条件，完成房屋零星维修改造工作，支付维修费149.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1.按时完成年初项目计划，完成区政府各办公区房屋维修工作。</w:t>
            </w:r>
          </w:p>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2.资金使用情况，支付维修款149.</w:t>
            </w:r>
            <w:r>
              <w:rPr>
                <w:rFonts w:ascii="仿宋_GB2312" w:hAnsi="宋体" w:eastAsia="仿宋_GB2312" w:cs="宋体"/>
                <w:kern w:val="0"/>
                <w:szCs w:val="21"/>
              </w:rPr>
              <w:t>9</w:t>
            </w:r>
            <w:r>
              <w:rPr>
                <w:rFonts w:hint="eastAsia" w:ascii="仿宋_GB2312" w:hAnsi="宋体" w:eastAsia="仿宋_GB2312" w:cs="宋体"/>
                <w:kern w:val="0"/>
                <w:szCs w:val="21"/>
              </w:rPr>
              <w:t>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保障所辖办公区办公用房正常使用面积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96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241971.65㎡</w:t>
            </w:r>
          </w:p>
        </w:tc>
        <w:tc>
          <w:tcPr>
            <w:tcW w:w="55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按期完工</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r>
              <w:rPr>
                <w:rFonts w:ascii="仿宋_GB2312" w:hAnsi="宋体" w:eastAsia="仿宋_GB2312" w:cs="宋体"/>
                <w:kern w:val="0"/>
                <w:szCs w:val="21"/>
              </w:rPr>
              <w:t>9</w:t>
            </w:r>
            <w:r>
              <w:rPr>
                <w:rFonts w:hint="eastAsia" w:ascii="仿宋_GB2312" w:hAnsi="宋体" w:eastAsia="仿宋_GB2312" w:cs="宋体"/>
                <w:kern w:val="0"/>
                <w:szCs w:val="21"/>
              </w:rPr>
              <w:t>万元</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保障办公区房屋正常使用，无安全隐患</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9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61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21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11010622T000000438685-文体路2号1号楼夏季空调燃气费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3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保障文体路2号办公区1号办公楼夏季制冷</w:t>
            </w:r>
          </w:p>
        </w:tc>
        <w:tc>
          <w:tcPr>
            <w:tcW w:w="3387" w:type="dxa"/>
            <w:gridSpan w:val="7"/>
            <w:tcBorders>
              <w:top w:val="single" w:color="auto" w:sz="4" w:space="0"/>
              <w:left w:val="nil"/>
              <w:bottom w:val="single" w:color="auto" w:sz="4" w:space="0"/>
              <w:right w:val="single" w:color="auto" w:sz="4" w:space="0"/>
            </w:tcBorders>
            <w:vAlign w:val="center"/>
          </w:tcPr>
          <w:p>
            <w:pPr>
              <w:widowControl/>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保障文体路2号办公区1号办公楼夏季制冷。</w:t>
            </w:r>
          </w:p>
          <w:p>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2.资金使用情况，支付中央空调燃气费25万元，目标值结余0万元。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一号楼中央空调燃气费</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25万元</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燃气质量</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办公区夏季空调正常运行保障度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jc w:val="left"/>
        <w:rPr>
          <w:rFonts w:hint="eastAsia" w:ascii="仿宋_GB2312" w:hAnsi="宋体" w:eastAsia="仿宋_GB2312" w:cs="宋体"/>
          <w:color w:val="000000"/>
          <w:kern w:val="0"/>
          <w:sz w:val="32"/>
          <w:szCs w:val="32"/>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38"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32"/>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11010622T000000429224-文体路2号办公区卫生间装修改造经费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5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文体路2号办公区卫生间上下水老化，隔断板、墙地面多处破损，为保证参会人员正常使用，对卫生间整体进行装修改造，支付工程款16.7万元。</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1.按时完成年初项目计划，完成文体路2号办公区2层卫生间装修改造工程。</w:t>
            </w:r>
          </w:p>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2.资金使用情况，支付维修款16.7万元，目标值结余0万元。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8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修缮卫生间面积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因疫情原因只完成一层卫生间改造</w:t>
            </w:r>
          </w:p>
        </w:tc>
      </w:tr>
      <w:tr>
        <w:tblPrEx>
          <w:tblCellMar>
            <w:top w:w="0" w:type="dxa"/>
            <w:left w:w="108" w:type="dxa"/>
            <w:bottom w:w="0" w:type="dxa"/>
            <w:right w:w="108" w:type="dxa"/>
          </w:tblCellMar>
        </w:tblPrEx>
        <w:trPr>
          <w:trHeight w:val="3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12月前完成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完工</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16.7万元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保障参会人员正常使用</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ind w:firstLine="105" w:firstLineChars="5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1</w:t>
            </w:r>
            <w:r>
              <w:rPr>
                <w:rFonts w:hint="eastAsia" w:ascii="仿宋_GB2312" w:hAnsi="宋体" w:eastAsia="仿宋_GB2312" w:cs="宋体"/>
                <w:kern w:val="0"/>
                <w:szCs w:val="21"/>
              </w:rPr>
              <w:t>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工程预计使用年限</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≥10年</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6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087" w:type="dxa"/>
        <w:jc w:val="center"/>
        <w:tblLayout w:type="fixed"/>
        <w:tblCellMar>
          <w:top w:w="0" w:type="dxa"/>
          <w:left w:w="108" w:type="dxa"/>
          <w:bottom w:w="0" w:type="dxa"/>
          <w:right w:w="108" w:type="dxa"/>
        </w:tblCellMar>
      </w:tblPr>
      <w:tblGrid>
        <w:gridCol w:w="585"/>
        <w:gridCol w:w="975"/>
        <w:gridCol w:w="1105"/>
        <w:gridCol w:w="727"/>
        <w:gridCol w:w="962"/>
        <w:gridCol w:w="1297"/>
        <w:gridCol w:w="848"/>
        <w:gridCol w:w="279"/>
        <w:gridCol w:w="284"/>
        <w:gridCol w:w="420"/>
        <w:gridCol w:w="281"/>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527"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11010622T000001280311-文体路6号办公楼修缮工程经费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3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3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644.83</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96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89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4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43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为统筹安排办公用房，确保腾退房屋尽快投入使用，对文体路6号办公楼进行修缮，修缮区域为整栋办公楼及东西平房，装修改造面积3331平方米，支付金额</w:t>
            </w:r>
            <w:r>
              <w:rPr>
                <w:rFonts w:ascii="仿宋_GB2312" w:hAnsi="宋体" w:eastAsia="仿宋_GB2312" w:cs="宋体"/>
                <w:color w:val="000000"/>
                <w:kern w:val="0"/>
                <w:szCs w:val="21"/>
              </w:rPr>
              <w:t>624.15</w:t>
            </w:r>
            <w:r>
              <w:rPr>
                <w:rFonts w:hint="eastAsia" w:ascii="仿宋_GB2312" w:hAnsi="宋体" w:eastAsia="仿宋_GB2312" w:cs="宋体"/>
                <w:color w:val="000000"/>
                <w:kern w:val="0"/>
                <w:szCs w:val="21"/>
              </w:rPr>
              <w:t>万元。</w:t>
            </w:r>
          </w:p>
        </w:tc>
        <w:tc>
          <w:tcPr>
            <w:tcW w:w="3436" w:type="dxa"/>
            <w:gridSpan w:val="7"/>
            <w:tcBorders>
              <w:top w:val="single" w:color="auto" w:sz="4" w:space="0"/>
              <w:left w:val="nil"/>
              <w:bottom w:val="single" w:color="auto" w:sz="4" w:space="0"/>
              <w:right w:val="single" w:color="auto" w:sz="4" w:space="0"/>
            </w:tcBorders>
            <w:vAlign w:val="center"/>
          </w:tcPr>
          <w:p>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w:t>
            </w:r>
            <w:r>
              <w:rPr>
                <w:rFonts w:hint="eastAsia" w:ascii="仿宋_GB2312" w:hAnsi="宋体" w:eastAsia="仿宋_GB2312" w:cs="宋体"/>
                <w:color w:val="000000"/>
                <w:kern w:val="0"/>
                <w:sz w:val="18"/>
                <w:szCs w:val="18"/>
              </w:rPr>
              <w:t>完成文体路6号办公楼装修改造项目。</w:t>
            </w:r>
          </w:p>
          <w:p>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2.资金使用情况，支付工程款</w:t>
            </w:r>
            <w:r>
              <w:rPr>
                <w:rFonts w:ascii="仿宋_GB2312" w:hAnsi="宋体" w:eastAsia="仿宋_GB2312" w:cs="宋体"/>
                <w:kern w:val="0"/>
                <w:sz w:val="18"/>
                <w:szCs w:val="18"/>
              </w:rPr>
              <w:t>624.15</w:t>
            </w:r>
            <w:r>
              <w:rPr>
                <w:rFonts w:hint="eastAsia" w:ascii="仿宋_GB2312" w:hAnsi="宋体" w:eastAsia="仿宋_GB2312" w:cs="宋体"/>
                <w:kern w:val="0"/>
                <w:sz w:val="18"/>
                <w:szCs w:val="18"/>
              </w:rPr>
              <w:t>万元，目标值结余0万元。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改造面积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3331㎡</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竣工验收合格率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工程进度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预算控制数</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624.15</w:t>
            </w:r>
            <w:r>
              <w:rPr>
                <w:rFonts w:hint="eastAsia" w:ascii="仿宋_GB2312" w:hAnsi="宋体" w:eastAsia="仿宋_GB2312" w:cs="宋体"/>
                <w:kern w:val="0"/>
                <w:szCs w:val="21"/>
              </w:rPr>
              <w:t>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是否满足办公区人员办公使用需求</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 w:val="18"/>
                <w:szCs w:val="21"/>
              </w:rPr>
              <w:t>满足办公区人员办公使用需求</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满足</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0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ascii="仿宋_GB2312" w:eastAsia="仿宋_GB2312"/>
          <w:vanish/>
          <w:sz w:val="32"/>
          <w:szCs w:val="32"/>
        </w:rPr>
      </w:pPr>
    </w:p>
    <w:p>
      <w:pPr>
        <w:widowControl/>
        <w:jc w:val="left"/>
        <w:rPr>
          <w:rFonts w:hint="eastAsia" w:ascii="仿宋_GB2312" w:hAnsi="宋体" w:eastAsia="仿宋_GB2312" w:cs="宋体"/>
          <w:color w:val="000000"/>
          <w:kern w:val="0"/>
          <w:sz w:val="32"/>
          <w:szCs w:val="32"/>
        </w:rPr>
      </w:pPr>
    </w:p>
    <w:p>
      <w:pPr>
        <w:widowControl/>
        <w:jc w:val="left"/>
        <w:rPr>
          <w:rFonts w:hint="eastAsia" w:ascii="仿宋_GB2312" w:hAnsi="仿宋_GB2312" w:eastAsia="仿宋_GB2312" w:cs="仿宋_GB2312"/>
          <w:color w:val="000000"/>
          <w:kern w:val="0"/>
          <w:sz w:val="28"/>
          <w:szCs w:val="28"/>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9"/>
        <w:tblW w:w="9185" w:type="dxa"/>
        <w:jc w:val="center"/>
        <w:tblLayout w:type="fixed"/>
        <w:tblCellMar>
          <w:top w:w="0" w:type="dxa"/>
          <w:left w:w="108" w:type="dxa"/>
          <w:bottom w:w="0" w:type="dxa"/>
          <w:right w:w="108" w:type="dxa"/>
        </w:tblCellMar>
      </w:tblPr>
      <w:tblGrid>
        <w:gridCol w:w="585"/>
        <w:gridCol w:w="975"/>
        <w:gridCol w:w="1105"/>
        <w:gridCol w:w="536"/>
        <w:gridCol w:w="1153"/>
        <w:gridCol w:w="1297"/>
        <w:gridCol w:w="848"/>
        <w:gridCol w:w="279"/>
        <w:gridCol w:w="284"/>
        <w:gridCol w:w="420"/>
        <w:gridCol w:w="379"/>
        <w:gridCol w:w="614"/>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625"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11010622T000000429381-租用办公用房租赁费</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丰台区机关事务管理服务中心</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4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基建房管科</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葛文学</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40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83656510</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3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w:t>
            </w:r>
            <w:r>
              <w:rPr>
                <w:rFonts w:ascii="仿宋_GB2312" w:hAnsi="宋体" w:eastAsia="仿宋_GB2312" w:cs="宋体"/>
                <w:kern w:val="0"/>
                <w:szCs w:val="21"/>
              </w:rPr>
              <w:t>8</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22604.28</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23804.37</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362"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4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5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29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99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41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53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291"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420" w:firstLineChars="200"/>
              <w:jc w:val="left"/>
              <w:rPr>
                <w:rFonts w:hint="eastAsia" w:ascii="仿宋_GB2312" w:hAnsi="宋体" w:eastAsia="仿宋_GB2312" w:cs="宋体"/>
                <w:kern w:val="0"/>
                <w:szCs w:val="21"/>
              </w:rPr>
            </w:pPr>
            <w:r>
              <w:rPr>
                <w:rFonts w:hint="eastAsia" w:ascii="仿宋_GB2312" w:hAnsi="宋体" w:eastAsia="仿宋_GB2312" w:cs="宋体"/>
                <w:kern w:val="0"/>
                <w:szCs w:val="21"/>
              </w:rPr>
              <w:t>为满足7个街道办、区纪委、福成大厦、丰体时代等办公场所需求，租用12处办公用房，租用面积133175.99平方米，支付租金23804.37万元。</w:t>
            </w:r>
          </w:p>
        </w:tc>
        <w:tc>
          <w:tcPr>
            <w:tcW w:w="3534" w:type="dxa"/>
            <w:gridSpan w:val="7"/>
            <w:tcBorders>
              <w:top w:val="single" w:color="auto" w:sz="4" w:space="0"/>
              <w:left w:val="nil"/>
              <w:bottom w:val="single" w:color="auto" w:sz="4" w:space="0"/>
              <w:right w:val="single" w:color="auto" w:sz="4" w:space="0"/>
            </w:tcBorders>
            <w:vAlign w:val="center"/>
          </w:tcPr>
          <w:p>
            <w:pPr>
              <w:widowControl/>
              <w:adjustRightInd w:val="0"/>
              <w:snapToGrid w:val="0"/>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1.按时完成年初项目计划，完成租赁12处办公用房，满足相关单位办公用房需求。</w:t>
            </w:r>
          </w:p>
          <w:p>
            <w:pPr>
              <w:widowControl/>
              <w:adjustRightInd w:val="0"/>
              <w:snapToGrid w:val="0"/>
              <w:ind w:firstLine="360" w:firstLineChars="200"/>
              <w:jc w:val="left"/>
              <w:rPr>
                <w:rFonts w:hint="eastAsia" w:ascii="仿宋_GB2312" w:hAnsi="宋体" w:eastAsia="仿宋_GB2312" w:cs="宋体"/>
                <w:kern w:val="0"/>
                <w:szCs w:val="21"/>
              </w:rPr>
            </w:pPr>
            <w:r>
              <w:rPr>
                <w:rFonts w:hint="eastAsia" w:ascii="仿宋_GB2312" w:hAnsi="宋体" w:eastAsia="仿宋_GB2312" w:cs="宋体"/>
                <w:kern w:val="0"/>
                <w:sz w:val="18"/>
                <w:szCs w:val="18"/>
              </w:rPr>
              <w:t>2.资金使用情况，支付租金23804.37万元，目标值结余0万元</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7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8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租赁办公用房面积</w:t>
            </w:r>
          </w:p>
        </w:tc>
        <w:tc>
          <w:tcPr>
            <w:tcW w:w="1297"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133175</w:t>
            </w:r>
            <w:r>
              <w:rPr>
                <w:rFonts w:ascii="宋体" w:hAnsi="宋体" w:cs="宋体"/>
                <w:color w:val="000000"/>
                <w:kern w:val="0"/>
                <w:szCs w:val="21"/>
              </w:rPr>
              <w:t xml:space="preserve"> m²</w:t>
            </w:r>
          </w:p>
        </w:tc>
        <w:tc>
          <w:tcPr>
            <w:tcW w:w="848" w:type="dxa"/>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133175.99</w:t>
            </w:r>
            <w:r>
              <w:rPr>
                <w:rFonts w:ascii="宋体" w:hAnsi="宋体" w:cs="宋体"/>
                <w:color w:val="000000"/>
                <w:kern w:val="0"/>
                <w:szCs w:val="21"/>
              </w:rPr>
              <w:t xml:space="preserve"> m²</w:t>
            </w:r>
          </w:p>
        </w:tc>
        <w:tc>
          <w:tcPr>
            <w:tcW w:w="563"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办公用房达标率</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支出进度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 w:hAnsi="仿宋" w:eastAsia="仿宋" w:cs="仿宋"/>
                <w:kern w:val="0"/>
                <w:szCs w:val="21"/>
              </w:rPr>
            </w:pPr>
            <w:r>
              <w:rPr>
                <w:rFonts w:hint="eastAsia" w:ascii="仿宋" w:hAnsi="仿宋" w:eastAsia="仿宋" w:cs="仿宋"/>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单位租赁成本</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 w:val="16"/>
                <w:szCs w:val="21"/>
              </w:rPr>
              <w:t>2-5.5元/</w:t>
            </w:r>
            <w:r>
              <w:rPr>
                <w:rFonts w:ascii="仿宋_GB2312" w:hAnsi="宋体" w:eastAsia="仿宋_GB2312" w:cs="宋体"/>
                <w:kern w:val="0"/>
                <w:sz w:val="16"/>
                <w:szCs w:val="21"/>
              </w:rPr>
              <w:t xml:space="preserve"> m²</w:t>
            </w:r>
            <w:r>
              <w:rPr>
                <w:rFonts w:hint="eastAsia" w:ascii="仿宋_GB2312" w:hAnsi="宋体" w:eastAsia="仿宋_GB2312" w:cs="宋体"/>
                <w:kern w:val="0"/>
                <w:sz w:val="16"/>
                <w:szCs w:val="21"/>
              </w:rPr>
              <w:t>/天</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2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 运行</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保障正常运行</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89" w:type="dxa"/>
            <w:gridSpan w:val="2"/>
            <w:tcBorders>
              <w:top w:val="single" w:color="auto" w:sz="4" w:space="0"/>
              <w:left w:val="nil"/>
              <w:bottom w:val="single" w:color="auto" w:sz="4" w:space="0"/>
              <w:right w:val="single" w:color="auto" w:sz="4" w:space="0"/>
            </w:tcBorders>
          </w:tcPr>
          <w:p>
            <w:r>
              <w:rPr>
                <w:rFonts w:hint="eastAsia" w:ascii="仿宋_GB2312" w:hAnsi="宋体" w:eastAsia="仿宋_GB2312" w:cs="宋体"/>
                <w:color w:val="000000"/>
                <w:kern w:val="0"/>
                <w:szCs w:val="21"/>
              </w:rPr>
              <w:t>此</w:t>
            </w:r>
            <w:r>
              <w:rPr>
                <w:rFonts w:ascii="仿宋_GB2312" w:hAnsi="宋体" w:eastAsia="仿宋_GB2312" w:cs="宋体"/>
                <w:color w:val="000000"/>
                <w:kern w:val="0"/>
                <w:szCs w:val="21"/>
              </w:rPr>
              <w:t>项不</w:t>
            </w:r>
            <w:r>
              <w:rPr>
                <w:rFonts w:hint="eastAsia" w:ascii="仿宋_GB2312" w:hAnsi="宋体" w:eastAsia="仿宋_GB2312" w:cs="宋体"/>
                <w:color w:val="000000"/>
                <w:kern w:val="0"/>
                <w:szCs w:val="21"/>
              </w:rPr>
              <w:t>涉及</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6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办公人员满意度</w:t>
            </w:r>
          </w:p>
        </w:tc>
        <w:tc>
          <w:tcPr>
            <w:tcW w:w="12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楷体" w:hAnsi="楷体" w:eastAsia="楷体" w:cs="楷体"/>
                <w:color w:val="000000"/>
                <w:kern w:val="0"/>
                <w:sz w:val="20"/>
                <w:szCs w:val="20"/>
              </w:rPr>
              <w:t>≥</w:t>
            </w: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7" w:hRule="exact"/>
          <w:jc w:val="center"/>
        </w:trPr>
        <w:tc>
          <w:tcPr>
            <w:tcW w:w="649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9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99.8</w:t>
            </w:r>
          </w:p>
        </w:tc>
        <w:tc>
          <w:tcPr>
            <w:tcW w:w="132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1.自评表应覆盖本部门本年度全部项目(包括其他运转类、特定目标类所有项目，项目个数应与部门决算数据保持一致)，涉密项目可不填写自评表；</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2.请与年初绩效目标逐条对应，正确填写年初预算数、全年预算数、全年执行数，金额应与部门决算数据保持一致；</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宋体" w:eastAsia="仿宋_GB2312" w:cs="宋体"/>
          <w:color w:val="000000"/>
          <w:kern w:val="0"/>
          <w:sz w:val="32"/>
          <w:szCs w:val="32"/>
        </w:rPr>
        <w:t>得分一档最高不能超过该指标分值上限；</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4.三级指标应细化量化，每个二级指标下应</w:t>
      </w:r>
      <w:r>
        <w:rPr>
          <w:rFonts w:hint="eastAsia" w:ascii="仿宋_GB2312" w:hAnsi="仿宋_GB2312" w:eastAsia="仿宋_GB2312" w:cs="仿宋_GB2312"/>
          <w:b/>
          <w:bCs/>
          <w:sz w:val="32"/>
          <w:szCs w:val="32"/>
        </w:rPr>
        <w:t>至少写一条三级指标</w:t>
      </w:r>
      <w:r>
        <w:rPr>
          <w:rFonts w:hint="eastAsia" w:ascii="仿宋_GB2312" w:hAnsi="仿宋_GB2312" w:eastAsia="仿宋_GB2312" w:cs="仿宋_GB2312"/>
          <w:sz w:val="32"/>
          <w:szCs w:val="32"/>
        </w:rPr>
        <w:t>；</w:t>
      </w:r>
    </w:p>
    <w:p>
      <w:pPr>
        <w:widowControl/>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b/>
      </w:r>
      <w:r>
        <w:rPr>
          <w:rFonts w:hint="eastAsia" w:ascii="仿宋_GB2312" w:hAnsi="宋体" w:eastAsia="仿宋_GB2312" w:cs="宋体"/>
          <w:color w:val="000000"/>
          <w:kern w:val="0"/>
          <w:sz w:val="32"/>
          <w:szCs w:val="32"/>
        </w:rPr>
        <w:t>6.90（含）-100分为优、80（含）-90分为良、60（含）-80分为中、60分以下为差；</w:t>
      </w:r>
    </w:p>
    <w:p>
      <w:pPr>
        <w:spacing w:line="520" w:lineRule="exact"/>
        <w:ind w:firstLine="42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7.请在“偏差原因分析及改进措施”中说明偏离目标、不能完成目标的原因及拟采取的措施；</w:t>
      </w:r>
    </w:p>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p>
      <w:pPr>
        <w:widowControl/>
        <w:jc w:val="left"/>
        <w:rPr>
          <w:rFonts w:hint="eastAsia" w:ascii="仿宋_GB2312" w:hAnsi="仿宋_GB2312" w:eastAsia="仿宋_GB2312" w:cs="仿宋_GB2312"/>
          <w:color w:val="000000"/>
          <w:kern w:val="0"/>
          <w:sz w:val="28"/>
          <w:szCs w:val="28"/>
        </w:rPr>
      </w:pPr>
    </w:p>
    <w:sectPr>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10</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DC4B7"/>
    <w:multiLevelType w:val="singleLevel"/>
    <w:tmpl w:val="B02DC4B7"/>
    <w:lvl w:ilvl="0" w:tentative="0">
      <w:start w:val="1"/>
      <w:numFmt w:val="decimal"/>
      <w:suff w:val="nothing"/>
      <w:lvlText w:val="%1、"/>
      <w:lvlJc w:val="left"/>
    </w:lvl>
  </w:abstractNum>
  <w:abstractNum w:abstractNumId="1">
    <w:nsid w:val="D7FFB472"/>
    <w:multiLevelType w:val="singleLevel"/>
    <w:tmpl w:val="D7FFB472"/>
    <w:lvl w:ilvl="0" w:tentative="0">
      <w:start w:val="1"/>
      <w:numFmt w:val="chineseCounting"/>
      <w:suff w:val="nothing"/>
      <w:lvlText w:val="%1、"/>
      <w:lvlJc w:val="left"/>
      <w:rPr>
        <w:rFonts w:hint="eastAsia"/>
      </w:rPr>
    </w:lvl>
  </w:abstractNum>
  <w:abstractNum w:abstractNumId="2">
    <w:nsid w:val="E6C1FB2F"/>
    <w:multiLevelType w:val="singleLevel"/>
    <w:tmpl w:val="E6C1FB2F"/>
    <w:lvl w:ilvl="0" w:tentative="0">
      <w:start w:val="2"/>
      <w:numFmt w:val="decimal"/>
      <w:suff w:val="nothing"/>
      <w:lvlText w:val="%1、"/>
      <w:lvlJc w:val="left"/>
    </w:lvl>
  </w:abstractNum>
  <w:abstractNum w:abstractNumId="3">
    <w:nsid w:val="F7FAF9ED"/>
    <w:multiLevelType w:val="singleLevel"/>
    <w:tmpl w:val="F7FAF9ED"/>
    <w:lvl w:ilvl="0" w:tentative="0">
      <w:start w:val="1"/>
      <w:numFmt w:val="decimal"/>
      <w:suff w:val="nothing"/>
      <w:lvlText w:val="%1、"/>
      <w:lvlJc w:val="left"/>
    </w:lvl>
  </w:abstractNum>
  <w:abstractNum w:abstractNumId="4">
    <w:nsid w:val="0FDE7B71"/>
    <w:multiLevelType w:val="singleLevel"/>
    <w:tmpl w:val="0FDE7B71"/>
    <w:lvl w:ilvl="0" w:tentative="0">
      <w:start w:val="1"/>
      <w:numFmt w:val="decimal"/>
      <w:suff w:val="nothing"/>
      <w:lvlText w:val="%1、"/>
      <w:lvlJc w:val="left"/>
    </w:lvl>
  </w:abstractNum>
  <w:abstractNum w:abstractNumId="5">
    <w:nsid w:val="3203652F"/>
    <w:multiLevelType w:val="singleLevel"/>
    <w:tmpl w:val="3203652F"/>
    <w:lvl w:ilvl="0" w:tentative="0">
      <w:start w:val="6"/>
      <w:numFmt w:val="chineseCounting"/>
      <w:suff w:val="nothing"/>
      <w:lvlText w:val="%1、"/>
      <w:lvlJc w:val="left"/>
      <w:rPr>
        <w:rFonts w:hint="eastAsia"/>
      </w:rPr>
    </w:lvl>
  </w:abstractNum>
  <w:abstractNum w:abstractNumId="6">
    <w:nsid w:val="5E763CB2"/>
    <w:multiLevelType w:val="singleLevel"/>
    <w:tmpl w:val="5E763CB2"/>
    <w:lvl w:ilvl="0" w:tentative="0">
      <w:start w:val="1"/>
      <w:numFmt w:val="decimal"/>
      <w:suff w:val="nothing"/>
      <w:lvlText w:val="（%1）"/>
      <w:lvlJc w:val="left"/>
    </w:lvl>
  </w:abstractNum>
  <w:abstractNum w:abstractNumId="7">
    <w:nsid w:val="7FD7B708"/>
    <w:multiLevelType w:val="singleLevel"/>
    <w:tmpl w:val="7FD7B708"/>
    <w:lvl w:ilvl="0" w:tentative="0">
      <w:start w:val="1"/>
      <w:numFmt w:val="decimal"/>
      <w:suff w:val="nothing"/>
      <w:lvlText w:val="%1、"/>
      <w:lvlJc w:val="left"/>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1f66bcd9-488e-4284-81b9-74043b93dc3c"/>
  </w:docVars>
  <w:rsids>
    <w:rsidRoot w:val="00172A27"/>
    <w:rsid w:val="00003B03"/>
    <w:rsid w:val="000040E6"/>
    <w:rsid w:val="00011769"/>
    <w:rsid w:val="00011D72"/>
    <w:rsid w:val="0001631D"/>
    <w:rsid w:val="00017CA5"/>
    <w:rsid w:val="00027CD5"/>
    <w:rsid w:val="00031B8E"/>
    <w:rsid w:val="00033EC1"/>
    <w:rsid w:val="00034224"/>
    <w:rsid w:val="00040275"/>
    <w:rsid w:val="000407C9"/>
    <w:rsid w:val="00044C62"/>
    <w:rsid w:val="0004719C"/>
    <w:rsid w:val="00047F6E"/>
    <w:rsid w:val="00051B00"/>
    <w:rsid w:val="000600EC"/>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E0B26"/>
    <w:rsid w:val="000E3291"/>
    <w:rsid w:val="000F08FE"/>
    <w:rsid w:val="000F2A48"/>
    <w:rsid w:val="000F49BE"/>
    <w:rsid w:val="00100246"/>
    <w:rsid w:val="0010682D"/>
    <w:rsid w:val="001073C6"/>
    <w:rsid w:val="00107DB5"/>
    <w:rsid w:val="001128A6"/>
    <w:rsid w:val="0011483D"/>
    <w:rsid w:val="00115724"/>
    <w:rsid w:val="00130995"/>
    <w:rsid w:val="00131FF9"/>
    <w:rsid w:val="00132320"/>
    <w:rsid w:val="001369A7"/>
    <w:rsid w:val="001403D2"/>
    <w:rsid w:val="001428C5"/>
    <w:rsid w:val="00143C3D"/>
    <w:rsid w:val="001503D8"/>
    <w:rsid w:val="00154976"/>
    <w:rsid w:val="00157540"/>
    <w:rsid w:val="0017111F"/>
    <w:rsid w:val="00172A27"/>
    <w:rsid w:val="00173CF6"/>
    <w:rsid w:val="00180DAD"/>
    <w:rsid w:val="0018370E"/>
    <w:rsid w:val="001852E1"/>
    <w:rsid w:val="00191568"/>
    <w:rsid w:val="001A4277"/>
    <w:rsid w:val="001A48FC"/>
    <w:rsid w:val="001A7D2E"/>
    <w:rsid w:val="001B1DF9"/>
    <w:rsid w:val="001B1E93"/>
    <w:rsid w:val="001B375E"/>
    <w:rsid w:val="001B4A46"/>
    <w:rsid w:val="001B5E87"/>
    <w:rsid w:val="001B5E91"/>
    <w:rsid w:val="001B7988"/>
    <w:rsid w:val="001D78D9"/>
    <w:rsid w:val="001E0556"/>
    <w:rsid w:val="001E2355"/>
    <w:rsid w:val="001E2379"/>
    <w:rsid w:val="001E29A9"/>
    <w:rsid w:val="001F39AD"/>
    <w:rsid w:val="001F5857"/>
    <w:rsid w:val="00206EC3"/>
    <w:rsid w:val="0021047C"/>
    <w:rsid w:val="00211E4E"/>
    <w:rsid w:val="00213D1C"/>
    <w:rsid w:val="00214C3A"/>
    <w:rsid w:val="00217517"/>
    <w:rsid w:val="00222628"/>
    <w:rsid w:val="002253CB"/>
    <w:rsid w:val="002326DE"/>
    <w:rsid w:val="00234314"/>
    <w:rsid w:val="00234DD0"/>
    <w:rsid w:val="0023706B"/>
    <w:rsid w:val="00241724"/>
    <w:rsid w:val="0024192E"/>
    <w:rsid w:val="0024390C"/>
    <w:rsid w:val="002441F4"/>
    <w:rsid w:val="00244204"/>
    <w:rsid w:val="002448A4"/>
    <w:rsid w:val="00245A0A"/>
    <w:rsid w:val="00246C42"/>
    <w:rsid w:val="002515CC"/>
    <w:rsid w:val="00253EC4"/>
    <w:rsid w:val="00254515"/>
    <w:rsid w:val="0025720D"/>
    <w:rsid w:val="00260039"/>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4E8D"/>
    <w:rsid w:val="002D68A9"/>
    <w:rsid w:val="002E06AE"/>
    <w:rsid w:val="002E4B75"/>
    <w:rsid w:val="002E68DD"/>
    <w:rsid w:val="002F17C2"/>
    <w:rsid w:val="002F32EE"/>
    <w:rsid w:val="002F4054"/>
    <w:rsid w:val="002F5574"/>
    <w:rsid w:val="00301D20"/>
    <w:rsid w:val="00302B19"/>
    <w:rsid w:val="00303428"/>
    <w:rsid w:val="003053C4"/>
    <w:rsid w:val="003058A3"/>
    <w:rsid w:val="00305910"/>
    <w:rsid w:val="00307DA5"/>
    <w:rsid w:val="0031169D"/>
    <w:rsid w:val="0031170D"/>
    <w:rsid w:val="00313E14"/>
    <w:rsid w:val="003167DD"/>
    <w:rsid w:val="00321BD8"/>
    <w:rsid w:val="00325687"/>
    <w:rsid w:val="00332C14"/>
    <w:rsid w:val="00335079"/>
    <w:rsid w:val="003352CE"/>
    <w:rsid w:val="00341D8E"/>
    <w:rsid w:val="003455C0"/>
    <w:rsid w:val="003502B9"/>
    <w:rsid w:val="00351B8F"/>
    <w:rsid w:val="00353226"/>
    <w:rsid w:val="00353717"/>
    <w:rsid w:val="00354630"/>
    <w:rsid w:val="00365A24"/>
    <w:rsid w:val="003712DB"/>
    <w:rsid w:val="00371DC9"/>
    <w:rsid w:val="003729C3"/>
    <w:rsid w:val="00373DDC"/>
    <w:rsid w:val="00382A86"/>
    <w:rsid w:val="00383BCC"/>
    <w:rsid w:val="00384216"/>
    <w:rsid w:val="00385243"/>
    <w:rsid w:val="003925D4"/>
    <w:rsid w:val="0039318C"/>
    <w:rsid w:val="00393366"/>
    <w:rsid w:val="003937DC"/>
    <w:rsid w:val="00393D75"/>
    <w:rsid w:val="003A2F2D"/>
    <w:rsid w:val="003A43AC"/>
    <w:rsid w:val="003A4EB6"/>
    <w:rsid w:val="003A7AE9"/>
    <w:rsid w:val="003A7BC5"/>
    <w:rsid w:val="003A7FF5"/>
    <w:rsid w:val="003B0352"/>
    <w:rsid w:val="003B0700"/>
    <w:rsid w:val="003B4437"/>
    <w:rsid w:val="003B48C4"/>
    <w:rsid w:val="003B5E20"/>
    <w:rsid w:val="003B6DAD"/>
    <w:rsid w:val="003B735F"/>
    <w:rsid w:val="003C030C"/>
    <w:rsid w:val="003C55FC"/>
    <w:rsid w:val="003C70D8"/>
    <w:rsid w:val="003D0EC3"/>
    <w:rsid w:val="003D6F39"/>
    <w:rsid w:val="003D7274"/>
    <w:rsid w:val="003E4D82"/>
    <w:rsid w:val="003E5BC1"/>
    <w:rsid w:val="003F0D1B"/>
    <w:rsid w:val="003F1DD6"/>
    <w:rsid w:val="00400300"/>
    <w:rsid w:val="00401087"/>
    <w:rsid w:val="00402E26"/>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5E67"/>
    <w:rsid w:val="0043619C"/>
    <w:rsid w:val="004435A0"/>
    <w:rsid w:val="0044475D"/>
    <w:rsid w:val="00444D1E"/>
    <w:rsid w:val="0044571A"/>
    <w:rsid w:val="0044705D"/>
    <w:rsid w:val="0045090E"/>
    <w:rsid w:val="00453E36"/>
    <w:rsid w:val="00457286"/>
    <w:rsid w:val="00461FA5"/>
    <w:rsid w:val="00463566"/>
    <w:rsid w:val="00464182"/>
    <w:rsid w:val="0046431B"/>
    <w:rsid w:val="00471C52"/>
    <w:rsid w:val="0047460C"/>
    <w:rsid w:val="00474FF2"/>
    <w:rsid w:val="00480098"/>
    <w:rsid w:val="00484A93"/>
    <w:rsid w:val="00485E12"/>
    <w:rsid w:val="004865DA"/>
    <w:rsid w:val="0048779C"/>
    <w:rsid w:val="00487AB7"/>
    <w:rsid w:val="00487ED0"/>
    <w:rsid w:val="00496454"/>
    <w:rsid w:val="0049682C"/>
    <w:rsid w:val="004A168E"/>
    <w:rsid w:val="004A4EC7"/>
    <w:rsid w:val="004A63DE"/>
    <w:rsid w:val="004B0003"/>
    <w:rsid w:val="004C020A"/>
    <w:rsid w:val="004C03A3"/>
    <w:rsid w:val="004C2EDF"/>
    <w:rsid w:val="004C44B8"/>
    <w:rsid w:val="004C7629"/>
    <w:rsid w:val="004D0D5D"/>
    <w:rsid w:val="004E1062"/>
    <w:rsid w:val="004E27DD"/>
    <w:rsid w:val="004E3350"/>
    <w:rsid w:val="004E5292"/>
    <w:rsid w:val="004F2C5B"/>
    <w:rsid w:val="004F641B"/>
    <w:rsid w:val="004F71F3"/>
    <w:rsid w:val="005052FA"/>
    <w:rsid w:val="005069E1"/>
    <w:rsid w:val="00507E59"/>
    <w:rsid w:val="00510787"/>
    <w:rsid w:val="005122B5"/>
    <w:rsid w:val="0052381C"/>
    <w:rsid w:val="005346B3"/>
    <w:rsid w:val="0054051C"/>
    <w:rsid w:val="00546A84"/>
    <w:rsid w:val="00547BE2"/>
    <w:rsid w:val="0055353D"/>
    <w:rsid w:val="00555A17"/>
    <w:rsid w:val="00557D3A"/>
    <w:rsid w:val="0056187C"/>
    <w:rsid w:val="00576B03"/>
    <w:rsid w:val="0058613F"/>
    <w:rsid w:val="00591655"/>
    <w:rsid w:val="00591BEC"/>
    <w:rsid w:val="005940EA"/>
    <w:rsid w:val="00594448"/>
    <w:rsid w:val="005A1D6F"/>
    <w:rsid w:val="005A4D82"/>
    <w:rsid w:val="005A52A6"/>
    <w:rsid w:val="005B0DEC"/>
    <w:rsid w:val="005B368E"/>
    <w:rsid w:val="005B41F8"/>
    <w:rsid w:val="005B6E69"/>
    <w:rsid w:val="005C0015"/>
    <w:rsid w:val="005C1E82"/>
    <w:rsid w:val="005C2BCE"/>
    <w:rsid w:val="005C2CA5"/>
    <w:rsid w:val="005C7062"/>
    <w:rsid w:val="005C7788"/>
    <w:rsid w:val="005D10B9"/>
    <w:rsid w:val="005D18DA"/>
    <w:rsid w:val="005D29D2"/>
    <w:rsid w:val="005E00DC"/>
    <w:rsid w:val="005E3BBC"/>
    <w:rsid w:val="005E3EC6"/>
    <w:rsid w:val="005E4E07"/>
    <w:rsid w:val="005E4E46"/>
    <w:rsid w:val="005E5275"/>
    <w:rsid w:val="005E7DC8"/>
    <w:rsid w:val="005E7EC9"/>
    <w:rsid w:val="005F7087"/>
    <w:rsid w:val="00611BE4"/>
    <w:rsid w:val="0061219B"/>
    <w:rsid w:val="00621419"/>
    <w:rsid w:val="0062193D"/>
    <w:rsid w:val="00626446"/>
    <w:rsid w:val="00626BE8"/>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182E"/>
    <w:rsid w:val="006D3F53"/>
    <w:rsid w:val="006D60AF"/>
    <w:rsid w:val="00701651"/>
    <w:rsid w:val="007049BF"/>
    <w:rsid w:val="00704E79"/>
    <w:rsid w:val="00707A26"/>
    <w:rsid w:val="0071120F"/>
    <w:rsid w:val="0071476D"/>
    <w:rsid w:val="00716380"/>
    <w:rsid w:val="00722165"/>
    <w:rsid w:val="00723385"/>
    <w:rsid w:val="00724B1C"/>
    <w:rsid w:val="007311F4"/>
    <w:rsid w:val="007428F0"/>
    <w:rsid w:val="007512EF"/>
    <w:rsid w:val="007551AC"/>
    <w:rsid w:val="0076101C"/>
    <w:rsid w:val="00763D87"/>
    <w:rsid w:val="007670B2"/>
    <w:rsid w:val="00771795"/>
    <w:rsid w:val="00774925"/>
    <w:rsid w:val="00783C07"/>
    <w:rsid w:val="0079279F"/>
    <w:rsid w:val="00793E69"/>
    <w:rsid w:val="007A063C"/>
    <w:rsid w:val="007A16B0"/>
    <w:rsid w:val="007A19EA"/>
    <w:rsid w:val="007A6092"/>
    <w:rsid w:val="007A60B7"/>
    <w:rsid w:val="007A64A6"/>
    <w:rsid w:val="007A7C89"/>
    <w:rsid w:val="007B1487"/>
    <w:rsid w:val="007B2A43"/>
    <w:rsid w:val="007B326F"/>
    <w:rsid w:val="007B6493"/>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2E5"/>
    <w:rsid w:val="008337CB"/>
    <w:rsid w:val="00834A3C"/>
    <w:rsid w:val="00835E6B"/>
    <w:rsid w:val="008360A0"/>
    <w:rsid w:val="00837658"/>
    <w:rsid w:val="00837CD4"/>
    <w:rsid w:val="00837F78"/>
    <w:rsid w:val="008400EE"/>
    <w:rsid w:val="00840791"/>
    <w:rsid w:val="0084414F"/>
    <w:rsid w:val="00845576"/>
    <w:rsid w:val="00850708"/>
    <w:rsid w:val="00851024"/>
    <w:rsid w:val="00851E87"/>
    <w:rsid w:val="008526D7"/>
    <w:rsid w:val="0086238C"/>
    <w:rsid w:val="008655DC"/>
    <w:rsid w:val="00866F2E"/>
    <w:rsid w:val="0086732D"/>
    <w:rsid w:val="00870183"/>
    <w:rsid w:val="00875726"/>
    <w:rsid w:val="00877F10"/>
    <w:rsid w:val="0088225D"/>
    <w:rsid w:val="00882F8D"/>
    <w:rsid w:val="00884FB0"/>
    <w:rsid w:val="008853A5"/>
    <w:rsid w:val="008944DA"/>
    <w:rsid w:val="00894D78"/>
    <w:rsid w:val="008A6A18"/>
    <w:rsid w:val="008B033F"/>
    <w:rsid w:val="008B1E37"/>
    <w:rsid w:val="008B4003"/>
    <w:rsid w:val="008B4519"/>
    <w:rsid w:val="008B674C"/>
    <w:rsid w:val="008B7443"/>
    <w:rsid w:val="008C179E"/>
    <w:rsid w:val="008C2379"/>
    <w:rsid w:val="008C4FF7"/>
    <w:rsid w:val="008C5C4C"/>
    <w:rsid w:val="008C7056"/>
    <w:rsid w:val="008C706D"/>
    <w:rsid w:val="008D3145"/>
    <w:rsid w:val="008D58B3"/>
    <w:rsid w:val="008E1A54"/>
    <w:rsid w:val="008E1F95"/>
    <w:rsid w:val="008E36B6"/>
    <w:rsid w:val="008E4267"/>
    <w:rsid w:val="008E4847"/>
    <w:rsid w:val="008E4C64"/>
    <w:rsid w:val="008E5FF1"/>
    <w:rsid w:val="008E63D2"/>
    <w:rsid w:val="008E6E14"/>
    <w:rsid w:val="008F1528"/>
    <w:rsid w:val="008F1AE5"/>
    <w:rsid w:val="008F55D9"/>
    <w:rsid w:val="00901DE3"/>
    <w:rsid w:val="009057DE"/>
    <w:rsid w:val="00905F97"/>
    <w:rsid w:val="00906FA3"/>
    <w:rsid w:val="0091239D"/>
    <w:rsid w:val="00912825"/>
    <w:rsid w:val="009129B8"/>
    <w:rsid w:val="00912B99"/>
    <w:rsid w:val="00912C78"/>
    <w:rsid w:val="00922A08"/>
    <w:rsid w:val="009351E9"/>
    <w:rsid w:val="00937862"/>
    <w:rsid w:val="00942279"/>
    <w:rsid w:val="009524EB"/>
    <w:rsid w:val="00962013"/>
    <w:rsid w:val="00963942"/>
    <w:rsid w:val="0096716C"/>
    <w:rsid w:val="009672B2"/>
    <w:rsid w:val="00971C66"/>
    <w:rsid w:val="00972B68"/>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ABF"/>
    <w:rsid w:val="009C7B74"/>
    <w:rsid w:val="009D0BE2"/>
    <w:rsid w:val="009D114E"/>
    <w:rsid w:val="009D15E0"/>
    <w:rsid w:val="009D210F"/>
    <w:rsid w:val="009D309C"/>
    <w:rsid w:val="009D37B1"/>
    <w:rsid w:val="009D4717"/>
    <w:rsid w:val="009D694D"/>
    <w:rsid w:val="009E264E"/>
    <w:rsid w:val="009F0C98"/>
    <w:rsid w:val="009F0F81"/>
    <w:rsid w:val="009F2543"/>
    <w:rsid w:val="009F256D"/>
    <w:rsid w:val="009F341E"/>
    <w:rsid w:val="009F57CE"/>
    <w:rsid w:val="00A01B59"/>
    <w:rsid w:val="00A11474"/>
    <w:rsid w:val="00A117CA"/>
    <w:rsid w:val="00A12225"/>
    <w:rsid w:val="00A14C18"/>
    <w:rsid w:val="00A25898"/>
    <w:rsid w:val="00A3071D"/>
    <w:rsid w:val="00A3182E"/>
    <w:rsid w:val="00A31A89"/>
    <w:rsid w:val="00A32F06"/>
    <w:rsid w:val="00A34934"/>
    <w:rsid w:val="00A34EFE"/>
    <w:rsid w:val="00A36546"/>
    <w:rsid w:val="00A4069C"/>
    <w:rsid w:val="00A425E5"/>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B34"/>
    <w:rsid w:val="00AA1B5C"/>
    <w:rsid w:val="00AA7A27"/>
    <w:rsid w:val="00AB3FB0"/>
    <w:rsid w:val="00AB465D"/>
    <w:rsid w:val="00AC101D"/>
    <w:rsid w:val="00AC114C"/>
    <w:rsid w:val="00AC1478"/>
    <w:rsid w:val="00AC2393"/>
    <w:rsid w:val="00AC6C2D"/>
    <w:rsid w:val="00AC6E17"/>
    <w:rsid w:val="00AD2FF3"/>
    <w:rsid w:val="00AD7764"/>
    <w:rsid w:val="00AD7FE2"/>
    <w:rsid w:val="00AE1284"/>
    <w:rsid w:val="00AE1B18"/>
    <w:rsid w:val="00AE7339"/>
    <w:rsid w:val="00AF1B0B"/>
    <w:rsid w:val="00AF242C"/>
    <w:rsid w:val="00AF3CC4"/>
    <w:rsid w:val="00B03030"/>
    <w:rsid w:val="00B05903"/>
    <w:rsid w:val="00B12C7A"/>
    <w:rsid w:val="00B12E10"/>
    <w:rsid w:val="00B22BC3"/>
    <w:rsid w:val="00B24A1D"/>
    <w:rsid w:val="00B25865"/>
    <w:rsid w:val="00B272B6"/>
    <w:rsid w:val="00B2771B"/>
    <w:rsid w:val="00B336E9"/>
    <w:rsid w:val="00B33AE5"/>
    <w:rsid w:val="00B35BE5"/>
    <w:rsid w:val="00B46738"/>
    <w:rsid w:val="00B46965"/>
    <w:rsid w:val="00B53757"/>
    <w:rsid w:val="00B54ED0"/>
    <w:rsid w:val="00B55D47"/>
    <w:rsid w:val="00B60FFE"/>
    <w:rsid w:val="00B6204E"/>
    <w:rsid w:val="00B649EC"/>
    <w:rsid w:val="00B728DD"/>
    <w:rsid w:val="00B72D43"/>
    <w:rsid w:val="00B734C3"/>
    <w:rsid w:val="00B74121"/>
    <w:rsid w:val="00B83072"/>
    <w:rsid w:val="00B85C1B"/>
    <w:rsid w:val="00B85FF0"/>
    <w:rsid w:val="00B86150"/>
    <w:rsid w:val="00B878F9"/>
    <w:rsid w:val="00B9044A"/>
    <w:rsid w:val="00B960F3"/>
    <w:rsid w:val="00B96A31"/>
    <w:rsid w:val="00BA05E6"/>
    <w:rsid w:val="00BA4201"/>
    <w:rsid w:val="00BA51B0"/>
    <w:rsid w:val="00BA6319"/>
    <w:rsid w:val="00BC03B0"/>
    <w:rsid w:val="00BC06A3"/>
    <w:rsid w:val="00BC0CEA"/>
    <w:rsid w:val="00BC2220"/>
    <w:rsid w:val="00BC26B9"/>
    <w:rsid w:val="00BC26FA"/>
    <w:rsid w:val="00BC362A"/>
    <w:rsid w:val="00BC4E01"/>
    <w:rsid w:val="00BC6C11"/>
    <w:rsid w:val="00BC73F6"/>
    <w:rsid w:val="00BD1177"/>
    <w:rsid w:val="00BD1374"/>
    <w:rsid w:val="00BD3531"/>
    <w:rsid w:val="00BD4E35"/>
    <w:rsid w:val="00BE34CA"/>
    <w:rsid w:val="00BF116A"/>
    <w:rsid w:val="00C0623C"/>
    <w:rsid w:val="00C06A07"/>
    <w:rsid w:val="00C132B6"/>
    <w:rsid w:val="00C1795D"/>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00A"/>
    <w:rsid w:val="00C64659"/>
    <w:rsid w:val="00C662E9"/>
    <w:rsid w:val="00C66C2D"/>
    <w:rsid w:val="00C7190B"/>
    <w:rsid w:val="00C76852"/>
    <w:rsid w:val="00C77210"/>
    <w:rsid w:val="00C777FA"/>
    <w:rsid w:val="00C77989"/>
    <w:rsid w:val="00C8087E"/>
    <w:rsid w:val="00C811F4"/>
    <w:rsid w:val="00C81E51"/>
    <w:rsid w:val="00C87B73"/>
    <w:rsid w:val="00C92444"/>
    <w:rsid w:val="00C92FBB"/>
    <w:rsid w:val="00C93327"/>
    <w:rsid w:val="00C97B4D"/>
    <w:rsid w:val="00CA5339"/>
    <w:rsid w:val="00CA5602"/>
    <w:rsid w:val="00CA5CA9"/>
    <w:rsid w:val="00CA78E2"/>
    <w:rsid w:val="00CB1BBE"/>
    <w:rsid w:val="00CB65DB"/>
    <w:rsid w:val="00CB6BD9"/>
    <w:rsid w:val="00CC293A"/>
    <w:rsid w:val="00CC3B4C"/>
    <w:rsid w:val="00CE19F6"/>
    <w:rsid w:val="00CE21F5"/>
    <w:rsid w:val="00CF2793"/>
    <w:rsid w:val="00CF366B"/>
    <w:rsid w:val="00CF5D9D"/>
    <w:rsid w:val="00CF606C"/>
    <w:rsid w:val="00CF7423"/>
    <w:rsid w:val="00D001F5"/>
    <w:rsid w:val="00D026F1"/>
    <w:rsid w:val="00D03E80"/>
    <w:rsid w:val="00D1505F"/>
    <w:rsid w:val="00D15B9F"/>
    <w:rsid w:val="00D15DD6"/>
    <w:rsid w:val="00D25548"/>
    <w:rsid w:val="00D2601F"/>
    <w:rsid w:val="00D26BA1"/>
    <w:rsid w:val="00D27759"/>
    <w:rsid w:val="00D30028"/>
    <w:rsid w:val="00D325D3"/>
    <w:rsid w:val="00D408D6"/>
    <w:rsid w:val="00D433CB"/>
    <w:rsid w:val="00D511DD"/>
    <w:rsid w:val="00D55C2A"/>
    <w:rsid w:val="00D571C1"/>
    <w:rsid w:val="00D602F4"/>
    <w:rsid w:val="00D6457E"/>
    <w:rsid w:val="00D718EF"/>
    <w:rsid w:val="00D71F0A"/>
    <w:rsid w:val="00D742E2"/>
    <w:rsid w:val="00D7580E"/>
    <w:rsid w:val="00D75BD2"/>
    <w:rsid w:val="00D87DAF"/>
    <w:rsid w:val="00D9446D"/>
    <w:rsid w:val="00D97950"/>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6641"/>
    <w:rsid w:val="00E2778F"/>
    <w:rsid w:val="00E27A41"/>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5D5"/>
    <w:rsid w:val="00E8595B"/>
    <w:rsid w:val="00E86BF6"/>
    <w:rsid w:val="00E915EC"/>
    <w:rsid w:val="00EA11B1"/>
    <w:rsid w:val="00EA2224"/>
    <w:rsid w:val="00EA7194"/>
    <w:rsid w:val="00EB1329"/>
    <w:rsid w:val="00EB2987"/>
    <w:rsid w:val="00EB2D75"/>
    <w:rsid w:val="00EB301D"/>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14259"/>
    <w:rsid w:val="00F20A77"/>
    <w:rsid w:val="00F22C60"/>
    <w:rsid w:val="00F231A4"/>
    <w:rsid w:val="00F23252"/>
    <w:rsid w:val="00F27B2A"/>
    <w:rsid w:val="00F345D3"/>
    <w:rsid w:val="00F356ED"/>
    <w:rsid w:val="00F359B5"/>
    <w:rsid w:val="00F4144F"/>
    <w:rsid w:val="00F433F3"/>
    <w:rsid w:val="00F4559D"/>
    <w:rsid w:val="00F47F64"/>
    <w:rsid w:val="00F522D9"/>
    <w:rsid w:val="00F52F54"/>
    <w:rsid w:val="00F53584"/>
    <w:rsid w:val="00F61B24"/>
    <w:rsid w:val="00F62DE5"/>
    <w:rsid w:val="00F63F8A"/>
    <w:rsid w:val="00F703DC"/>
    <w:rsid w:val="00F71D06"/>
    <w:rsid w:val="00F73B46"/>
    <w:rsid w:val="00F73D01"/>
    <w:rsid w:val="00F7642B"/>
    <w:rsid w:val="00F76A43"/>
    <w:rsid w:val="00F80334"/>
    <w:rsid w:val="00F8139D"/>
    <w:rsid w:val="00F83DF9"/>
    <w:rsid w:val="00F85DA0"/>
    <w:rsid w:val="00F910E2"/>
    <w:rsid w:val="00F930AF"/>
    <w:rsid w:val="00F9352C"/>
    <w:rsid w:val="00F975B0"/>
    <w:rsid w:val="00F97FE4"/>
    <w:rsid w:val="00FA112D"/>
    <w:rsid w:val="00FA15F1"/>
    <w:rsid w:val="00FA19F5"/>
    <w:rsid w:val="00FA4A69"/>
    <w:rsid w:val="00FA649A"/>
    <w:rsid w:val="00FB0539"/>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9A4EF2"/>
    <w:rsid w:val="06CE27EA"/>
    <w:rsid w:val="08AD6946"/>
    <w:rsid w:val="0AA11BF7"/>
    <w:rsid w:val="0AF05BE0"/>
    <w:rsid w:val="0EE45912"/>
    <w:rsid w:val="1015163E"/>
    <w:rsid w:val="174516BA"/>
    <w:rsid w:val="1ADC7681"/>
    <w:rsid w:val="1B5223B0"/>
    <w:rsid w:val="1BE44A3F"/>
    <w:rsid w:val="1C96CAB6"/>
    <w:rsid w:val="1D4E53DE"/>
    <w:rsid w:val="1DF3E524"/>
    <w:rsid w:val="2171385D"/>
    <w:rsid w:val="22846CE9"/>
    <w:rsid w:val="24E96F45"/>
    <w:rsid w:val="26C16531"/>
    <w:rsid w:val="27EF659B"/>
    <w:rsid w:val="29511AD6"/>
    <w:rsid w:val="2A3D3F9F"/>
    <w:rsid w:val="2A4E3146"/>
    <w:rsid w:val="2C006968"/>
    <w:rsid w:val="30222E89"/>
    <w:rsid w:val="32A059BD"/>
    <w:rsid w:val="354C2D22"/>
    <w:rsid w:val="361122FF"/>
    <w:rsid w:val="36DB4F6B"/>
    <w:rsid w:val="39761405"/>
    <w:rsid w:val="3CFFD38A"/>
    <w:rsid w:val="3DF7BC2D"/>
    <w:rsid w:val="3E845054"/>
    <w:rsid w:val="3FFD4E55"/>
    <w:rsid w:val="41DF3E38"/>
    <w:rsid w:val="45AD6371"/>
    <w:rsid w:val="45B26A53"/>
    <w:rsid w:val="464872F6"/>
    <w:rsid w:val="49DB7AF1"/>
    <w:rsid w:val="4BF21195"/>
    <w:rsid w:val="4CE278DA"/>
    <w:rsid w:val="4D3A4961"/>
    <w:rsid w:val="4E703C3C"/>
    <w:rsid w:val="50970E75"/>
    <w:rsid w:val="55F856ED"/>
    <w:rsid w:val="5A360254"/>
    <w:rsid w:val="5A95283C"/>
    <w:rsid w:val="5B3A080F"/>
    <w:rsid w:val="5B8D1409"/>
    <w:rsid w:val="61494D8A"/>
    <w:rsid w:val="63E45886"/>
    <w:rsid w:val="66863091"/>
    <w:rsid w:val="6A55307A"/>
    <w:rsid w:val="6BE618F4"/>
    <w:rsid w:val="6C0D7A15"/>
    <w:rsid w:val="6C1545D1"/>
    <w:rsid w:val="6DD51A12"/>
    <w:rsid w:val="6F20588B"/>
    <w:rsid w:val="744C2484"/>
    <w:rsid w:val="76EF6C9B"/>
    <w:rsid w:val="7C381FC1"/>
    <w:rsid w:val="7D08410F"/>
    <w:rsid w:val="D8FF64A3"/>
    <w:rsid w:val="E9BB220B"/>
    <w:rsid w:val="EF0F2CF3"/>
    <w:rsid w:val="F7FB4260"/>
    <w:rsid w:val="FAF98CF7"/>
    <w:rsid w:val="FEFF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40" w:firstLineChars="200"/>
      <w:jc w:val="center"/>
    </w:pPr>
    <w:rPr>
      <w:rFonts w:ascii="仿宋" w:hAnsi="仿宋" w:eastAsia="仿宋"/>
      <w:color w:val="000000"/>
      <w:sz w:val="32"/>
    </w:rPr>
  </w:style>
  <w:style w:type="paragraph" w:styleId="3">
    <w:name w:val="Body Text Indent"/>
    <w:basedOn w:val="1"/>
    <w:qFormat/>
    <w:uiPriority w:val="0"/>
    <w:pPr>
      <w:ind w:firstLine="645"/>
    </w:pPr>
    <w:rPr>
      <w:rFonts w:ascii="仿宋_GB2312" w:hAnsi="Calibri"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basedOn w:val="10"/>
    <w:qFormat/>
    <w:uiPriority w:val="0"/>
  </w:style>
  <w:style w:type="character" w:customStyle="1" w:styleId="13">
    <w:name w:val="页眉 字符"/>
    <w:link w:val="7"/>
    <w:qFormat/>
    <w:uiPriority w:val="0"/>
    <w:rPr>
      <w:rFonts w:ascii="Calibri" w:hAnsi="Calibri" w:eastAsia="宋体"/>
      <w:kern w:val="2"/>
      <w:sz w:val="18"/>
      <w:szCs w:val="18"/>
      <w:lang w:val="en-US" w:eastAsia="zh-CN" w:bidi="ar-SA"/>
    </w:rPr>
  </w:style>
  <w:style w:type="character" w:customStyle="1" w:styleId="14">
    <w:name w:val="页脚 字符"/>
    <w:link w:val="6"/>
    <w:qFormat/>
    <w:uiPriority w:val="0"/>
    <w:rPr>
      <w:rFonts w:eastAsia="宋体"/>
      <w:kern w:val="2"/>
      <w:sz w:val="18"/>
      <w:szCs w:val="18"/>
      <w:lang w:val="en-US" w:eastAsia="zh-CN" w:bidi="ar-SA"/>
    </w:rPr>
  </w:style>
  <w:style w:type="paragraph" w:customStyle="1" w:styleId="15">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customStyle="1" w:styleId="16">
    <w:name w:val="Char"/>
    <w:basedOn w:val="1"/>
    <w:qFormat/>
    <w:uiPriority w:val="0"/>
    <w:rPr>
      <w:rFonts w:ascii="Tahoma" w:hAnsi="Tahoma"/>
      <w:sz w:val="24"/>
      <w:szCs w:val="20"/>
    </w:rPr>
  </w:style>
  <w:style w:type="paragraph" w:customStyle="1" w:styleId="17">
    <w:name w:val="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Char3 Char Char"/>
    <w:basedOn w:val="1"/>
    <w:uiPriority w:val="0"/>
    <w:rPr>
      <w:szCs w:val="21"/>
    </w:rPr>
  </w:style>
  <w:style w:type="paragraph" w:customStyle="1" w:styleId="20">
    <w:name w:val="my正文"/>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31995;&#32479;\2022&#24180;&#24230;&#37096;&#38376;&#20915;&#31639;\2022&#24180;&#24230;&#37096;&#38376;&#20915;&#31639;&#20998;&#26512;&#25253;&#21578;\2022&#24180;&#24230;&#20915;&#31639;&#20998;&#26512;&#25253;&#21578;&#3492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收入决算</a:t>
            </a:r>
            <a:endParaRPr lang="zh-CN" altLang="en-US"/>
          </a:p>
        </c:rich>
      </c:tx>
      <c:layout/>
      <c:overlay val="0"/>
    </c:title>
    <c:autoTitleDeleted val="0"/>
    <c:plotArea>
      <c:layout/>
      <c:pieChart>
        <c:varyColors val="1"/>
        <c:ser>
          <c:idx val="0"/>
          <c:order val="0"/>
          <c:tx>
            <c:strRef>
              <c:f>收入决算!$B$1:$B$2</c:f>
              <c:strCache>
                <c:ptCount val="1"/>
                <c:pt idx="0">
                  <c:v>收入决算数</c:v>
                </c:pt>
              </c:strCache>
            </c:strRef>
          </c:tx>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explosion val="0"/>
          <c:dPt>
            <c:idx val="0"/>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Pt>
            <c:idx val="1"/>
            <c:bubble3D val="0"/>
            <c:spPr>
              <a:gradFill flip="none" rotWithShape="1">
                <a:gsLst>
                  <a:gs pos="0">
                    <a:srgbClr val="FF0000"/>
                  </a:gs>
                  <a:gs pos="45000">
                    <a:srgbClr val="FF7A00"/>
                  </a:gs>
                  <a:gs pos="70000">
                    <a:srgbClr val="FF0300"/>
                  </a:gs>
                  <a:gs pos="100000">
                    <a:srgbClr val="4D0808"/>
                  </a:gs>
                </a:gsLst>
                <a:path path="circle">
                  <a:fillToRect l="100000" t="100000"/>
                </a:path>
                <a:tileRect r="-100000" b="-100000"/>
              </a:gradFill>
              <a:ln>
                <a:solidFill>
                  <a:schemeClr val="accent1"/>
                </a:solidFill>
              </a:ln>
            </c:spPr>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99.99%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0.01%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_);\(#,##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收入决算!$A$3:$A$4</c:f>
              <c:strCache>
                <c:ptCount val="2"/>
                <c:pt idx="0">
                  <c:v>财政拨款收入</c:v>
                </c:pt>
                <c:pt idx="1">
                  <c:v>其他收入</c:v>
                </c:pt>
              </c:strCache>
            </c:strRef>
          </c:cat>
          <c:val>
            <c:numRef>
              <c:f>收入决算!$B$3:$B$4</c:f>
              <c:numCache>
                <c:formatCode>#,##0.00</c:formatCode>
                <c:ptCount val="2"/>
                <c:pt idx="0">
                  <c:v>44729.62</c:v>
                </c:pt>
                <c:pt idx="1">
                  <c:v>2.85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Sheet2!$B$1</c:f>
              <c:strCache>
                <c:ptCount val="1"/>
                <c:pt idx="0">
                  <c:v>支出决算</c:v>
                </c:pt>
              </c:strCache>
            </c:strRef>
          </c:tx>
          <c:explosion val="0"/>
          <c:dPt>
            <c:idx val="0"/>
            <c:bubble3D val="0"/>
          </c:dPt>
          <c:dPt>
            <c:idx val="1"/>
            <c:bubble3D val="0"/>
          </c:dPt>
          <c:dLbls>
            <c:dLbl>
              <c:idx val="0"/>
              <c:layout>
                <c:manualLayout>
                  <c:x val="0.0854346583693167"/>
                  <c:y val="0.13021689997083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 6,483.0277</a:t>
                    </a:r>
                    <a:r>
                      <a:rPr lang="zh-CN" altLang="en-US"/>
                      <a:t>万元</a:t>
                    </a:r>
                    <a:endParaRPr lang="zh-CN" altLang="en-US"/>
                  </a:p>
                  <a:p>
                    <a:pPr>
                      <a:defRPr lang="zh-CN" sz="1000" b="0" i="0" u="none" strike="noStrike" kern="1200" baseline="0">
                        <a:solidFill>
                          <a:schemeClr val="tx1"/>
                        </a:solidFill>
                        <a:latin typeface="+mn-lt"/>
                        <a:ea typeface="+mn-ea"/>
                        <a:cs typeface="+mn-cs"/>
                      </a:defRPr>
                    </a:pPr>
                    <a:r>
                      <a:rPr lang="en-US" altLang="zh-CN"/>
                      <a:t>11.84%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58500973668614"/>
                  <c:y val="-0.1566666666666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baseline="0">
                        <a:solidFill>
                          <a:srgbClr val="00B0F0"/>
                        </a:solidFill>
                      </a:rPr>
                      <a:t>项目支出</a:t>
                    </a:r>
                    <a:r>
                      <a:rPr lang="en-US" altLang="zh-CN" baseline="0">
                        <a:solidFill>
                          <a:srgbClr val="00B0F0"/>
                        </a:solidFill>
                      </a:rPr>
                      <a:t>, </a:t>
                    </a:r>
                    <a:r>
                      <a:rPr lang="en-US" altLang="zh-CN" sz="950" baseline="0">
                        <a:solidFill>
                          <a:srgbClr val="00B0F0"/>
                        </a:solidFill>
                      </a:rPr>
                      <a:t>48268.0483</a:t>
                    </a:r>
                    <a:r>
                      <a:rPr lang="zh-CN" altLang="en-US" sz="950" baseline="0">
                        <a:solidFill>
                          <a:srgbClr val="00B0F0"/>
                        </a:solidFill>
                      </a:rPr>
                      <a:t>万元</a:t>
                    </a:r>
                    <a:r>
                      <a:rPr lang="en-US" altLang="zh-CN" sz="950" baseline="0">
                        <a:solidFill>
                          <a:srgbClr val="00B0F0"/>
                        </a:solidFill>
                      </a:rPr>
                      <a:t>, </a:t>
                    </a:r>
                    <a:br>
                      <a:rPr lang="zh-CN" altLang="en-US" baseline="0">
                        <a:solidFill>
                          <a:srgbClr val="00B0F0"/>
                        </a:solidFill>
                      </a:rPr>
                    </a:br>
                    <a:r>
                      <a:rPr lang="en-US" altLang="zh-CN" baseline="0">
                        <a:solidFill>
                          <a:srgbClr val="00B0F0"/>
                        </a:solidFill>
                      </a:rPr>
                      <a:t>88.16% </a:t>
                    </a:r>
                    <a:endParaRPr lang="en-US" altLang="zh-CN" baseline="0">
                      <a:solidFill>
                        <a:srgbClr val="00B0F0"/>
                      </a:solidFill>
                    </a:endParaRPr>
                  </a:p>
                </c:rich>
              </c:tx>
              <c:numFmt formatCode="#,##0.00_);\(#,##0.00\)" sourceLinked="0"/>
              <c:spPr>
                <a:gradFill>
                  <a:gsLst>
                    <a:gs pos="0">
                      <a:srgbClr val="0070C0"/>
                    </a:gs>
                    <a:gs pos="50000">
                      <a:srgbClr val="4F81BD">
                        <a:tint val="44500"/>
                        <a:satMod val="160000"/>
                      </a:srgbClr>
                    </a:gs>
                    <a:gs pos="100000">
                      <a:srgbClr val="4F81BD">
                        <a:tint val="23500"/>
                        <a:satMod val="160000"/>
                      </a:srgbClr>
                    </a:gs>
                  </a:gsLst>
                  <a:lin ang="2700000" scaled="1"/>
                </a:gra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_);\(#,##0.00\)" sourceLinked="0"/>
            <c:spPr>
              <a:solidFill>
                <a:schemeClr val="accent1"/>
              </a:solid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Sheet2!$A$2:$A$3</c:f>
              <c:strCache>
                <c:ptCount val="2"/>
                <c:pt idx="0">
                  <c:v>基本支出</c:v>
                </c:pt>
                <c:pt idx="1">
                  <c:v>项目支出</c:v>
                </c:pt>
              </c:strCache>
            </c:strRef>
          </c:cat>
          <c:val>
            <c:numRef>
              <c:f>Sheet2!$B$2:$B$3</c:f>
              <c:numCache>
                <c:formatCode>#,##0.00</c:formatCode>
                <c:ptCount val="2"/>
                <c:pt idx="0">
                  <c:v>6483.03</c:v>
                </c:pt>
                <c:pt idx="1">
                  <c:v>48268.05</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113</Pages>
  <Words>53156</Words>
  <Characters>61577</Characters>
  <Lines>533</Lines>
  <Paragraphs>150</Paragraphs>
  <TotalTime>790</TotalTime>
  <ScaleCrop>false</ScaleCrop>
  <LinksUpToDate>false</LinksUpToDate>
  <CharactersWithSpaces>62150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2023-06-29T07:23:00Z</dcterms:created>
  <dc:creator>Administrator</dc:creator>
  <cp:lastModifiedBy>血月舞殇</cp:lastModifiedBy>
  <cp:lastPrinted>2022-05-26T18:27:00Z</cp:lastPrinted>
  <dcterms:modified xsi:type="dcterms:W3CDTF">2024-10-31T02:27:15Z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7BFD50C67DB248259818EAE005D0D58E</vt:lpwstr>
  </property>
</Properties>
</file>