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8"/>
        </w:rPr>
      </w:pPr>
      <w:r>
        <w:rPr>
          <w:rFonts w:hint="eastAsia" w:ascii="方正小标宋简体" w:hAnsi="方正小标宋简体" w:eastAsia="方正小标宋简体" w:cs="方正小标宋简体"/>
          <w:sz w:val="44"/>
          <w:szCs w:val="44"/>
          <w:lang w:val="en-US" w:eastAsia="zh-CN"/>
        </w:rPr>
        <w:t>北京市丰台区</w:t>
      </w:r>
      <w:r>
        <w:rPr>
          <w:rFonts w:hint="eastAsia" w:ascii="方正小标宋简体" w:hAnsi="方正小标宋简体" w:eastAsia="方正小标宋简体" w:cs="方正小标宋简体"/>
          <w:sz w:val="44"/>
          <w:szCs w:val="44"/>
        </w:rPr>
        <w:t>成寿寺街道</w:t>
      </w:r>
    </w:p>
    <w:p>
      <w:pPr>
        <w:spacing w:line="560" w:lineRule="exact"/>
        <w:jc w:val="center"/>
        <w:rPr>
          <w:sz w:val="44"/>
          <w:szCs w:val="44"/>
        </w:rPr>
      </w:pPr>
      <w:r>
        <w:rPr>
          <w:rFonts w:hint="eastAsia" w:ascii="方正小标宋简体" w:hAnsi="方正小标宋简体" w:eastAsia="方正小标宋简体" w:cs="方正小标宋简体"/>
          <w:sz w:val="44"/>
          <w:szCs w:val="44"/>
        </w:rPr>
        <w:t>2024年政府信息公开工作年度报告</w:t>
      </w: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2024年，成寿寺街道认真贯彻落实《政府信息公开条例》和《北京市政府信息公开规定》，按照区委、区政府有关工作要求，进一步深化政务公开和政务服务，积极探索“新媒体”政务公开方式、方法，丰富公开载体，完善公开机制，规范公开内容，持续提升政务公开水平，切实保障人民群众的知情权和监督权。</w:t>
      </w:r>
    </w:p>
    <w:p>
      <w:pPr>
        <w:pStyle w:val="2"/>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（一）健全工作机制，强化责任落实。成寿寺街道将政府信息公开工作纳入日常议事日程，</w:t>
      </w:r>
      <w:r>
        <w:rPr>
          <w:rFonts w:ascii="仿宋_GB2312" w:hAnsi="宋体" w:eastAsia="仿宋_GB2312" w:cs="宋体"/>
          <w:kern w:val="0"/>
          <w:sz w:val="32"/>
          <w:szCs w:val="32"/>
        </w:rPr>
        <w:t>进一步健全工作机制，深入推进政府信息公开工作。</w:t>
      </w:r>
      <w:r>
        <w:rPr>
          <w:rFonts w:hint="eastAsia" w:ascii="仿宋_GB2312" w:hAnsi="宋体" w:eastAsia="仿宋_GB2312" w:cs="宋体"/>
          <w:kern w:val="0"/>
          <w:sz w:val="32"/>
          <w:szCs w:val="32"/>
        </w:rPr>
        <w:t>由综合办公室负责辖区政府信息公开工作，并统筹组织研究和解决在推进政府信息公开过程中遇到的困难和问题，定期组织各科室负责人召开政府信息公开工作会议，并且组织街道班子成员在党工委会上学习《</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同时</w:t>
      </w:r>
      <w:r>
        <w:rPr>
          <w:rFonts w:hint="eastAsia" w:ascii="仿宋_GB2312" w:hAnsi="宋体" w:eastAsia="仿宋_GB2312" w:cs="宋体"/>
          <w:kern w:val="0"/>
          <w:sz w:val="32"/>
          <w:szCs w:val="32"/>
        </w:rPr>
        <w:t>专门指定一名副职负责此项工作，主要领导定期听取政府信息公开工作汇报。</w:t>
      </w:r>
    </w:p>
    <w:p>
      <w:pPr>
        <w:pStyle w:val="2"/>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丰富公开内容公开形式，提升政府公开实效。日常加大政府公开力度，通过街道网站、区政府网站等信息公开栏对街道重大事项、重要事件进行及时公开，尤其在政务公开清单方面加强公示公开。同时通过街道网站征求意见栏、微信公众号等网络形式征求辖区居民意见和建议，并协调职能科室积极回应群众关心关切问题，妥善解决、处置居民关注的民生问题。</w:t>
      </w:r>
    </w:p>
    <w:p>
      <w:pPr>
        <w:pStyle w:val="2"/>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定期组织培训交流，提升政府信息公开能力。始终将队伍建设和能力提升作为推动政务公开的重要事项来抓，以此促进街道整体政务信息公开综合实力。一是定期开展交流座谈，向临近兄弟单位学习政府信息公开运行机制，流程运转，</w:t>
      </w:r>
      <w:r>
        <w:rPr>
          <w:rFonts w:ascii="仿宋_GB2312" w:hAnsi="宋体" w:eastAsia="仿宋_GB2312" w:cs="宋体"/>
          <w:kern w:val="0"/>
          <w:sz w:val="32"/>
          <w:szCs w:val="32"/>
        </w:rPr>
        <w:t>行政权力公开透明运行和网上办事方面的好经验、好做法。</w:t>
      </w:r>
      <w:r>
        <w:rPr>
          <w:rFonts w:hint="eastAsia" w:ascii="仿宋_GB2312" w:hAnsi="宋体" w:eastAsia="仿宋_GB2312" w:cs="宋体"/>
          <w:kern w:val="0"/>
          <w:sz w:val="32"/>
          <w:szCs w:val="32"/>
        </w:rPr>
        <w:t>二是加强业务培训，定期开展政府信息公开业务培训工作，提高政府信息公开工作队伍的业务素质。</w:t>
      </w:r>
      <w:r>
        <w:rPr>
          <w:rFonts w:ascii="仿宋_GB2312" w:hAnsi="宋体" w:eastAsia="仿宋_GB2312" w:cs="宋体"/>
          <w:kern w:val="0"/>
          <w:sz w:val="32"/>
          <w:szCs w:val="32"/>
        </w:rPr>
        <w:t xml:space="preserve"> </w:t>
      </w:r>
    </w:p>
    <w:p>
      <w:pPr>
        <w:pStyle w:val="2"/>
        <w:rPr>
          <w:rFonts w:hint="eastAsia" w:ascii="仿宋_GB2312" w:hAnsi="宋体" w:eastAsia="仿宋_GB2312" w:cs="宋体"/>
          <w:spacing w:val="8"/>
          <w:kern w:val="0"/>
          <w:sz w:val="32"/>
          <w:szCs w:val="32"/>
        </w:rPr>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after="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after="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678</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spacing w:after="0"/>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szCs w:val="24"/>
              </w:rPr>
            </w:pPr>
            <w:r>
              <w:rPr>
                <w:rFonts w:hint="eastAsia" w:ascii="宋体"/>
                <w:sz w:val="24"/>
                <w:szCs w:val="24"/>
              </w:rPr>
              <w:t>0</w:t>
            </w:r>
          </w:p>
        </w:tc>
      </w:tr>
    </w:tbl>
    <w:p>
      <w:pPr>
        <w:pStyle w:val="2"/>
      </w:pPr>
    </w:p>
    <w:p>
      <w:pPr>
        <w:pStyle w:val="2"/>
      </w:pPr>
    </w:p>
    <w:p>
      <w:pPr>
        <w:pStyle w:val="2"/>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widowControl/>
        <w:shd w:val="clear" w:color="auto" w:fill="FFFFFF"/>
        <w:spacing w:before="0" w:beforeAutospacing="0" w:after="0" w:afterAutospacing="0"/>
        <w:ind w:firstLine="420"/>
        <w:jc w:val="both"/>
        <w:rPr>
          <w:rFonts w:hint="eastAsia" w:ascii="宋体" w:hAnsi="宋体" w:cs="宋体"/>
          <w:color w:val="333333"/>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spacing w:after="0"/>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kern w:val="0"/>
                <w:sz w:val="20"/>
                <w:szCs w:val="20"/>
                <w:lang w:bidi="ar"/>
              </w:rPr>
              <w:t>商业</w:t>
            </w:r>
          </w:p>
          <w:p>
            <w:pPr>
              <w:widowControl/>
              <w:spacing w:after="0"/>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kern w:val="0"/>
                <w:sz w:val="20"/>
                <w:szCs w:val="20"/>
                <w:lang w:bidi="ar"/>
              </w:rPr>
              <w:t>科研</w:t>
            </w:r>
          </w:p>
          <w:p>
            <w:pPr>
              <w:widowControl/>
              <w:spacing w:after="0"/>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after="0"/>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3</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after="0"/>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after="0"/>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rPr>
                <w:rFonts w:ascii="Calibri" w:hAnsi="Calibri" w:cs="Calibri"/>
                <w:kern w:val="0"/>
                <w:sz w:val="20"/>
                <w:szCs w:val="20"/>
                <w:lang w:bidi="ar"/>
              </w:rPr>
            </w:pP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after="0"/>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after="0"/>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after="0"/>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spacing w:after="0"/>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spacing w:after="0"/>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spacing w:after="0"/>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after="0"/>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after="0"/>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after="0"/>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after="0"/>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3</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after="0"/>
              <w:jc w:val="center"/>
            </w:pPr>
            <w:r>
              <w:rPr>
                <w:rFonts w:ascii="Calibri" w:hAnsi="Calibri" w:cs="Calibri"/>
                <w:kern w:val="0"/>
                <w:sz w:val="20"/>
                <w:szCs w:val="20"/>
                <w:lang w:bidi="ar"/>
              </w:rPr>
              <w:t> </w:t>
            </w:r>
            <w:r>
              <w:rPr>
                <w:rFonts w:hint="eastAsia" w:ascii="Calibri" w:hAnsi="Calibri" w:cs="Calibri"/>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ascii="宋体"/>
                <w:sz w:val="24"/>
                <w:szCs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ascii="宋体"/>
                <w:sz w:val="24"/>
                <w:szCs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ascii="宋体"/>
                <w:sz w:val="24"/>
                <w:szCs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ascii="宋体"/>
                <w:sz w:val="24"/>
                <w:szCs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ascii="宋体"/>
                <w:sz w:val="24"/>
                <w:szCs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ascii="宋体"/>
                <w:sz w:val="24"/>
                <w:szCs w:val="24"/>
              </w:rPr>
              <w:t>0</w:t>
            </w:r>
          </w:p>
        </w:tc>
        <w:tc>
          <w:tcPr>
            <w:tcW w:w="689" w:type="dxa"/>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ascii="宋体"/>
                <w:sz w:val="24"/>
                <w:szCs w:val="24"/>
              </w:rPr>
              <w:t>0</w:t>
            </w:r>
          </w:p>
        </w:tc>
      </w:tr>
    </w:tbl>
    <w:p>
      <w:pPr>
        <w:pStyle w:val="2"/>
        <w:ind w:left="420" w:leftChars="200"/>
      </w:pPr>
    </w:p>
    <w:p>
      <w:pPr>
        <w:pStyle w:val="2"/>
        <w:ind w:left="420" w:leftChars="20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after="0"/>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after="0"/>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after="0"/>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0"/>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0"/>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0"/>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0"/>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after="0"/>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after="0"/>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1</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1</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1</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0"/>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szCs w:val="24"/>
              </w:rPr>
            </w:pPr>
            <w:r>
              <w:rPr>
                <w:rFonts w:hint="eastAsia" w:ascii="宋体"/>
                <w:sz w:val="24"/>
                <w:szCs w:val="24"/>
              </w:rPr>
              <w:t>1</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ascii="黑体" w:hAnsi="黑体" w:eastAsia="黑体" w:cs="宋体"/>
          <w:spacing w:val="8"/>
          <w:kern w:val="0"/>
          <w:sz w:val="32"/>
          <w:szCs w:val="32"/>
        </w:rPr>
        <w:t>五、存在的主要问题及改进情况</w:t>
      </w:r>
    </w:p>
    <w:p>
      <w:pPr>
        <w:ind w:firstLine="672" w:firstLineChars="200"/>
        <w:rPr>
          <w:rFonts w:ascii="仿宋_GB2312" w:eastAsia="仿宋_GB2312"/>
          <w:sz w:val="32"/>
          <w:szCs w:val="20"/>
        </w:rPr>
      </w:pPr>
      <w:r>
        <w:rPr>
          <w:rFonts w:hint="eastAsia" w:ascii="仿宋_GB2312" w:hAnsi="宋体" w:eastAsia="仿宋_GB2312" w:cs="宋体"/>
          <w:spacing w:val="8"/>
          <w:kern w:val="0"/>
          <w:sz w:val="32"/>
          <w:szCs w:val="32"/>
        </w:rPr>
        <w:t>我街道严格按照《政府信息公开条例》要求开展各项工作，但尚存在以下不足：</w:t>
      </w:r>
      <w:r>
        <w:rPr>
          <w:rFonts w:hint="eastAsia" w:ascii="仿宋_GB2312" w:eastAsia="仿宋_GB2312"/>
          <w:sz w:val="32"/>
          <w:szCs w:val="20"/>
        </w:rPr>
        <w:t>对政府信息公开工作认识需要进一步提高；工作制度和工作机制需要在实践中进一步完善；主动公开和依申请公开服务需要进一步加强。</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2025年我街道将从以下几个方面改进：</w:t>
      </w:r>
      <w:r>
        <w:rPr>
          <w:rFonts w:hint="eastAsia" w:ascii="仿宋_GB2312" w:eastAsia="仿宋_GB2312"/>
          <w:sz w:val="32"/>
          <w:szCs w:val="20"/>
        </w:rPr>
        <w:t>一</w:t>
      </w:r>
      <w:r>
        <w:rPr>
          <w:rFonts w:ascii="仿宋_GB2312" w:eastAsia="仿宋_GB2312"/>
          <w:sz w:val="32"/>
          <w:szCs w:val="20"/>
        </w:rPr>
        <w:t>是不断完善政府信息公开相关制度和工作机制；</w:t>
      </w:r>
      <w:r>
        <w:rPr>
          <w:rFonts w:hint="eastAsia" w:ascii="仿宋_GB2312" w:eastAsia="仿宋_GB2312"/>
          <w:sz w:val="32"/>
          <w:szCs w:val="20"/>
        </w:rPr>
        <w:t>二</w:t>
      </w:r>
      <w:r>
        <w:rPr>
          <w:rFonts w:ascii="仿宋_GB2312" w:eastAsia="仿宋_GB2312"/>
          <w:sz w:val="32"/>
          <w:szCs w:val="20"/>
        </w:rPr>
        <w:t>是</w:t>
      </w:r>
      <w:r>
        <w:rPr>
          <w:rFonts w:hint="eastAsia" w:ascii="仿宋_GB2312" w:eastAsia="仿宋_GB2312"/>
          <w:sz w:val="32"/>
          <w:szCs w:val="20"/>
        </w:rPr>
        <w:t>丰富现有</w:t>
      </w:r>
      <w:r>
        <w:rPr>
          <w:rFonts w:ascii="仿宋_GB2312" w:eastAsia="仿宋_GB2312"/>
          <w:sz w:val="32"/>
          <w:szCs w:val="20"/>
        </w:rPr>
        <w:t>政府信息公开渠道，</w:t>
      </w:r>
      <w:r>
        <w:rPr>
          <w:rFonts w:hint="eastAsia" w:ascii="仿宋_GB2312" w:eastAsia="仿宋_GB2312"/>
          <w:sz w:val="32"/>
          <w:szCs w:val="20"/>
        </w:rPr>
        <w:t>在现有政府网站基础上开辟新的问题反馈途径。</w:t>
      </w:r>
    </w:p>
    <w:p>
      <w:pPr>
        <w:widowControl/>
        <w:spacing w:line="560" w:lineRule="exact"/>
        <w:ind w:firstLine="675"/>
        <w:jc w:val="left"/>
        <w:rPr>
          <w:rFonts w:hint="eastAsia"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jc w:val="left"/>
        <w:rPr>
          <w:rFonts w:hint="default" w:ascii="仿宋_GB2312" w:hAnsi="宋体" w:eastAsia="仿宋_GB2312" w:cs="宋体"/>
          <w:spacing w:val="8"/>
          <w:kern w:val="0"/>
          <w:sz w:val="32"/>
          <w:szCs w:val="32"/>
          <w:lang w:val="en-US"/>
        </w:rPr>
      </w:pPr>
      <w:r>
        <w:rPr>
          <w:rFonts w:hint="eastAsia" w:ascii="仿宋_GB2312" w:hAnsi="宋体" w:eastAsia="仿宋_GB2312" w:cs="宋体"/>
          <w:spacing w:val="8"/>
          <w:kern w:val="0"/>
          <w:sz w:val="32"/>
          <w:szCs w:val="32"/>
          <w:lang w:val="en-US" w:eastAsia="zh-CN"/>
        </w:rPr>
        <w:t>发出收费通知的件数和总金额以及实际收取的总金额均为0。</w:t>
      </w:r>
    </w:p>
    <w:p>
      <w:pPr>
        <w:pStyle w:val="2"/>
        <w:rPr>
          <w:rFonts w:hint="eastAsia"/>
        </w:rPr>
      </w:pPr>
      <w:r>
        <w:rPr>
          <w:rFonts w:hint="eastAsia" w:ascii="仿宋_GB2312" w:hAnsi="Times New Roman" w:eastAsia="仿宋_GB2312"/>
          <w:sz w:val="32"/>
          <w:szCs w:val="20"/>
        </w:rPr>
        <w:t xml:space="preserve">                      </w:t>
      </w:r>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0394557"/>
    <w:rsid w:val="006163A1"/>
    <w:rsid w:val="007B426F"/>
    <w:rsid w:val="00B80314"/>
    <w:rsid w:val="00F2085D"/>
    <w:rsid w:val="011A7BDC"/>
    <w:rsid w:val="0137584D"/>
    <w:rsid w:val="01D069DE"/>
    <w:rsid w:val="01D42C6D"/>
    <w:rsid w:val="030A12D5"/>
    <w:rsid w:val="033D556E"/>
    <w:rsid w:val="0435673F"/>
    <w:rsid w:val="04630DFE"/>
    <w:rsid w:val="04A674A3"/>
    <w:rsid w:val="04FB18B7"/>
    <w:rsid w:val="05094A85"/>
    <w:rsid w:val="050C7BCF"/>
    <w:rsid w:val="05490F8D"/>
    <w:rsid w:val="07547974"/>
    <w:rsid w:val="08444BE1"/>
    <w:rsid w:val="08456D95"/>
    <w:rsid w:val="087E40D4"/>
    <w:rsid w:val="08862C19"/>
    <w:rsid w:val="0B3D31F9"/>
    <w:rsid w:val="0D1A1BB8"/>
    <w:rsid w:val="0D4D578E"/>
    <w:rsid w:val="0DB0417F"/>
    <w:rsid w:val="0E537A22"/>
    <w:rsid w:val="0F3A22CB"/>
    <w:rsid w:val="103A4913"/>
    <w:rsid w:val="10843424"/>
    <w:rsid w:val="10A41E27"/>
    <w:rsid w:val="10FA3146"/>
    <w:rsid w:val="11FC053E"/>
    <w:rsid w:val="12C42093"/>
    <w:rsid w:val="12F80BF2"/>
    <w:rsid w:val="13376FC4"/>
    <w:rsid w:val="14E25FEA"/>
    <w:rsid w:val="17030F2E"/>
    <w:rsid w:val="17081544"/>
    <w:rsid w:val="17770AD1"/>
    <w:rsid w:val="1A5417D6"/>
    <w:rsid w:val="1A6078A4"/>
    <w:rsid w:val="1A912516"/>
    <w:rsid w:val="1B0568CA"/>
    <w:rsid w:val="1B081067"/>
    <w:rsid w:val="1B816476"/>
    <w:rsid w:val="1C3B1A90"/>
    <w:rsid w:val="1D702E7A"/>
    <w:rsid w:val="1DCC46E4"/>
    <w:rsid w:val="1EC85D45"/>
    <w:rsid w:val="1F67655E"/>
    <w:rsid w:val="2079380F"/>
    <w:rsid w:val="20ED212D"/>
    <w:rsid w:val="20ED4178"/>
    <w:rsid w:val="22174E78"/>
    <w:rsid w:val="22ED034C"/>
    <w:rsid w:val="23042359"/>
    <w:rsid w:val="23D13E8D"/>
    <w:rsid w:val="23E13E38"/>
    <w:rsid w:val="257747CE"/>
    <w:rsid w:val="265947DE"/>
    <w:rsid w:val="26AE6DE0"/>
    <w:rsid w:val="27233C0C"/>
    <w:rsid w:val="286E491E"/>
    <w:rsid w:val="288729B2"/>
    <w:rsid w:val="28F109B2"/>
    <w:rsid w:val="29324150"/>
    <w:rsid w:val="297E6C8F"/>
    <w:rsid w:val="29CB2DE6"/>
    <w:rsid w:val="29D749B7"/>
    <w:rsid w:val="2A1332F6"/>
    <w:rsid w:val="2A510B0A"/>
    <w:rsid w:val="2AF0610B"/>
    <w:rsid w:val="2BBF2FB4"/>
    <w:rsid w:val="2CAD5C2A"/>
    <w:rsid w:val="2D305495"/>
    <w:rsid w:val="2E055AC3"/>
    <w:rsid w:val="2E1C4415"/>
    <w:rsid w:val="2EC66130"/>
    <w:rsid w:val="3009493E"/>
    <w:rsid w:val="303D204F"/>
    <w:rsid w:val="30AA4810"/>
    <w:rsid w:val="30E446E3"/>
    <w:rsid w:val="321D69B9"/>
    <w:rsid w:val="33DF4503"/>
    <w:rsid w:val="37072C78"/>
    <w:rsid w:val="37415DA2"/>
    <w:rsid w:val="378A06D4"/>
    <w:rsid w:val="3A1C1CA5"/>
    <w:rsid w:val="3AD60AB4"/>
    <w:rsid w:val="3B406332"/>
    <w:rsid w:val="3BBC27C8"/>
    <w:rsid w:val="3C1D39F4"/>
    <w:rsid w:val="3C2E1798"/>
    <w:rsid w:val="3C5F4656"/>
    <w:rsid w:val="3DB40E89"/>
    <w:rsid w:val="3E414D0E"/>
    <w:rsid w:val="3F660FB1"/>
    <w:rsid w:val="3FBC0F1D"/>
    <w:rsid w:val="41000E1B"/>
    <w:rsid w:val="42D456E3"/>
    <w:rsid w:val="43770738"/>
    <w:rsid w:val="437C1863"/>
    <w:rsid w:val="444C4F40"/>
    <w:rsid w:val="44642C2B"/>
    <w:rsid w:val="44E936D8"/>
    <w:rsid w:val="45860F81"/>
    <w:rsid w:val="46C57AF2"/>
    <w:rsid w:val="475A4C8D"/>
    <w:rsid w:val="487B59AE"/>
    <w:rsid w:val="491D1E51"/>
    <w:rsid w:val="4A473F31"/>
    <w:rsid w:val="4AD0606B"/>
    <w:rsid w:val="4BAE6A2C"/>
    <w:rsid w:val="4BD65FDE"/>
    <w:rsid w:val="4BF136D7"/>
    <w:rsid w:val="4C484A30"/>
    <w:rsid w:val="4E497184"/>
    <w:rsid w:val="4EBA522E"/>
    <w:rsid w:val="4EEC4278"/>
    <w:rsid w:val="4F291F1F"/>
    <w:rsid w:val="4F7F6635"/>
    <w:rsid w:val="4FB22C02"/>
    <w:rsid w:val="504C757C"/>
    <w:rsid w:val="521E5693"/>
    <w:rsid w:val="52AD4A34"/>
    <w:rsid w:val="52C54DC9"/>
    <w:rsid w:val="53477307"/>
    <w:rsid w:val="5589230D"/>
    <w:rsid w:val="57BE4846"/>
    <w:rsid w:val="583724AB"/>
    <w:rsid w:val="584D2177"/>
    <w:rsid w:val="5858352D"/>
    <w:rsid w:val="58665947"/>
    <w:rsid w:val="58CE10CE"/>
    <w:rsid w:val="590B2EBC"/>
    <w:rsid w:val="5ACD459A"/>
    <w:rsid w:val="5DD438EA"/>
    <w:rsid w:val="5F1A029A"/>
    <w:rsid w:val="60E85DE7"/>
    <w:rsid w:val="61A710B6"/>
    <w:rsid w:val="61BE4286"/>
    <w:rsid w:val="61FC300A"/>
    <w:rsid w:val="62702BDA"/>
    <w:rsid w:val="62AA47AD"/>
    <w:rsid w:val="640A359A"/>
    <w:rsid w:val="6416400B"/>
    <w:rsid w:val="654E252C"/>
    <w:rsid w:val="662A2F93"/>
    <w:rsid w:val="67CE03CF"/>
    <w:rsid w:val="682B0DA5"/>
    <w:rsid w:val="69EF4921"/>
    <w:rsid w:val="6AAF1C81"/>
    <w:rsid w:val="6AB84DD7"/>
    <w:rsid w:val="6B2F577A"/>
    <w:rsid w:val="6C6D0A3E"/>
    <w:rsid w:val="6EED528D"/>
    <w:rsid w:val="6F9F740D"/>
    <w:rsid w:val="6FA64A99"/>
    <w:rsid w:val="7014216E"/>
    <w:rsid w:val="70E30B95"/>
    <w:rsid w:val="71BC78CB"/>
    <w:rsid w:val="71DD27A3"/>
    <w:rsid w:val="72070650"/>
    <w:rsid w:val="7250261D"/>
    <w:rsid w:val="7267630C"/>
    <w:rsid w:val="73B04A88"/>
    <w:rsid w:val="751563DC"/>
    <w:rsid w:val="75E86AA9"/>
    <w:rsid w:val="75FA0ADE"/>
    <w:rsid w:val="76145766"/>
    <w:rsid w:val="762C01BF"/>
    <w:rsid w:val="7976234A"/>
    <w:rsid w:val="79CF4726"/>
    <w:rsid w:val="7A9C689A"/>
    <w:rsid w:val="7B214547"/>
    <w:rsid w:val="7B2B19B2"/>
    <w:rsid w:val="7B3B09C0"/>
    <w:rsid w:val="7C25685F"/>
    <w:rsid w:val="7D7D479F"/>
    <w:rsid w:val="7D7E436D"/>
    <w:rsid w:val="7DEB659E"/>
    <w:rsid w:val="7E1F490A"/>
    <w:rsid w:val="7E312E64"/>
    <w:rsid w:val="7E594992"/>
    <w:rsid w:val="7F8A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9"/>
    <w:qFormat/>
    <w:uiPriority w:val="0"/>
    <w:pPr>
      <w:jc w:val="left"/>
    </w:pPr>
  </w:style>
  <w:style w:type="paragraph" w:styleId="4">
    <w:name w:val="Normal (Web)"/>
    <w:basedOn w:val="1"/>
    <w:qFormat/>
    <w:uiPriority w:val="99"/>
    <w:pPr>
      <w:spacing w:before="100" w:beforeAutospacing="1" w:after="100" w:afterAutospacing="1"/>
      <w:jc w:val="left"/>
    </w:pPr>
    <w:rPr>
      <w:kern w:val="0"/>
      <w:sz w:val="24"/>
    </w:rPr>
  </w:style>
  <w:style w:type="paragraph" w:styleId="5">
    <w:name w:val="annotation subject"/>
    <w:basedOn w:val="3"/>
    <w:next w:val="3"/>
    <w:link w:val="10"/>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3"/>
    <w:qFormat/>
    <w:uiPriority w:val="0"/>
    <w:rPr>
      <w:rFonts w:ascii="Times New Roman" w:hAnsi="Times New Roman" w:eastAsia="宋体" w:cs="Times New Roman"/>
      <w:kern w:val="2"/>
      <w:sz w:val="21"/>
      <w:szCs w:val="22"/>
    </w:rPr>
  </w:style>
  <w:style w:type="character" w:customStyle="1" w:styleId="10">
    <w:name w:val="批注主题 字符"/>
    <w:basedOn w:val="9"/>
    <w:link w:val="5"/>
    <w:uiPriority w:val="0"/>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382</Words>
  <Characters>2182</Characters>
  <Lines>18</Lines>
  <Paragraphs>5</Paragraphs>
  <TotalTime>28</TotalTime>
  <ScaleCrop>false</ScaleCrop>
  <LinksUpToDate>false</LinksUpToDate>
  <CharactersWithSpaces>2559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CSSJD</cp:lastModifiedBy>
  <cp:lastPrinted>2025-01-09T02:08:00Z</cp:lastPrinted>
  <dcterms:modified xsi:type="dcterms:W3CDTF">2025-01-20T01:19:25Z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6875E895816C4DC79A3DCE4CEC33A7CE</vt:lpwstr>
  </property>
</Properties>
</file>