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pStyle w:val="2"/>
        <w:rPr>
          <w:rFonts w:hint="eastAsia"/>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lang w:eastAsia="zh-CN"/>
        </w:rPr>
        <w:t>北京市丰台区渔政监督管理站</w:t>
      </w:r>
    </w:p>
    <w:p>
      <w:pPr>
        <w:jc w:val="center"/>
        <w:rPr>
          <w:rFonts w:ascii="黑体" w:eastAsia="黑体"/>
          <w:sz w:val="52"/>
          <w:szCs w:val="52"/>
        </w:rPr>
      </w:pPr>
      <w:r>
        <w:rPr>
          <w:rFonts w:hint="eastAsia" w:ascii="黑体" w:eastAsia="黑体"/>
          <w:sz w:val="72"/>
          <w:szCs w:val="72"/>
          <w:lang w:val="en-US" w:eastAsia="zh-CN"/>
        </w:rPr>
        <w:t xml:space="preserve"> </w:t>
      </w:r>
      <w:r>
        <w:rPr>
          <w:rFonts w:hint="eastAsia" w:ascii="黑体" w:eastAsia="黑体"/>
          <w:sz w:val="72"/>
          <w:szCs w:val="72"/>
        </w:rPr>
        <w:t>202</w:t>
      </w:r>
      <w:r>
        <w:rPr>
          <w:rFonts w:ascii="黑体" w:eastAsia="黑体"/>
          <w:sz w:val="72"/>
          <w:szCs w:val="72"/>
        </w:rPr>
        <w:t>1</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pStyle w:val="2"/>
        <w:rPr>
          <w:rFonts w:ascii="黑体" w:eastAsia="黑体"/>
          <w:sz w:val="52"/>
          <w:szCs w:val="52"/>
        </w:rPr>
      </w:pPr>
    </w:p>
    <w:p>
      <w:pPr>
        <w:pStyle w:val="2"/>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ascii="宋体" w:hAnsi="宋体" w:cs="宋体"/>
          <w:bCs/>
          <w:spacing w:val="40"/>
          <w:kern w:val="0"/>
          <w:sz w:val="32"/>
          <w:szCs w:val="32"/>
        </w:rPr>
        <w:t>1</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ascii="宋体" w:hAnsi="宋体"/>
          <w:spacing w:val="40"/>
          <w:sz w:val="32"/>
          <w:szCs w:val="32"/>
        </w:rPr>
        <w:t>1</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ascii="宋体" w:hAnsi="宋体" w:cs="宋体"/>
          <w:spacing w:val="40"/>
          <w:kern w:val="0"/>
          <w:sz w:val="32"/>
          <w:szCs w:val="32"/>
        </w:rPr>
        <w:t>1</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2021年度部门决算报表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lang w:eastAsia="zh-CN"/>
        </w:rPr>
        <w:t>北京市丰台区渔政监督管理站</w:t>
      </w:r>
      <w:r>
        <w:rPr>
          <w:rFonts w:hint="eastAsia" w:ascii="仿宋_GB2312" w:eastAsia="仿宋_GB2312"/>
          <w:kern w:val="0"/>
          <w:sz w:val="28"/>
          <w:szCs w:val="28"/>
        </w:rPr>
        <w:t>202</w:t>
      </w:r>
      <w:r>
        <w:rPr>
          <w:rFonts w:hint="eastAsia" w:ascii="仿宋_GB2312" w:eastAsia="仿宋_GB2312"/>
          <w:kern w:val="0"/>
          <w:sz w:val="28"/>
          <w:szCs w:val="28"/>
          <w:lang w:val="en-US" w:eastAsia="zh-CN"/>
        </w:rPr>
        <w:t>1</w:t>
      </w:r>
      <w:r>
        <w:rPr>
          <w:rFonts w:hint="eastAsia" w:ascii="仿宋_GB2312" w:eastAsia="仿宋_GB2312"/>
          <w:kern w:val="0"/>
          <w:sz w:val="28"/>
          <w:szCs w:val="28"/>
        </w:rPr>
        <w:t>年度部门决算报表详见附件。</w:t>
      </w:r>
      <w:r>
        <w:rPr>
          <w:rFonts w:hint="eastAsia" w:ascii="仿宋_GB2312" w:hAnsi="宋体" w:eastAsia="仿宋_GB2312" w:cs="宋体"/>
          <w:bCs/>
          <w:spacing w:val="40"/>
          <w:kern w:val="0"/>
          <w:sz w:val="32"/>
          <w:szCs w:val="32"/>
        </w:rPr>
        <w:t>。</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pStyle w:val="8"/>
        <w:keepNext w:val="0"/>
        <w:keepLines w:val="0"/>
        <w:widowControl/>
        <w:suppressLineNumbers w:val="0"/>
        <w:spacing w:before="0" w:beforeAutospacing="0" w:after="0" w:afterAutospacing="0" w:line="480" w:lineRule="auto"/>
        <w:ind w:left="0" w:right="0" w:firstLine="420"/>
        <w:jc w:val="left"/>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b w:val="0"/>
          <w:bCs/>
          <w:sz w:val="28"/>
          <w:szCs w:val="28"/>
        </w:rPr>
        <w:t>机构</w:t>
      </w:r>
      <w:r>
        <w:rPr>
          <w:rFonts w:ascii="仿宋_GB2312" w:eastAsia="仿宋_GB2312"/>
          <w:b w:val="0"/>
          <w:bCs/>
          <w:sz w:val="28"/>
          <w:szCs w:val="28"/>
        </w:rPr>
        <w:t>设置、</w:t>
      </w:r>
      <w:r>
        <w:rPr>
          <w:rFonts w:hint="eastAsia" w:ascii="仿宋_GB2312" w:eastAsia="仿宋_GB2312"/>
          <w:b w:val="0"/>
          <w:bCs/>
          <w:sz w:val="28"/>
          <w:szCs w:val="28"/>
        </w:rPr>
        <w:t>职责</w:t>
      </w:r>
      <w:r>
        <w:rPr>
          <w:rFonts w:hint="eastAsia" w:ascii="仿宋_GB2312" w:eastAsia="仿宋_GB2312"/>
          <w:b w:val="0"/>
          <w:bCs/>
          <w:sz w:val="28"/>
          <w:szCs w:val="28"/>
          <w:lang w:val="en-US" w:eastAsia="zh-CN"/>
        </w:rPr>
        <w:t>:</w:t>
      </w:r>
      <w:r>
        <w:rPr>
          <w:rFonts w:hint="eastAsia" w:ascii="仿宋" w:hAnsi="仿宋" w:eastAsia="仿宋" w:cs="仿宋"/>
          <w:b w:val="0"/>
          <w:bCs/>
          <w:sz w:val="28"/>
          <w:szCs w:val="28"/>
        </w:rPr>
        <w:t>北京市丰台区</w:t>
      </w:r>
      <w:r>
        <w:rPr>
          <w:rFonts w:hint="eastAsia" w:ascii="仿宋" w:hAnsi="仿宋" w:eastAsia="仿宋" w:cs="仿宋"/>
          <w:b w:val="0"/>
          <w:bCs/>
          <w:sz w:val="28"/>
          <w:szCs w:val="28"/>
          <w:lang w:eastAsia="zh-CN"/>
        </w:rPr>
        <w:t>渔政监督管理站</w:t>
      </w:r>
      <w:r>
        <w:rPr>
          <w:rFonts w:hint="eastAsia" w:ascii="仿宋" w:hAnsi="仿宋" w:eastAsia="仿宋" w:cs="仿宋"/>
          <w:b w:val="0"/>
          <w:bCs/>
          <w:sz w:val="28"/>
          <w:szCs w:val="28"/>
        </w:rPr>
        <w:t>是</w:t>
      </w:r>
      <w:r>
        <w:rPr>
          <w:rFonts w:hint="eastAsia" w:ascii="仿宋" w:hAnsi="仿宋" w:eastAsia="仿宋" w:cs="仿宋"/>
          <w:b w:val="0"/>
          <w:bCs/>
          <w:sz w:val="28"/>
          <w:szCs w:val="28"/>
          <w:lang w:eastAsia="zh-CN"/>
        </w:rPr>
        <w:t>区农业农村局下属</w:t>
      </w:r>
      <w:r>
        <w:rPr>
          <w:rFonts w:hint="eastAsia" w:ascii="仿宋" w:hAnsi="仿宋" w:eastAsia="仿宋" w:cs="仿宋"/>
          <w:b w:val="0"/>
          <w:bCs/>
          <w:sz w:val="28"/>
          <w:szCs w:val="28"/>
        </w:rPr>
        <w:t>独立编制，独立核算的全额事业单位。</w:t>
      </w:r>
      <w:r>
        <w:rPr>
          <w:rFonts w:hint="eastAsia" w:ascii="仿宋" w:hAnsi="仿宋" w:eastAsia="仿宋" w:cs="仿宋"/>
          <w:b w:val="0"/>
          <w:bCs/>
          <w:sz w:val="28"/>
          <w:szCs w:val="28"/>
          <w:lang w:eastAsia="zh-CN"/>
        </w:rPr>
        <w:t>主要职责是：</w:t>
      </w:r>
      <w:r>
        <w:rPr>
          <w:rFonts w:hint="eastAsia" w:ascii="仿宋_GB2312" w:hAnsi="仿宋_GB2312" w:eastAsia="仿宋_GB2312" w:cs="仿宋_GB2312"/>
          <w:b w:val="0"/>
          <w:bCs/>
          <w:color w:val="404040"/>
          <w:sz w:val="28"/>
          <w:szCs w:val="28"/>
        </w:rPr>
        <w:t>1、渔业法律法规的宣传和普及；2、渔业资源的增殖与保护；3、对本辖区内水生野生动物的科学研究、驯养繁殖、展览展示监督管理；4、维护渔业生产秩序，打击偷捕、抢夺他人养殖的水产品，破坏他人养殖水体及养殖实施等违法行为，保护渔业生产者的合法权益；5、渔业污染事故的调查处理；6</w:t>
      </w:r>
      <w:r>
        <w:rPr>
          <w:rFonts w:hint="eastAsia" w:ascii="仿宋_GB2312" w:hAnsi="仿宋_GB2312" w:eastAsia="仿宋_GB2312" w:cs="仿宋_GB2312"/>
          <w:b w:val="0"/>
          <w:bCs/>
          <w:color w:val="404040"/>
          <w:sz w:val="28"/>
          <w:szCs w:val="28"/>
          <w:lang w:val="en-US" w:eastAsia="zh-CN"/>
        </w:rPr>
        <w:t xml:space="preserve"> </w:t>
      </w:r>
      <w:r>
        <w:rPr>
          <w:rFonts w:hint="eastAsia" w:ascii="仿宋_GB2312" w:hAnsi="仿宋_GB2312" w:eastAsia="仿宋_GB2312" w:cs="仿宋_GB2312"/>
          <w:b w:val="0"/>
          <w:bCs/>
          <w:color w:val="404040"/>
          <w:sz w:val="28"/>
          <w:szCs w:val="28"/>
        </w:rPr>
        <w:t>、渔业安全生产监管；7、水产品养殖环节质量安全监管等工作。</w:t>
      </w:r>
      <w:bookmarkStart w:id="0" w:name="_GoBack"/>
      <w:r>
        <w:rPr>
          <w:rFonts w:hint="eastAsia" w:ascii="仿宋_GB2312" w:hAnsi="仿宋_GB2312" w:eastAsia="仿宋_GB2312" w:cs="仿宋_GB2312"/>
          <w:b w:val="0"/>
          <w:bCs/>
          <w:color w:val="404040"/>
          <w:sz w:val="28"/>
          <w:szCs w:val="28"/>
        </w:rPr>
        <w:t>北京市丰台区渔政监督管理站，下设三个职能科室。案件调查室：负责全区渔业资源保护、水产品质量安全监管、水生野生动物保护、渔业污染事故调查处理等工作。行政办公室，负责站内日常行政，党建，人事、档案等工作。财务办公室，负责站内后勤保障，伙食，财务管理等工作。</w:t>
      </w:r>
      <w:bookmarkEnd w:id="0"/>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12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8</w:t>
      </w:r>
      <w:r>
        <w:rPr>
          <w:rFonts w:hint="eastAsia" w:ascii="仿宋_GB2312" w:eastAsia="仿宋_GB2312"/>
          <w:kern w:val="0"/>
          <w:sz w:val="28"/>
          <w:szCs w:val="28"/>
        </w:rPr>
        <w:t>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年度收</w:t>
      </w:r>
      <w:r>
        <w:rPr>
          <w:rFonts w:hint="eastAsia" w:ascii="仿宋_GB2312" w:eastAsia="仿宋_GB2312"/>
          <w:sz w:val="28"/>
          <w:szCs w:val="28"/>
          <w:lang w:eastAsia="zh-CN"/>
        </w:rPr>
        <w:t>入</w:t>
      </w:r>
      <w:r>
        <w:rPr>
          <w:rFonts w:hint="eastAsia" w:ascii="仿宋_GB2312" w:eastAsia="仿宋_GB2312"/>
          <w:sz w:val="28"/>
          <w:szCs w:val="28"/>
        </w:rPr>
        <w:t>总计</w:t>
      </w:r>
      <w:r>
        <w:rPr>
          <w:rFonts w:hint="eastAsia" w:ascii="仿宋_GB2312" w:eastAsia="仿宋_GB2312"/>
          <w:sz w:val="28"/>
          <w:szCs w:val="28"/>
          <w:lang w:val="en-US" w:eastAsia="zh-CN"/>
        </w:rPr>
        <w:t>247.573589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31.421044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12.69</w:t>
      </w:r>
      <w:r>
        <w:rPr>
          <w:rFonts w:hint="eastAsia" w:ascii="仿宋_GB2312" w:eastAsia="仿宋_GB2312"/>
          <w:sz w:val="28"/>
          <w:szCs w:val="28"/>
        </w:rPr>
        <w:t>%。</w:t>
      </w:r>
      <w:r>
        <w:rPr>
          <w:rFonts w:hint="eastAsia" w:ascii="仿宋_GB2312" w:eastAsia="仿宋_GB2312"/>
          <w:sz w:val="28"/>
          <w:szCs w:val="28"/>
          <w:lang w:val="en-US" w:eastAsia="zh-CN"/>
        </w:rPr>
        <w:t>2021年度支出总计250.044189万元，</w:t>
      </w:r>
      <w:r>
        <w:rPr>
          <w:rFonts w:ascii="仿宋_GB2312" w:eastAsia="仿宋_GB2312"/>
          <w:sz w:val="28"/>
          <w:szCs w:val="28"/>
        </w:rPr>
        <w:t>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24.950444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11.58</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年度本年收入合计</w:t>
      </w:r>
      <w:r>
        <w:rPr>
          <w:rFonts w:hint="eastAsia" w:ascii="仿宋_GB2312" w:eastAsia="仿宋_GB2312"/>
          <w:sz w:val="28"/>
          <w:szCs w:val="28"/>
          <w:lang w:val="en-US" w:eastAsia="zh-CN"/>
        </w:rPr>
        <w:t>247.573589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31.421044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12.69</w:t>
      </w:r>
      <w:r>
        <w:rPr>
          <w:rFonts w:hint="eastAsia" w:ascii="仿宋_GB2312" w:eastAsia="仿宋_GB2312"/>
          <w:sz w:val="28"/>
          <w:szCs w:val="28"/>
        </w:rPr>
        <w:t>%，其中：财政拨款收入</w:t>
      </w:r>
      <w:r>
        <w:rPr>
          <w:rFonts w:hint="eastAsia" w:ascii="仿宋_GB2312" w:eastAsia="仿宋_GB2312"/>
          <w:sz w:val="28"/>
          <w:szCs w:val="28"/>
          <w:lang w:val="en-US" w:eastAsia="zh-CN"/>
        </w:rPr>
        <w:t>247.573589</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0.00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年度本年支出合计</w:t>
      </w:r>
      <w:r>
        <w:rPr>
          <w:rFonts w:hint="eastAsia" w:ascii="仿宋_GB2312" w:eastAsia="仿宋_GB2312"/>
          <w:sz w:val="28"/>
          <w:szCs w:val="28"/>
          <w:lang w:val="en-US" w:eastAsia="zh-CN"/>
        </w:rPr>
        <w:t>250.044189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24.950444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11.58</w:t>
      </w:r>
      <w:r>
        <w:rPr>
          <w:rFonts w:hint="eastAsia" w:ascii="仿宋_GB2312" w:eastAsia="仿宋_GB2312"/>
          <w:sz w:val="28"/>
          <w:szCs w:val="28"/>
        </w:rPr>
        <w:t>%，其中：基本支出</w:t>
      </w:r>
      <w:r>
        <w:rPr>
          <w:rFonts w:hint="eastAsia" w:ascii="仿宋_GB2312" w:eastAsia="仿宋_GB2312"/>
          <w:sz w:val="28"/>
          <w:szCs w:val="28"/>
          <w:lang w:val="en-US" w:eastAsia="zh-CN"/>
        </w:rPr>
        <w:t>241.679389</w:t>
      </w:r>
      <w:r>
        <w:rPr>
          <w:rFonts w:hint="eastAsia" w:ascii="仿宋_GB2312" w:eastAsia="仿宋_GB2312"/>
          <w:sz w:val="28"/>
          <w:szCs w:val="28"/>
        </w:rPr>
        <w:t>万元，占支出合计的</w:t>
      </w:r>
      <w:r>
        <w:rPr>
          <w:rFonts w:hint="eastAsia" w:ascii="仿宋_GB2312" w:eastAsia="仿宋_GB2312"/>
          <w:sz w:val="28"/>
          <w:szCs w:val="28"/>
          <w:lang w:val="en-US" w:eastAsia="zh-CN"/>
        </w:rPr>
        <w:t>96.65</w:t>
      </w:r>
      <w:r>
        <w:rPr>
          <w:rFonts w:hint="eastAsia" w:ascii="仿宋_GB2312" w:eastAsia="仿宋_GB2312"/>
          <w:sz w:val="28"/>
          <w:szCs w:val="28"/>
        </w:rPr>
        <w:t>%；项目支出</w:t>
      </w:r>
      <w:r>
        <w:rPr>
          <w:rFonts w:hint="eastAsia" w:ascii="仿宋_GB2312" w:eastAsia="仿宋_GB2312"/>
          <w:sz w:val="28"/>
          <w:szCs w:val="28"/>
          <w:lang w:val="en-US" w:eastAsia="zh-CN"/>
        </w:rPr>
        <w:t>8.3648</w:t>
      </w:r>
      <w:r>
        <w:rPr>
          <w:rFonts w:hint="eastAsia" w:ascii="仿宋_GB2312" w:eastAsia="仿宋_GB2312"/>
          <w:sz w:val="28"/>
          <w:szCs w:val="28"/>
        </w:rPr>
        <w:t>万元，占支出合计的</w:t>
      </w:r>
      <w:r>
        <w:rPr>
          <w:rFonts w:hint="eastAsia" w:ascii="仿宋_GB2312" w:eastAsia="仿宋_GB2312"/>
          <w:sz w:val="28"/>
          <w:szCs w:val="28"/>
          <w:lang w:val="en-US" w:eastAsia="zh-CN"/>
        </w:rPr>
        <w:t>3.35</w:t>
      </w:r>
      <w:r>
        <w:rPr>
          <w:rFonts w:hint="eastAsia" w:ascii="仿宋_GB2312" w:eastAsia="仿宋_GB2312"/>
          <w:sz w:val="28"/>
          <w:szCs w:val="28"/>
        </w:rPr>
        <w:t>%;上缴上级支出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0.00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numPr>
          <w:ilvl w:val="0"/>
          <w:numId w:val="1"/>
        </w:numPr>
        <w:snapToGrid w:val="0"/>
        <w:spacing w:line="520" w:lineRule="exact"/>
        <w:ind w:left="0" w:leftChars="0" w:firstLine="560" w:firstLineChars="200"/>
        <w:rPr>
          <w:rFonts w:hint="eastAsia" w:ascii="仿宋_GB2312" w:eastAsia="仿宋_GB2312"/>
          <w:color w:val="0000FF"/>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年度财政拨款收</w:t>
      </w:r>
      <w:r>
        <w:rPr>
          <w:rFonts w:hint="eastAsia" w:ascii="仿宋_GB2312" w:eastAsia="仿宋_GB2312"/>
          <w:sz w:val="28"/>
          <w:szCs w:val="28"/>
          <w:lang w:eastAsia="zh-CN"/>
        </w:rPr>
        <w:t>入总计</w:t>
      </w:r>
      <w:r>
        <w:rPr>
          <w:rFonts w:hint="eastAsia" w:ascii="仿宋_GB2312" w:eastAsia="仿宋_GB2312"/>
          <w:sz w:val="28"/>
          <w:szCs w:val="28"/>
          <w:lang w:val="en-US" w:eastAsia="zh-CN"/>
        </w:rPr>
        <w:t>247.573589</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31.421044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12.69</w:t>
      </w:r>
      <w:r>
        <w:rPr>
          <w:rFonts w:hint="eastAsia" w:ascii="仿宋_GB2312" w:eastAsia="仿宋_GB2312"/>
          <w:sz w:val="28"/>
          <w:szCs w:val="28"/>
        </w:rPr>
        <w:t>%。</w:t>
      </w:r>
      <w:r>
        <w:rPr>
          <w:rFonts w:hint="eastAsia" w:ascii="仿宋_GB2312" w:eastAsia="仿宋_GB2312"/>
          <w:sz w:val="28"/>
          <w:szCs w:val="28"/>
          <w:lang w:val="en-US" w:eastAsia="zh-CN"/>
        </w:rPr>
        <w:t>2021年度财政拨款支出</w:t>
      </w:r>
      <w:r>
        <w:rPr>
          <w:rFonts w:hint="eastAsia" w:ascii="仿宋_GB2312" w:eastAsia="仿宋_GB2312"/>
          <w:sz w:val="28"/>
          <w:szCs w:val="28"/>
        </w:rPr>
        <w:t>总计</w:t>
      </w:r>
      <w:r>
        <w:rPr>
          <w:rFonts w:hint="eastAsia" w:ascii="仿宋_GB2312" w:eastAsia="仿宋_GB2312"/>
          <w:sz w:val="28"/>
          <w:szCs w:val="28"/>
          <w:lang w:val="en-US" w:eastAsia="zh-CN"/>
        </w:rPr>
        <w:t>250.044189万元，</w:t>
      </w:r>
      <w:r>
        <w:rPr>
          <w:rFonts w:ascii="仿宋_GB2312" w:eastAsia="仿宋_GB2312"/>
          <w:sz w:val="28"/>
          <w:szCs w:val="28"/>
        </w:rPr>
        <w:t>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24.950444</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11.58</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hAnsi="仿宋" w:eastAsia="仿宋_GB2312"/>
          <w:color w:val="0000FF"/>
          <w:sz w:val="28"/>
          <w:szCs w:val="28"/>
          <w:lang w:val="en-US" w:eastAsia="zh-CN"/>
        </w:rPr>
        <w:t>本单位厉行节约，支出减少。</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250.044189</w:t>
      </w:r>
      <w:r>
        <w:rPr>
          <w:rFonts w:hint="eastAsia" w:ascii="仿宋_GB2312" w:eastAsia="仿宋_GB2312"/>
          <w:sz w:val="28"/>
          <w:szCs w:val="28"/>
        </w:rPr>
        <w:t>万元，主要用于以下方面（按大类）：</w:t>
      </w:r>
      <w:r>
        <w:rPr>
          <w:rFonts w:hint="eastAsia" w:ascii="仿宋_GB2312" w:eastAsia="仿宋_GB2312"/>
          <w:sz w:val="28"/>
          <w:szCs w:val="28"/>
          <w:lang w:eastAsia="zh-CN"/>
        </w:rPr>
        <w:t>教育支出</w:t>
      </w:r>
      <w:r>
        <w:rPr>
          <w:rFonts w:hint="eastAsia" w:ascii="仿宋_GB2312" w:eastAsia="仿宋_GB2312"/>
          <w:sz w:val="28"/>
          <w:szCs w:val="28"/>
          <w:lang w:val="en-US" w:eastAsia="zh-CN"/>
        </w:rPr>
        <w:t>0.08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0.03</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28.492568万元，占本年财政拨款支出11.40%；农林水支出184.007117万元，占本年财政拨款支出73.59%；住房保障支出37.464504万元，占本年财政拨款支出14.98%</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1、“</w:t>
      </w:r>
      <w:r>
        <w:rPr>
          <w:rFonts w:hint="eastAsia" w:ascii="仿宋_GB2312" w:eastAsia="仿宋_GB2312"/>
          <w:sz w:val="28"/>
          <w:szCs w:val="28"/>
          <w:lang w:eastAsia="zh-CN"/>
        </w:rPr>
        <w:t>教育支出</w:t>
      </w:r>
      <w:r>
        <w:rPr>
          <w:rFonts w:hint="eastAsia" w:ascii="仿宋_GB2312" w:eastAsia="仿宋_GB2312"/>
          <w:sz w:val="28"/>
          <w:szCs w:val="28"/>
        </w:rPr>
        <w:t>”（类）202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0.08</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0.3250</w:t>
      </w:r>
      <w:r>
        <w:rPr>
          <w:rFonts w:hint="eastAsia" w:ascii="仿宋_GB2312" w:eastAsia="仿宋_GB2312"/>
          <w:sz w:val="28"/>
          <w:szCs w:val="28"/>
        </w:rPr>
        <w:t>万元，下降</w:t>
      </w:r>
      <w:r>
        <w:rPr>
          <w:rFonts w:hint="eastAsia" w:ascii="仿宋_GB2312" w:eastAsia="仿宋_GB2312"/>
          <w:sz w:val="28"/>
          <w:szCs w:val="28"/>
          <w:lang w:val="en-US" w:eastAsia="zh-CN"/>
        </w:rPr>
        <w:t>80.25</w:t>
      </w:r>
      <w:r>
        <w:rPr>
          <w:rFonts w:hint="eastAsia" w:ascii="仿宋_GB2312" w:eastAsia="仿宋_GB2312"/>
          <w:sz w:val="28"/>
          <w:szCs w:val="28"/>
        </w:rPr>
        <w:t>%。其中：“</w:t>
      </w:r>
      <w:r>
        <w:rPr>
          <w:rFonts w:hint="eastAsia" w:ascii="仿宋_GB2312" w:eastAsia="仿宋_GB2312"/>
          <w:sz w:val="28"/>
          <w:szCs w:val="28"/>
          <w:lang w:eastAsia="zh-CN"/>
        </w:rPr>
        <w:t>培训支出</w:t>
      </w:r>
      <w:r>
        <w:rPr>
          <w:rFonts w:hint="eastAsia" w:ascii="仿宋_GB2312" w:eastAsia="仿宋_GB2312"/>
          <w:sz w:val="28"/>
          <w:szCs w:val="28"/>
        </w:rPr>
        <w:t>”（款，下同）202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0.08万</w:t>
      </w:r>
      <w:r>
        <w:rPr>
          <w:rFonts w:hint="eastAsia" w:ascii="仿宋_GB2312" w:eastAsia="仿宋_GB2312"/>
          <w:sz w:val="28"/>
          <w:szCs w:val="28"/>
        </w:rPr>
        <w:t>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0.3250</w:t>
      </w:r>
      <w:r>
        <w:rPr>
          <w:rFonts w:hint="eastAsia" w:ascii="仿宋_GB2312" w:eastAsia="仿宋_GB2312"/>
          <w:sz w:val="28"/>
          <w:szCs w:val="28"/>
        </w:rPr>
        <w:t>万元，下降</w:t>
      </w:r>
      <w:r>
        <w:rPr>
          <w:rFonts w:hint="eastAsia" w:ascii="仿宋_GB2312" w:eastAsia="仿宋_GB2312"/>
          <w:sz w:val="28"/>
          <w:szCs w:val="28"/>
          <w:lang w:val="en-US" w:eastAsia="zh-CN"/>
        </w:rPr>
        <w:t>80.25</w:t>
      </w:r>
      <w:r>
        <w:rPr>
          <w:rFonts w:hint="eastAsia" w:ascii="仿宋_GB2312" w:eastAsia="仿宋_GB2312"/>
          <w:sz w:val="28"/>
          <w:szCs w:val="28"/>
        </w:rPr>
        <w:t>%。主要原因：</w:t>
      </w:r>
      <w:r>
        <w:rPr>
          <w:rFonts w:hint="eastAsia" w:ascii="仿宋_GB2312" w:eastAsia="仿宋_GB2312"/>
          <w:sz w:val="28"/>
          <w:szCs w:val="28"/>
          <w:lang w:eastAsia="zh-CN"/>
        </w:rPr>
        <w:t>本单位厉行节约，严格控制培训经费支出。</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28.492568</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5.574232</w:t>
      </w:r>
      <w:r>
        <w:rPr>
          <w:rFonts w:hint="eastAsia" w:ascii="仿宋_GB2312" w:eastAsia="仿宋_GB2312"/>
          <w:sz w:val="28"/>
          <w:szCs w:val="28"/>
        </w:rPr>
        <w:t>万元，下降</w:t>
      </w:r>
      <w:r>
        <w:rPr>
          <w:rFonts w:hint="eastAsia" w:ascii="仿宋_GB2312" w:eastAsia="仿宋_GB2312"/>
          <w:sz w:val="28"/>
          <w:szCs w:val="28"/>
          <w:lang w:val="en-US" w:eastAsia="zh-CN"/>
        </w:rPr>
        <w:t>16.36</w:t>
      </w:r>
      <w:r>
        <w:rPr>
          <w:rFonts w:hint="eastAsia" w:ascii="仿宋_GB2312" w:eastAsia="仿宋_GB2312"/>
          <w:sz w:val="28"/>
          <w:szCs w:val="28"/>
        </w:rPr>
        <w:t>%。其中：“</w:t>
      </w:r>
      <w:r>
        <w:rPr>
          <w:rFonts w:hint="eastAsia" w:ascii="仿宋_GB2312" w:eastAsia="仿宋_GB2312"/>
          <w:sz w:val="28"/>
          <w:szCs w:val="28"/>
          <w:lang w:eastAsia="zh-CN"/>
        </w:rPr>
        <w:t>行政事业单位养老支出</w:t>
      </w:r>
      <w:r>
        <w:rPr>
          <w:rFonts w:hint="eastAsia" w:ascii="仿宋_GB2312" w:eastAsia="仿宋_GB2312"/>
          <w:sz w:val="28"/>
          <w:szCs w:val="28"/>
        </w:rPr>
        <w:t>”（款）202</w:t>
      </w:r>
      <w:r>
        <w:rPr>
          <w:rFonts w:ascii="仿宋_GB2312" w:eastAsia="仿宋_GB2312"/>
          <w:sz w:val="28"/>
          <w:szCs w:val="28"/>
        </w:rPr>
        <w:t>1</w:t>
      </w:r>
      <w:r>
        <w:rPr>
          <w:rFonts w:hint="eastAsia" w:ascii="仿宋_GB2312" w:eastAsia="仿宋_GB2312"/>
          <w:sz w:val="28"/>
          <w:szCs w:val="28"/>
        </w:rPr>
        <w:t>年度决算</w:t>
      </w:r>
      <w:r>
        <w:rPr>
          <w:rFonts w:hint="eastAsia" w:ascii="仿宋_GB2312" w:eastAsia="仿宋_GB2312"/>
          <w:sz w:val="28"/>
          <w:szCs w:val="28"/>
          <w:lang w:val="en-US" w:eastAsia="zh-CN"/>
        </w:rPr>
        <w:t>24.492568</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年年初预算减少</w:t>
      </w:r>
      <w:r>
        <w:rPr>
          <w:rFonts w:hint="eastAsia" w:ascii="仿宋_GB2312" w:eastAsia="仿宋_GB2312"/>
          <w:sz w:val="28"/>
          <w:szCs w:val="28"/>
          <w:lang w:val="en-US" w:eastAsia="zh-CN"/>
        </w:rPr>
        <w:t>5.574232</w:t>
      </w:r>
      <w:r>
        <w:rPr>
          <w:rFonts w:hint="eastAsia" w:ascii="仿宋_GB2312" w:eastAsia="仿宋_GB2312"/>
          <w:sz w:val="28"/>
          <w:szCs w:val="28"/>
        </w:rPr>
        <w:t>万元，下降</w:t>
      </w:r>
      <w:r>
        <w:rPr>
          <w:rFonts w:hint="eastAsia" w:ascii="仿宋_GB2312" w:eastAsia="仿宋_GB2312"/>
          <w:sz w:val="28"/>
          <w:szCs w:val="28"/>
          <w:lang w:val="en-US" w:eastAsia="zh-CN"/>
        </w:rPr>
        <w:t>16.36</w:t>
      </w:r>
      <w:r>
        <w:rPr>
          <w:rFonts w:hint="eastAsia" w:ascii="仿宋_GB2312" w:eastAsia="仿宋_GB2312"/>
          <w:sz w:val="28"/>
          <w:szCs w:val="28"/>
        </w:rPr>
        <w:t>%。主要原因：</w:t>
      </w:r>
      <w:r>
        <w:rPr>
          <w:rFonts w:hint="eastAsia" w:ascii="仿宋_GB2312" w:eastAsia="仿宋_GB2312"/>
          <w:sz w:val="28"/>
          <w:szCs w:val="28"/>
          <w:lang w:val="en-US" w:eastAsia="zh-CN"/>
        </w:rPr>
        <w:t>本单位以实际出发，厉行节约，此项支出有所下降。</w:t>
      </w:r>
    </w:p>
    <w:p>
      <w:pPr>
        <w:pStyle w:val="2"/>
        <w:rPr>
          <w:rFonts w:hint="eastAsia" w:ascii="仿宋_GB2312" w:eastAsia="仿宋_GB2312"/>
          <w:sz w:val="28"/>
          <w:szCs w:val="28"/>
          <w:lang w:val="en-US" w:eastAsia="zh-CN"/>
        </w:rPr>
      </w:pPr>
      <w:r>
        <w:rPr>
          <w:rFonts w:hint="eastAsia" w:ascii="仿宋_GB2312" w:eastAsia="仿宋_GB2312"/>
          <w:sz w:val="28"/>
          <w:szCs w:val="28"/>
          <w:lang w:val="en-US" w:eastAsia="zh-CN"/>
        </w:rPr>
        <w:t>3、“农林水支出”（类）2021年决算184.007117万元，比2021年初预算减少62.172283万元，下降25.25%。其中：“农业农村”（款）2021年度决算184.007117万元，比2021年初预算减少62.172283万元，下降25.25%。主要原因：本单位以实际出发，厉行节约，此项支出有所下降。</w:t>
      </w:r>
    </w:p>
    <w:p>
      <w:pPr>
        <w:pStyle w:val="2"/>
        <w:rPr>
          <w:rFonts w:hint="default" w:ascii="仿宋_GB2312" w:eastAsia="仿宋_GB2312"/>
          <w:sz w:val="28"/>
          <w:szCs w:val="28"/>
          <w:lang w:val="en-US" w:eastAsia="zh-CN"/>
        </w:rPr>
      </w:pPr>
      <w:r>
        <w:rPr>
          <w:rFonts w:hint="eastAsia" w:ascii="仿宋_GB2312" w:eastAsia="仿宋_GB2312"/>
          <w:sz w:val="28"/>
          <w:szCs w:val="28"/>
          <w:lang w:val="en-US" w:eastAsia="zh-CN"/>
        </w:rPr>
        <w:t>4、“住房保障支出”（类）2021年决算37.464504万元，比2021年初预算减少6.079596万元，下降13.96%。其中：“住房改革支出”（款）2021年决算37.464504万元，比2021年初预算减少6.079596万元，下降13.96%。主要原因：本单位以实际出发，厉行节约，此项支出有所下降。</w:t>
      </w:r>
    </w:p>
    <w:p>
      <w:pPr>
        <w:pStyle w:val="2"/>
        <w:rPr>
          <w:rFonts w:hint="eastAsia" w:ascii="仿宋_GB2312" w:eastAsia="仿宋_GB2312"/>
          <w:sz w:val="28"/>
          <w:szCs w:val="28"/>
        </w:rPr>
      </w:pPr>
      <w:r>
        <w:rPr>
          <w:rFonts w:hint="eastAsia" w:ascii="黑体" w:eastAsia="黑体"/>
          <w:b/>
          <w:sz w:val="28"/>
          <w:szCs w:val="28"/>
        </w:rPr>
        <w:t>五、政府性基金预算财政拨款支出决算情况说明</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本年度无此项支出</w:t>
      </w:r>
      <w:r>
        <w:rPr>
          <w:rFonts w:hint="eastAsia" w:ascii="仿宋_GB2312" w:eastAsia="仿宋_GB2312"/>
          <w:sz w:val="28"/>
          <w:szCs w:val="28"/>
          <w:lang w:eastAsia="zh-CN"/>
        </w:rPr>
        <w:t>。</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年使用一般公共预算财政拨款安排基本支出</w:t>
      </w:r>
      <w:r>
        <w:rPr>
          <w:rFonts w:hint="eastAsia" w:ascii="仿宋_GB2312" w:eastAsia="仿宋_GB2312"/>
          <w:sz w:val="28"/>
          <w:szCs w:val="28"/>
          <w:lang w:val="en-US" w:eastAsia="zh-CN"/>
        </w:rPr>
        <w:t>241.679389</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w:t>
      </w:r>
      <w:r>
        <w:rPr>
          <w:rFonts w:hint="eastAsia" w:ascii="仿宋_GB2312" w:eastAsia="仿宋_GB2312"/>
          <w:sz w:val="28"/>
          <w:szCs w:val="28"/>
          <w:lang w:eastAsia="zh-CN"/>
        </w:rPr>
        <w:t>是</w:t>
      </w:r>
      <w:r>
        <w:rPr>
          <w:rFonts w:hint="eastAsia" w:ascii="仿宋_GB2312" w:eastAsia="仿宋_GB2312"/>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事业单位。202</w:t>
      </w:r>
      <w:r>
        <w:rPr>
          <w:rFonts w:ascii="仿宋_GB2312" w:eastAsia="仿宋_GB2312"/>
          <w:sz w:val="28"/>
          <w:szCs w:val="28"/>
        </w:rPr>
        <w:t>1</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0.1080</w:t>
      </w:r>
      <w:r>
        <w:rPr>
          <w:rFonts w:hint="eastAsia" w:ascii="仿宋_GB2312" w:eastAsia="仿宋_GB2312"/>
          <w:sz w:val="28"/>
          <w:szCs w:val="28"/>
        </w:rPr>
        <w:t>万元减少</w:t>
      </w:r>
      <w:r>
        <w:rPr>
          <w:rFonts w:hint="eastAsia" w:ascii="仿宋_GB2312" w:eastAsia="仿宋_GB2312"/>
          <w:sz w:val="28"/>
          <w:szCs w:val="28"/>
          <w:lang w:val="en-US" w:eastAsia="zh-CN"/>
        </w:rPr>
        <w:t>0.1080</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0.00</w:t>
      </w:r>
      <w:r>
        <w:rPr>
          <w:rFonts w:hint="eastAsia" w:ascii="仿宋_GB2312" w:eastAsia="仿宋_GB2312"/>
          <w:sz w:val="28"/>
          <w:szCs w:val="28"/>
        </w:rPr>
        <w:t>万元增加</w:t>
      </w:r>
      <w:r>
        <w:rPr>
          <w:rFonts w:hint="eastAsia" w:ascii="仿宋_GB2312" w:eastAsia="仿宋_GB2312"/>
          <w:sz w:val="28"/>
          <w:szCs w:val="28"/>
          <w:lang w:val="en-US" w:eastAsia="zh-CN"/>
        </w:rPr>
        <w:t>0.00</w:t>
      </w:r>
      <w:r>
        <w:rPr>
          <w:rFonts w:hint="eastAsia" w:ascii="仿宋_GB2312" w:eastAsia="仿宋_GB2312"/>
          <w:sz w:val="28"/>
          <w:szCs w:val="28"/>
        </w:rPr>
        <w:t>万元。主要原因：</w:t>
      </w:r>
      <w:r>
        <w:rPr>
          <w:rFonts w:hint="eastAsia" w:ascii="仿宋_GB2312" w:eastAsia="仿宋_GB2312"/>
          <w:sz w:val="28"/>
          <w:szCs w:val="28"/>
          <w:lang w:eastAsia="zh-CN"/>
        </w:rPr>
        <w:t>本单位本年度无此项支出安排</w:t>
      </w:r>
      <w:r>
        <w:rPr>
          <w:rFonts w:hint="eastAsia" w:ascii="仿宋_GB2312" w:eastAsia="仿宋_GB2312"/>
          <w:sz w:val="28"/>
          <w:szCs w:val="28"/>
        </w:rPr>
        <w:t>。</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0.1978</w:t>
      </w:r>
      <w:r>
        <w:rPr>
          <w:rFonts w:hint="eastAsia" w:ascii="仿宋_GB2312" w:eastAsia="仿宋_GB2312"/>
          <w:sz w:val="28"/>
          <w:szCs w:val="28"/>
        </w:rPr>
        <w:t>万元减少</w:t>
      </w:r>
      <w:r>
        <w:rPr>
          <w:rFonts w:hint="eastAsia" w:ascii="仿宋_GB2312" w:eastAsia="仿宋_GB2312"/>
          <w:sz w:val="28"/>
          <w:szCs w:val="28"/>
          <w:lang w:val="en-US" w:eastAsia="zh-CN"/>
        </w:rPr>
        <w:t>0.1978</w:t>
      </w:r>
      <w:r>
        <w:rPr>
          <w:rFonts w:hint="eastAsia" w:ascii="仿宋_GB2312" w:eastAsia="仿宋_GB2312"/>
          <w:sz w:val="28"/>
          <w:szCs w:val="28"/>
        </w:rPr>
        <w:t>万元。主要原因：</w:t>
      </w:r>
      <w:r>
        <w:rPr>
          <w:rFonts w:hint="eastAsia" w:ascii="仿宋_GB2312" w:eastAsia="仿宋_GB2312"/>
          <w:sz w:val="28"/>
          <w:szCs w:val="28"/>
          <w:lang w:eastAsia="zh-CN"/>
        </w:rPr>
        <w:t>本单位本年度无此支出</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ascii="仿宋_GB2312" w:eastAsia="仿宋_GB2312"/>
          <w:sz w:val="28"/>
          <w:szCs w:val="28"/>
        </w:rPr>
        <w:t>1</w:t>
      </w:r>
      <w:r>
        <w:rPr>
          <w:rFonts w:hint="eastAsia" w:ascii="仿宋_GB2312" w:eastAsia="仿宋_GB2312"/>
          <w:sz w:val="28"/>
          <w:szCs w:val="28"/>
        </w:rPr>
        <w:t>年决算数</w:t>
      </w:r>
      <w:r>
        <w:rPr>
          <w:rFonts w:hint="eastAsia" w:ascii="仿宋_GB2312" w:eastAsia="仿宋_GB2312"/>
          <w:sz w:val="28"/>
          <w:szCs w:val="28"/>
          <w:lang w:val="en-US" w:eastAsia="zh-CN"/>
        </w:rPr>
        <w:t>0.00</w:t>
      </w:r>
      <w:r>
        <w:rPr>
          <w:rFonts w:hint="eastAsia" w:ascii="仿宋_GB2312" w:eastAsia="仿宋_GB2312"/>
          <w:sz w:val="28"/>
          <w:szCs w:val="28"/>
        </w:rPr>
        <w:t>万元，比202</w:t>
      </w:r>
      <w:r>
        <w:rPr>
          <w:rFonts w:ascii="仿宋_GB2312" w:eastAsia="仿宋_GB2312"/>
          <w:sz w:val="28"/>
          <w:szCs w:val="28"/>
        </w:rPr>
        <w:t>1</w:t>
      </w:r>
      <w:r>
        <w:rPr>
          <w:rFonts w:hint="eastAsia" w:ascii="仿宋_GB2312" w:eastAsia="仿宋_GB2312"/>
          <w:sz w:val="28"/>
          <w:szCs w:val="28"/>
        </w:rPr>
        <w:t>年年初预算数</w:t>
      </w:r>
      <w:r>
        <w:rPr>
          <w:rFonts w:hint="eastAsia" w:ascii="仿宋_GB2312" w:eastAsia="仿宋_GB2312"/>
          <w:sz w:val="28"/>
          <w:szCs w:val="28"/>
          <w:lang w:val="en-US" w:eastAsia="zh-CN"/>
        </w:rPr>
        <w:t>0.00</w:t>
      </w:r>
      <w:r>
        <w:rPr>
          <w:rFonts w:hint="eastAsia" w:ascii="仿宋_GB2312" w:eastAsia="仿宋_GB2312"/>
          <w:sz w:val="28"/>
          <w:szCs w:val="28"/>
        </w:rPr>
        <w:t>万元增加减少</w:t>
      </w:r>
      <w:r>
        <w:rPr>
          <w:rFonts w:hint="eastAsia" w:ascii="仿宋_GB2312" w:eastAsia="仿宋_GB2312"/>
          <w:sz w:val="28"/>
          <w:szCs w:val="28"/>
          <w:lang w:val="en-US" w:eastAsia="zh-CN"/>
        </w:rPr>
        <w:t>0.00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不属于机关运行经费统计范围</w:t>
      </w:r>
      <w:r>
        <w:rPr>
          <w:rFonts w:hint="eastAsia" w:ascii="仿宋_GB2312" w:eastAsia="仿宋_GB2312"/>
          <w:sz w:val="28"/>
          <w:szCs w:val="28"/>
          <w:lang w:eastAsia="zh-CN"/>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年政府采购支出总额</w:t>
      </w:r>
      <w:r>
        <w:rPr>
          <w:rFonts w:hint="eastAsia" w:ascii="仿宋_GB2312" w:eastAsia="仿宋_GB2312"/>
          <w:sz w:val="28"/>
          <w:szCs w:val="28"/>
          <w:lang w:val="en-US" w:eastAsia="zh-CN"/>
        </w:rPr>
        <w:t>1.2</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0.00</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0.00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1.2</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1.2</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1.2</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w:t>
      </w:r>
      <w:r>
        <w:rPr>
          <w:rFonts w:ascii="仿宋_GB2312" w:eastAsia="仿宋_GB2312"/>
          <w:sz w:val="28"/>
          <w:szCs w:val="28"/>
        </w:rPr>
        <w:t>1</w:t>
      </w:r>
      <w:r>
        <w:rPr>
          <w:rFonts w:hint="eastAsia" w:ascii="仿宋_GB2312" w:eastAsia="仿宋_GB2312"/>
          <w:sz w:val="28"/>
          <w:szCs w:val="28"/>
        </w:rPr>
        <w:t>年车辆</w:t>
      </w:r>
      <w:r>
        <w:rPr>
          <w:rFonts w:hint="eastAsia" w:ascii="仿宋_GB2312" w:eastAsia="仿宋_GB2312"/>
          <w:sz w:val="28"/>
          <w:szCs w:val="28"/>
          <w:lang w:val="en-US" w:eastAsia="zh-CN"/>
        </w:rPr>
        <w:t>0</w:t>
      </w:r>
      <w:r>
        <w:rPr>
          <w:rFonts w:hint="eastAsia" w:ascii="仿宋_GB2312" w:eastAsia="仿宋_GB2312"/>
          <w:sz w:val="28"/>
          <w:szCs w:val="28"/>
        </w:rPr>
        <w:t>台，</w:t>
      </w:r>
      <w:r>
        <w:rPr>
          <w:rFonts w:hint="eastAsia" w:ascii="仿宋_GB2312" w:eastAsia="仿宋_GB2312"/>
          <w:sz w:val="28"/>
          <w:szCs w:val="28"/>
          <w:lang w:eastAsia="zh-CN"/>
        </w:rPr>
        <w:t>原值</w:t>
      </w:r>
      <w:r>
        <w:rPr>
          <w:rFonts w:hint="eastAsia" w:ascii="仿宋_GB2312" w:eastAsia="仿宋_GB2312"/>
          <w:sz w:val="28"/>
          <w:szCs w:val="28"/>
          <w:lang w:val="en-US" w:eastAsia="zh-CN"/>
        </w:rPr>
        <w:t>0.00</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0</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60" w:firstLineChars="200"/>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spacing w:line="560" w:lineRule="exact"/>
        <w:ind w:firstLine="420" w:firstLineChars="150"/>
        <w:rPr>
          <w:rFonts w:hint="eastAsia" w:ascii="仿宋_GB2312" w:eastAsia="仿宋_GB2312"/>
          <w:sz w:val="28"/>
          <w:szCs w:val="28"/>
          <w:lang w:eastAsia="zh-CN"/>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lang w:eastAsia="zh-CN"/>
        </w:rPr>
        <w:t>。</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2021年政府购买服务决算</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632" w:firstLineChars="200"/>
        <w:rPr>
          <w:rFonts w:hint="eastAsia" w:ascii="黑体" w:eastAsia="黑体"/>
          <w:b/>
          <w:sz w:val="28"/>
          <w:szCs w:val="28"/>
          <w:highlight w:val="none"/>
        </w:rPr>
      </w:pPr>
      <w:r>
        <w:rPr>
          <w:rFonts w:hint="eastAsia" w:ascii="仿宋_GB2312" w:eastAsia="仿宋_GB2312"/>
          <w:b/>
          <w:color w:val="000000"/>
          <w:spacing w:val="-2"/>
          <w:sz w:val="32"/>
          <w:szCs w:val="32"/>
          <w:highlight w:val="none"/>
        </w:rPr>
        <w:t>（</w:t>
      </w:r>
      <w:r>
        <w:rPr>
          <w:rFonts w:hint="eastAsia" w:ascii="仿宋_GB2312" w:eastAsia="仿宋_GB2312"/>
          <w:b/>
          <w:color w:val="000000"/>
          <w:spacing w:val="-2"/>
          <w:sz w:val="32"/>
          <w:szCs w:val="32"/>
          <w:highlight w:val="none"/>
          <w:lang w:eastAsia="zh-CN"/>
        </w:rPr>
        <w:t>各部门</w:t>
      </w:r>
      <w:r>
        <w:rPr>
          <w:rFonts w:hint="eastAsia" w:ascii="仿宋_GB2312" w:eastAsia="仿宋_GB2312"/>
          <w:b/>
          <w:color w:val="000000"/>
          <w:spacing w:val="-2"/>
          <w:sz w:val="32"/>
          <w:szCs w:val="32"/>
          <w:highlight w:val="none"/>
          <w:lang w:val="en-US" w:eastAsia="zh-CN"/>
        </w:rPr>
        <w:t>/单位应</w:t>
      </w:r>
      <w:r>
        <w:rPr>
          <w:rFonts w:hint="eastAsia" w:ascii="仿宋_GB2312" w:eastAsia="仿宋_GB2312"/>
          <w:b/>
          <w:color w:val="000000"/>
          <w:spacing w:val="-2"/>
          <w:sz w:val="32"/>
          <w:szCs w:val="32"/>
          <w:highlight w:val="none"/>
          <w:lang w:eastAsia="zh-CN"/>
        </w:rPr>
        <w:t>增加本年</w:t>
      </w:r>
      <w:r>
        <w:rPr>
          <w:rFonts w:hint="eastAsia" w:ascii="仿宋_GB2312" w:eastAsia="仿宋_GB2312"/>
          <w:b/>
          <w:color w:val="000000"/>
          <w:spacing w:val="-2"/>
          <w:sz w:val="32"/>
          <w:szCs w:val="32"/>
          <w:highlight w:val="none"/>
          <w:lang w:val="en-US" w:eastAsia="zh-CN"/>
        </w:rPr>
        <w:t>使用的所有</w:t>
      </w:r>
      <w:r>
        <w:rPr>
          <w:rFonts w:hint="eastAsia" w:ascii="仿宋_GB2312" w:eastAsia="仿宋_GB2312"/>
          <w:b/>
          <w:color w:val="000000"/>
          <w:spacing w:val="-2"/>
          <w:sz w:val="32"/>
          <w:szCs w:val="32"/>
          <w:highlight w:val="none"/>
          <w:lang w:eastAsia="zh-CN"/>
        </w:rPr>
        <w:t>支出功能分类类级科目的名词解释）</w:t>
      </w:r>
    </w:p>
    <w:p>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2021年度</w:t>
      </w:r>
      <w:r>
        <w:rPr>
          <w:rFonts w:hint="eastAsia" w:ascii="黑体" w:eastAsia="黑体"/>
          <w:sz w:val="32"/>
          <w:szCs w:val="32"/>
        </w:rPr>
        <w:t>部门绩效评价情况</w:t>
      </w:r>
    </w:p>
    <w:p>
      <w:pPr>
        <w:ind w:firstLine="560" w:firstLineChars="200"/>
        <w:rPr>
          <w:rFonts w:hint="eastAsia" w:ascii="黑体" w:hAnsi="Times New Roman" w:eastAsia="黑体" w:cs="Times New Roman"/>
          <w:sz w:val="28"/>
          <w:szCs w:val="28"/>
          <w:highlight w:val="none"/>
          <w:lang w:eastAsia="zh-CN"/>
        </w:rPr>
      </w:pPr>
      <w:r>
        <w:rPr>
          <w:rFonts w:hint="eastAsia" w:ascii="仿宋_GB2312" w:eastAsia="仿宋_GB2312"/>
          <w:sz w:val="28"/>
          <w:szCs w:val="28"/>
        </w:rPr>
        <w:t>（部门填写以下一、二、三部分，二级单位仅填写三）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560" w:firstLineChars="200"/>
        <w:textAlignment w:val="auto"/>
        <w:rPr>
          <w:rFonts w:hint="eastAsia" w:ascii="黑体" w:hAnsi="Times New Roman" w:eastAsia="黑体" w:cs="Times New Roman"/>
          <w:sz w:val="28"/>
          <w:szCs w:val="28"/>
          <w:highlight w:val="none"/>
          <w:lang w:eastAsia="zh-CN"/>
        </w:rPr>
      </w:pPr>
      <w:r>
        <w:rPr>
          <w:rFonts w:hint="eastAsia" w:ascii="黑体" w:hAnsi="Times New Roman" w:eastAsia="黑体" w:cs="Times New Roman"/>
          <w:sz w:val="28"/>
          <w:szCs w:val="28"/>
          <w:highlight w:val="none"/>
          <w:lang w:eastAsia="zh-CN"/>
        </w:rPr>
        <w:t>部门整体绩效评价报告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rPr>
      </w:pPr>
      <w:r>
        <w:rPr>
          <w:rFonts w:hint="eastAsia" w:ascii="黑体" w:eastAsia="黑体"/>
          <w:sz w:val="28"/>
          <w:szCs w:val="28"/>
          <w:highlight w:val="none"/>
        </w:rPr>
        <w:t>二、项目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rPr>
        <w:t>三</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tbl>
      <w:tblPr>
        <w:tblStyle w:val="9"/>
        <w:tblW w:w="15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929"/>
        <w:gridCol w:w="1468"/>
        <w:gridCol w:w="2129"/>
        <w:gridCol w:w="2337"/>
        <w:gridCol w:w="1598"/>
        <w:gridCol w:w="1399"/>
        <w:gridCol w:w="1497"/>
        <w:gridCol w:w="1318"/>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Style w:val="27"/>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部门运转聘用人员经费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北京市丰台区渔政监督管理站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刘健</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63837681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0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31115</wp:posOffset>
                  </wp:positionV>
                  <wp:extent cx="1296035" cy="324485"/>
                  <wp:effectExtent l="0" t="0" r="18415" b="18415"/>
                  <wp:wrapNone/>
                  <wp:docPr id="5" name="直接箭头连接符_1"/>
                  <wp:cNvGraphicFramePr/>
                  <a:graphic xmlns:a="http://schemas.openxmlformats.org/drawingml/2006/main">
                    <a:graphicData uri="http://schemas.openxmlformats.org/drawingml/2006/picture">
                      <pic:pic xmlns:pic="http://schemas.openxmlformats.org/drawingml/2006/picture">
                        <pic:nvPicPr>
                          <pic:cNvPr id="5" name="直接箭头连接符_1"/>
                          <pic:cNvPicPr/>
                        </pic:nvPicPr>
                        <pic:blipFill>
                          <a:blip/>
                          <a:stretch>
                            <a:fillRect/>
                          </a:stretch>
                        </pic:blipFill>
                        <pic:spPr>
                          <a:xfrm>
                            <a:off x="0" y="0"/>
                            <a:ext cx="1296035" cy="32448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3.9348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完成收发报纸，内部卫生清理，垃圾清运等6项工作，小时工工资半月结一次，每次按其实际工作时长支付工资</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完成收发报纸，内部卫生清理，垃圾清运等6项工作，小时工工资半月结一次，每次按其实际工作时长支付工资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完成6项工作</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完成6项工作</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完成6项工作</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收发报纸，内部卫生，垃圾清运</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签订及实施日期</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1月1日</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1月1日</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3.9348万元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3.9348万元</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安全保障、清洁卫生</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安全保障、清洁卫生</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安全保障、清洁卫生</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支撑材料不够全面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聘用人员满意度100%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已提供满意度调查，但未总结说明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spacing w:line="480" w:lineRule="exact"/>
        <w:jc w:val="both"/>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tbl>
      <w:tblPr>
        <w:tblStyle w:val="9"/>
        <w:tblW w:w="15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928"/>
        <w:gridCol w:w="1469"/>
        <w:gridCol w:w="2129"/>
        <w:gridCol w:w="2338"/>
        <w:gridCol w:w="1597"/>
        <w:gridCol w:w="1399"/>
        <w:gridCol w:w="1497"/>
        <w:gridCol w:w="1318"/>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Style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北京市丰台区渔政监督管理站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刘健</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63837681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0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6" name="直接箭头连接符_1"/>
                  <wp:cNvGraphicFramePr/>
                  <a:graphic xmlns:a="http://schemas.openxmlformats.org/drawingml/2006/main">
                    <a:graphicData uri="http://schemas.openxmlformats.org/drawingml/2006/picture">
                      <pic:pic xmlns:pic="http://schemas.openxmlformats.org/drawingml/2006/picture">
                        <pic:nvPicPr>
                          <pic:cNvPr id="6"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我单位2020年在职职工9人，每年264个工作日，能顺利保障全站执法人员2021年度中午基本用餐需求。</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我单位2020年在职职工8人（1人于2020年10月退休），每年264个工作日，能顺利保障全站执法人员2021年度中午基本用餐需求。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完成2021年工作日午餐保障</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每年264个工作日的午餐需求</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每年264个工作日的午餐需求</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满足各项质量要求</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按月完成</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按月完成</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按月完成</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项目预算控制</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2.64万元</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保障职工工作效率</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保障职工工作效率</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保障职工工作效率</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效果资料量化程度有待加强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得到职工好评</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已提供满意度调查，但未总结说明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p>
      <w:pPr>
        <w:pStyle w:val="2"/>
        <w:rPr>
          <w:rFonts w:hint="eastAsia" w:ascii="黑体" w:eastAsia="黑体"/>
          <w:sz w:val="32"/>
          <w:szCs w:val="32"/>
        </w:rPr>
      </w:pPr>
    </w:p>
    <w:tbl>
      <w:tblPr>
        <w:tblStyle w:val="9"/>
        <w:tblW w:w="15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4"/>
        <w:gridCol w:w="928"/>
        <w:gridCol w:w="1469"/>
        <w:gridCol w:w="2129"/>
        <w:gridCol w:w="2338"/>
        <w:gridCol w:w="1597"/>
        <w:gridCol w:w="1399"/>
        <w:gridCol w:w="1497"/>
        <w:gridCol w:w="1318"/>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等线" w:eastAsia="仿宋_GB2312" w:cs="仿宋_GB2312"/>
                <w:i w:val="0"/>
                <w:color w:val="000000"/>
                <w:sz w:val="32"/>
                <w:szCs w:val="32"/>
                <w:u w:val="none"/>
              </w:rPr>
            </w:pPr>
            <w:r>
              <w:rPr>
                <w:rFonts w:hint="default" w:ascii="仿宋_GB2312" w:hAnsi="等线" w:eastAsia="仿宋_GB2312" w:cs="仿宋_GB2312"/>
                <w:i w:val="0"/>
                <w:color w:val="000000"/>
                <w:kern w:val="0"/>
                <w:sz w:val="32"/>
                <w:szCs w:val="32"/>
                <w:u w:val="none"/>
                <w:lang w:val="en-US" w:eastAsia="zh-CN" w:bidi="ar"/>
              </w:rPr>
              <w:t xml:space="preserve"> </w:t>
            </w:r>
            <w:r>
              <w:rPr>
                <w:rFonts w:hint="eastAsia" w:ascii="宋体" w:hAnsi="宋体" w:eastAsia="宋体" w:cs="宋体"/>
                <w:b/>
                <w:i w:val="0"/>
                <w:color w:val="000000"/>
                <w:kern w:val="0"/>
                <w:sz w:val="32"/>
                <w:szCs w:val="32"/>
                <w:u w:val="none"/>
                <w:lang w:val="en-US" w:eastAsia="zh-CN" w:bidi="ar"/>
              </w:rPr>
              <w:t>项目支出绩效自评表</w:t>
            </w:r>
            <w:r>
              <w:rPr>
                <w:rFonts w:hint="eastAsia" w:ascii="宋体" w:hAnsi="宋体" w:eastAsia="宋体" w:cs="宋体"/>
                <w:i w:val="0"/>
                <w:color w:val="000000"/>
                <w:kern w:val="0"/>
                <w:sz w:val="32"/>
                <w:szCs w:val="3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508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水产品质量安全监测项目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北京市丰台区农业农村局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北京市丰台区渔政监督管理站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刘健</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457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63837681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0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single" w:color="000000" w:sz="8"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28575</wp:posOffset>
                  </wp:positionV>
                  <wp:extent cx="1294765" cy="314325"/>
                  <wp:effectExtent l="0" t="0" r="635" b="9525"/>
                  <wp:wrapNone/>
                  <wp:docPr id="7" name="直接箭头连接符_1"/>
                  <wp:cNvGraphicFramePr/>
                  <a:graphic xmlns:a="http://schemas.openxmlformats.org/drawingml/2006/main">
                    <a:graphicData uri="http://schemas.openxmlformats.org/drawingml/2006/picture">
                      <pic:pic xmlns:pic="http://schemas.openxmlformats.org/drawingml/2006/picture">
                        <pic:nvPicPr>
                          <pic:cNvPr id="7" name="直接箭头连接符_1"/>
                          <pic:cNvPicPr/>
                        </pic:nvPicPr>
                        <pic:blipFill>
                          <a:blip/>
                          <a:stretch>
                            <a:fillRect/>
                          </a:stretch>
                        </pic:blipFill>
                        <pic:spPr>
                          <a:xfrm>
                            <a:off x="0" y="0"/>
                            <a:ext cx="1294765" cy="314325"/>
                          </a:xfrm>
                          <a:prstGeom prst="rect">
                            <a:avLst/>
                          </a:prstGeom>
                          <a:noFill/>
                          <a:ln>
                            <a:noFill/>
                          </a:ln>
                        </pic:spPr>
                      </pic:pic>
                    </a:graphicData>
                  </a:graphic>
                </wp:anchor>
              </w:drawing>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分值（10分）</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执行率（B/A)</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其中:当年财政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拨款</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上年结转资金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0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687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为有效的推进我区水产品质量安全监督管理工作，需要对辖区内养殖场、垂钓园开展违禁药物残留速测和实验室检测提供保障。</w:t>
            </w:r>
          </w:p>
        </w:tc>
        <w:tc>
          <w:tcPr>
            <w:tcW w:w="7570"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为有效的推进我区水产品质量安全监督管理工作，需要对辖区内养殖场、垂钓园开展违禁药物残留速测和实验室检测提供保障。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绩效指标</w:t>
            </w: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实际完成值(B)</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产出指标(50分)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对辖区内养殖场、垂钓园开展违禁药物残留速测和实验室检测提供保障，其中快速检测40个样品，实验室检测5个样品</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快速检测40个样品，实验室检测5个样品</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快速检测30个样品，实验室检测5个样品</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由于部分垂钓单位转型升级不再经营垂钓项目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保障水产品质量安全</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项目完成时间</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2021年底完成</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2021年底完成</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预算控制数</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1.7万元</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效果指标(30分)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抽样覆盖面100%</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抽样覆盖面100%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抽样覆盖面100%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支撑材料不够全面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4"/>
                <w:szCs w:val="24"/>
                <w:u w:val="none"/>
              </w:rPr>
            </w:pPr>
          </w:p>
        </w:tc>
        <w:tc>
          <w:tcPr>
            <w:tcW w:w="9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（10分）</w:t>
            </w:r>
          </w:p>
        </w:tc>
        <w:tc>
          <w:tcPr>
            <w:tcW w:w="14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服务对象满意度指标</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场户满意度100%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已提供满意度调查，但未总结说明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rPr>
          <w:rFonts w:hint="eastAsia" w:ascii="黑体" w:eastAsia="黑体"/>
          <w:sz w:val="32"/>
          <w:szCs w:val="32"/>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18214"/>
    <w:multiLevelType w:val="singleLevel"/>
    <w:tmpl w:val="BD718214"/>
    <w:lvl w:ilvl="0" w:tentative="0">
      <w:start w:val="2"/>
      <w:numFmt w:val="decimal"/>
      <w:suff w:val="nothing"/>
      <w:lvlText w:val="（%1）"/>
      <w:lvlJc w:val="left"/>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0C22E7"/>
    <w:rsid w:val="02210E88"/>
    <w:rsid w:val="03C52C77"/>
    <w:rsid w:val="03E21ED3"/>
    <w:rsid w:val="040C38D3"/>
    <w:rsid w:val="0A593F10"/>
    <w:rsid w:val="0B4F36D6"/>
    <w:rsid w:val="0EE45912"/>
    <w:rsid w:val="138057B1"/>
    <w:rsid w:val="13E87541"/>
    <w:rsid w:val="175E520D"/>
    <w:rsid w:val="19674DDC"/>
    <w:rsid w:val="1C96CAB6"/>
    <w:rsid w:val="1D352193"/>
    <w:rsid w:val="1DF3E524"/>
    <w:rsid w:val="1E9807B2"/>
    <w:rsid w:val="203845F6"/>
    <w:rsid w:val="219E7987"/>
    <w:rsid w:val="21E87E06"/>
    <w:rsid w:val="2518097F"/>
    <w:rsid w:val="25522DD3"/>
    <w:rsid w:val="27140EB9"/>
    <w:rsid w:val="27B232D3"/>
    <w:rsid w:val="28B80296"/>
    <w:rsid w:val="28D06AF8"/>
    <w:rsid w:val="28F14627"/>
    <w:rsid w:val="2A4E3146"/>
    <w:rsid w:val="2CDE1478"/>
    <w:rsid w:val="2DD30DB9"/>
    <w:rsid w:val="2FB73660"/>
    <w:rsid w:val="34A47632"/>
    <w:rsid w:val="391D590A"/>
    <w:rsid w:val="39876F44"/>
    <w:rsid w:val="3CFFD38A"/>
    <w:rsid w:val="3DF7BC2D"/>
    <w:rsid w:val="3EBF5716"/>
    <w:rsid w:val="3F84059D"/>
    <w:rsid w:val="42E2536A"/>
    <w:rsid w:val="46F34E76"/>
    <w:rsid w:val="47960A39"/>
    <w:rsid w:val="47C875F3"/>
    <w:rsid w:val="4CA810F8"/>
    <w:rsid w:val="4E703C3C"/>
    <w:rsid w:val="54FC7A47"/>
    <w:rsid w:val="555A6D40"/>
    <w:rsid w:val="59882DCE"/>
    <w:rsid w:val="5ACE2FA3"/>
    <w:rsid w:val="5BB81530"/>
    <w:rsid w:val="5BFB595D"/>
    <w:rsid w:val="5E5D1DB2"/>
    <w:rsid w:val="5EA35F6B"/>
    <w:rsid w:val="607600E6"/>
    <w:rsid w:val="60902DF2"/>
    <w:rsid w:val="62C560BB"/>
    <w:rsid w:val="635C7F6F"/>
    <w:rsid w:val="63E65B78"/>
    <w:rsid w:val="64464BB1"/>
    <w:rsid w:val="67CD0FFD"/>
    <w:rsid w:val="6AFB4B0B"/>
    <w:rsid w:val="6B981BC6"/>
    <w:rsid w:val="6C1545D1"/>
    <w:rsid w:val="6CB849E9"/>
    <w:rsid w:val="6F194E3D"/>
    <w:rsid w:val="6FB05B4D"/>
    <w:rsid w:val="71F00353"/>
    <w:rsid w:val="72461A26"/>
    <w:rsid w:val="73C70AFF"/>
    <w:rsid w:val="76A321E2"/>
    <w:rsid w:val="786A7FD2"/>
    <w:rsid w:val="78BF1DDB"/>
    <w:rsid w:val="7A785851"/>
    <w:rsid w:val="7C4A712C"/>
    <w:rsid w:val="7D08410F"/>
    <w:rsid w:val="D8FF64A3"/>
    <w:rsid w:val="E9BB220B"/>
    <w:rsid w:val="EF0F2CF3"/>
    <w:rsid w:val="F7FB4260"/>
    <w:rsid w:val="FAF98CF7"/>
    <w:rsid w:val="FEFF1A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paragraph" w:customStyle="1" w:styleId="13">
    <w:name w:val="Char Char3 Char Char"/>
    <w:basedOn w:val="1"/>
    <w:qFormat/>
    <w:uiPriority w:val="0"/>
    <w:rPr>
      <w:szCs w:val="21"/>
    </w:rPr>
  </w:style>
  <w:style w:type="paragraph" w:customStyle="1" w:styleId="14">
    <w:name w:val="Char1 Char Char Char"/>
    <w:basedOn w:val="1"/>
    <w:qFormat/>
    <w:uiPriority w:val="0"/>
    <w:pPr>
      <w:widowControl/>
      <w:spacing w:after="160" w:line="240" w:lineRule="exact"/>
      <w:jc w:val="left"/>
    </w:pPr>
    <w:rPr>
      <w:szCs w:val="20"/>
    </w:rPr>
  </w:style>
  <w:style w:type="paragraph" w:customStyle="1" w:styleId="15">
    <w:name w:val=" Char Char Char Char Char Char Char"/>
    <w:basedOn w:val="1"/>
    <w:qFormat/>
    <w:uiPriority w:val="0"/>
    <w:rPr>
      <w:rFonts w:ascii="Tahoma" w:hAnsi="Tahoma"/>
      <w:sz w:val="24"/>
      <w:szCs w:val="20"/>
    </w:rPr>
  </w:style>
  <w:style w:type="paragraph" w:customStyle="1" w:styleId="16">
    <w:name w:val="Char"/>
    <w:basedOn w:val="1"/>
    <w:qFormat/>
    <w:uiPriority w:val="0"/>
    <w:rPr>
      <w:rFonts w:ascii="Tahoma" w:hAnsi="Tahoma"/>
      <w:sz w:val="24"/>
      <w:szCs w:val="20"/>
    </w:rPr>
  </w:style>
  <w:style w:type="character" w:customStyle="1" w:styleId="17">
    <w:name w:val="页眉 Char"/>
    <w:link w:val="7"/>
    <w:qFormat/>
    <w:uiPriority w:val="0"/>
    <w:rPr>
      <w:rFonts w:ascii="Calibri" w:hAnsi="Calibri" w:eastAsia="宋体"/>
      <w:kern w:val="2"/>
      <w:sz w:val="18"/>
      <w:szCs w:val="18"/>
      <w:lang w:val="en-US" w:eastAsia="zh-CN" w:bidi="ar-SA"/>
    </w:rPr>
  </w:style>
  <w:style w:type="character" w:customStyle="1" w:styleId="18">
    <w:name w:val="页脚 Char"/>
    <w:link w:val="6"/>
    <w:qFormat/>
    <w:uiPriority w:val="0"/>
    <w:rPr>
      <w:rFonts w:eastAsia="宋体"/>
      <w:kern w:val="2"/>
      <w:sz w:val="18"/>
      <w:szCs w:val="18"/>
      <w:lang w:val="en-US" w:eastAsia="zh-CN" w:bidi="ar-SA"/>
    </w:rPr>
  </w:style>
  <w:style w:type="character" w:customStyle="1" w:styleId="19">
    <w:name w:val="font71"/>
    <w:basedOn w:val="10"/>
    <w:qFormat/>
    <w:uiPriority w:val="0"/>
    <w:rPr>
      <w:rFonts w:hint="default" w:ascii="仿宋_GB2312" w:eastAsia="仿宋_GB2312" w:cs="仿宋_GB2312"/>
      <w:color w:val="000000"/>
      <w:sz w:val="32"/>
      <w:szCs w:val="32"/>
      <w:u w:val="none"/>
    </w:rPr>
  </w:style>
  <w:style w:type="character" w:customStyle="1" w:styleId="20">
    <w:name w:val="font21"/>
    <w:basedOn w:val="10"/>
    <w:qFormat/>
    <w:uiPriority w:val="0"/>
    <w:rPr>
      <w:rFonts w:hint="eastAsia" w:ascii="宋体" w:hAnsi="宋体" w:eastAsia="宋体" w:cs="宋体"/>
      <w:b/>
      <w:color w:val="000000"/>
      <w:sz w:val="32"/>
      <w:szCs w:val="32"/>
      <w:u w:val="none"/>
    </w:rPr>
  </w:style>
  <w:style w:type="character" w:customStyle="1" w:styleId="21">
    <w:name w:val="font11"/>
    <w:basedOn w:val="10"/>
    <w:qFormat/>
    <w:uiPriority w:val="0"/>
    <w:rPr>
      <w:rFonts w:hint="eastAsia" w:ascii="宋体" w:hAnsi="宋体" w:eastAsia="宋体" w:cs="宋体"/>
      <w:color w:val="000000"/>
      <w:sz w:val="32"/>
      <w:szCs w:val="32"/>
      <w:u w:val="none"/>
    </w:rPr>
  </w:style>
  <w:style w:type="character" w:customStyle="1" w:styleId="22">
    <w:name w:val="font41"/>
    <w:basedOn w:val="10"/>
    <w:qFormat/>
    <w:uiPriority w:val="0"/>
    <w:rPr>
      <w:rFonts w:hint="eastAsia" w:ascii="宋体" w:hAnsi="宋体" w:eastAsia="宋体" w:cs="宋体"/>
      <w:b/>
      <w:color w:val="000000"/>
      <w:sz w:val="32"/>
      <w:szCs w:val="32"/>
      <w:u w:val="none"/>
    </w:rPr>
  </w:style>
  <w:style w:type="character" w:customStyle="1" w:styleId="23">
    <w:name w:val="font51"/>
    <w:basedOn w:val="10"/>
    <w:qFormat/>
    <w:uiPriority w:val="0"/>
    <w:rPr>
      <w:rFonts w:hint="eastAsia" w:ascii="宋体" w:hAnsi="宋体" w:eastAsia="宋体" w:cs="宋体"/>
      <w:color w:val="000000"/>
      <w:sz w:val="32"/>
      <w:szCs w:val="32"/>
      <w:u w:val="none"/>
    </w:rPr>
  </w:style>
  <w:style w:type="character" w:customStyle="1" w:styleId="24">
    <w:name w:val="font61"/>
    <w:basedOn w:val="10"/>
    <w:qFormat/>
    <w:uiPriority w:val="0"/>
    <w:rPr>
      <w:rFonts w:hint="default" w:ascii="仿宋_GB2312" w:eastAsia="仿宋_GB2312" w:cs="仿宋_GB2312"/>
      <w:color w:val="000000"/>
      <w:sz w:val="32"/>
      <w:szCs w:val="32"/>
      <w:u w:val="none"/>
    </w:rPr>
  </w:style>
  <w:style w:type="character" w:customStyle="1" w:styleId="25">
    <w:name w:val="font01"/>
    <w:basedOn w:val="10"/>
    <w:qFormat/>
    <w:uiPriority w:val="0"/>
    <w:rPr>
      <w:rFonts w:hint="eastAsia" w:ascii="宋体" w:hAnsi="宋体" w:eastAsia="宋体" w:cs="宋体"/>
      <w:color w:val="000000"/>
      <w:sz w:val="32"/>
      <w:szCs w:val="32"/>
      <w:u w:val="none"/>
    </w:rPr>
  </w:style>
  <w:style w:type="character" w:customStyle="1" w:styleId="26">
    <w:name w:val="font81"/>
    <w:basedOn w:val="10"/>
    <w:qFormat/>
    <w:uiPriority w:val="0"/>
    <w:rPr>
      <w:rFonts w:hint="eastAsia" w:ascii="宋体" w:hAnsi="宋体" w:eastAsia="宋体" w:cs="宋体"/>
      <w:color w:val="000000"/>
      <w:sz w:val="32"/>
      <w:szCs w:val="32"/>
      <w:u w:val="none"/>
    </w:rPr>
  </w:style>
  <w:style w:type="character" w:customStyle="1" w:styleId="27">
    <w:name w:val="font91"/>
    <w:basedOn w:val="10"/>
    <w:uiPriority w:val="0"/>
    <w:rPr>
      <w:rFonts w:hint="eastAsia" w:ascii="宋体" w:hAnsi="宋体" w:eastAsia="宋体" w:cs="宋体"/>
      <w:b/>
      <w:color w:val="000000"/>
      <w:sz w:val="32"/>
      <w:szCs w:val="32"/>
      <w:u w:val="none"/>
    </w:rPr>
  </w:style>
  <w:style w:type="character" w:customStyle="1" w:styleId="28">
    <w:name w:val="font31"/>
    <w:basedOn w:val="10"/>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1560</Words>
  <Characters>8895</Characters>
  <Lines>74</Lines>
  <Paragraphs>20</Paragraphs>
  <TotalTime>0</TotalTime>
  <ScaleCrop>false</ScaleCrop>
  <LinksUpToDate>false</LinksUpToDate>
  <CharactersWithSpaces>10435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2017-07-09T07:16:00Z</dcterms:created>
  <dc:creator>Administrator</dc:creator>
  <cp:lastModifiedBy>x</cp:lastModifiedBy>
  <cp:lastPrinted>2022-05-26T18:27:00Z</cp:lastPrinted>
  <dcterms:modified xsi:type="dcterms:W3CDTF">2022-09-19T06:50:14Z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