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pStyle w:val="2"/>
        <w:rPr>
          <w:rFonts w:hint="eastAsia"/>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北京市丰台区种籽管理站</w:t>
      </w:r>
    </w:p>
    <w:p>
      <w:pPr>
        <w:jc w:val="center"/>
        <w:rPr>
          <w:rFonts w:ascii="黑体" w:eastAsia="黑体"/>
          <w:sz w:val="52"/>
          <w:szCs w:val="52"/>
        </w:rPr>
      </w:pPr>
      <w:r>
        <w:rPr>
          <w:rFonts w:hint="eastAsia" w:ascii="黑体" w:eastAsia="黑体"/>
          <w:sz w:val="72"/>
          <w:szCs w:val="72"/>
          <w:lang w:val="en-US" w:eastAsia="zh-CN"/>
        </w:rPr>
        <w:t xml:space="preserve"> </w:t>
      </w:r>
      <w:r>
        <w:rPr>
          <w:rFonts w:hint="eastAsia" w:ascii="黑体" w:eastAsia="黑体"/>
          <w:sz w:val="72"/>
          <w:szCs w:val="72"/>
        </w:rPr>
        <w:t>202</w:t>
      </w:r>
      <w:r>
        <w:rPr>
          <w:rFonts w:ascii="黑体" w:eastAsia="黑体"/>
          <w:sz w:val="72"/>
          <w:szCs w:val="72"/>
        </w:rPr>
        <w:t>1</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pStyle w:val="2"/>
        <w:rPr>
          <w:rFonts w:ascii="黑体" w:eastAsia="黑体"/>
          <w:sz w:val="52"/>
          <w:szCs w:val="52"/>
        </w:rPr>
      </w:pPr>
    </w:p>
    <w:p>
      <w:pPr>
        <w:pStyle w:val="2"/>
        <w:rPr>
          <w:rFonts w:ascii="黑体" w:eastAsia="黑体"/>
          <w:sz w:val="52"/>
          <w:szCs w:val="52"/>
        </w:rPr>
      </w:pPr>
    </w:p>
    <w:p>
      <w:pPr>
        <w:jc w:val="center"/>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ascii="宋体" w:hAnsi="宋体" w:cs="宋体"/>
          <w:bCs/>
          <w:spacing w:val="40"/>
          <w:kern w:val="0"/>
          <w:sz w:val="32"/>
          <w:szCs w:val="32"/>
        </w:rPr>
        <w:t>1</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ascii="宋体" w:hAnsi="宋体" w:cs="宋体"/>
          <w:spacing w:val="40"/>
          <w:kern w:val="0"/>
          <w:sz w:val="32"/>
          <w:szCs w:val="32"/>
        </w:rPr>
        <w:t>1</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2021年度部门决算报表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lang w:eastAsia="zh-CN"/>
        </w:rPr>
        <w:t>北京市丰台区种籽管理站</w:t>
      </w:r>
      <w:r>
        <w:rPr>
          <w:rFonts w:hint="eastAsia" w:ascii="仿宋_GB2312" w:eastAsia="仿宋_GB2312"/>
          <w:kern w:val="0"/>
          <w:sz w:val="28"/>
          <w:szCs w:val="28"/>
        </w:rPr>
        <w:t>202</w:t>
      </w:r>
      <w:r>
        <w:rPr>
          <w:rFonts w:hint="eastAsia" w:ascii="仿宋_GB2312" w:eastAsia="仿宋_GB2312"/>
          <w:kern w:val="0"/>
          <w:sz w:val="28"/>
          <w:szCs w:val="28"/>
          <w:lang w:val="en-US" w:eastAsia="zh-CN"/>
        </w:rPr>
        <w:t>1</w:t>
      </w:r>
      <w:r>
        <w:rPr>
          <w:rFonts w:hint="eastAsia" w:ascii="仿宋_GB2312" w:eastAsia="仿宋_GB2312"/>
          <w:kern w:val="0"/>
          <w:sz w:val="28"/>
          <w:szCs w:val="28"/>
        </w:rPr>
        <w:t>年度部门决算报表详见附件。</w:t>
      </w:r>
      <w:r>
        <w:rPr>
          <w:rFonts w:hint="eastAsia" w:ascii="仿宋_GB2312" w:hAnsi="宋体" w:eastAsia="仿宋_GB2312" w:cs="宋体"/>
          <w:bCs/>
          <w:spacing w:val="40"/>
          <w:kern w:val="0"/>
          <w:sz w:val="32"/>
          <w:szCs w:val="32"/>
        </w:rPr>
        <w:t>。</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widowControl/>
        <w:adjustRightInd w:val="0"/>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（一）</w:t>
      </w:r>
      <w:r>
        <w:rPr>
          <w:rFonts w:hint="eastAsia" w:ascii="仿宋_GB2312" w:eastAsia="仿宋_GB2312"/>
          <w:b w:val="0"/>
          <w:bCs/>
          <w:sz w:val="28"/>
          <w:szCs w:val="28"/>
        </w:rPr>
        <w:t>机构</w:t>
      </w:r>
      <w:r>
        <w:rPr>
          <w:rFonts w:ascii="仿宋_GB2312" w:eastAsia="仿宋_GB2312"/>
          <w:b w:val="0"/>
          <w:bCs/>
          <w:sz w:val="28"/>
          <w:szCs w:val="28"/>
        </w:rPr>
        <w:t>设置、</w:t>
      </w:r>
      <w:r>
        <w:rPr>
          <w:rFonts w:hint="eastAsia" w:ascii="仿宋_GB2312" w:eastAsia="仿宋_GB2312"/>
          <w:b w:val="0"/>
          <w:bCs/>
          <w:sz w:val="28"/>
          <w:szCs w:val="28"/>
        </w:rPr>
        <w:t>职责</w:t>
      </w:r>
      <w:r>
        <w:rPr>
          <w:rFonts w:hint="eastAsia" w:ascii="仿宋_GB2312" w:eastAsia="仿宋_GB2312"/>
          <w:b w:val="0"/>
          <w:bCs/>
          <w:sz w:val="28"/>
          <w:szCs w:val="28"/>
          <w:lang w:val="en-US" w:eastAsia="zh-CN"/>
        </w:rPr>
        <w:t>:</w:t>
      </w:r>
      <w:r>
        <w:rPr>
          <w:rFonts w:hint="eastAsia" w:ascii="仿宋" w:hAnsi="仿宋" w:eastAsia="仿宋" w:cs="仿宋"/>
          <w:b w:val="0"/>
          <w:bCs/>
          <w:sz w:val="28"/>
          <w:szCs w:val="28"/>
        </w:rPr>
        <w:t>北京市丰台区</w:t>
      </w:r>
      <w:r>
        <w:rPr>
          <w:rFonts w:hint="eastAsia" w:ascii="仿宋" w:hAnsi="仿宋" w:eastAsia="仿宋" w:cs="仿宋"/>
          <w:b w:val="0"/>
          <w:bCs/>
          <w:sz w:val="28"/>
          <w:szCs w:val="28"/>
          <w:lang w:eastAsia="zh-CN"/>
        </w:rPr>
        <w:t>种籽管理站</w:t>
      </w:r>
      <w:r>
        <w:rPr>
          <w:rFonts w:hint="eastAsia" w:ascii="仿宋" w:hAnsi="仿宋" w:eastAsia="仿宋" w:cs="仿宋"/>
          <w:b w:val="0"/>
          <w:bCs/>
          <w:sz w:val="28"/>
          <w:szCs w:val="28"/>
        </w:rPr>
        <w:t>是</w:t>
      </w:r>
      <w:r>
        <w:rPr>
          <w:rFonts w:hint="eastAsia" w:ascii="仿宋" w:hAnsi="仿宋" w:eastAsia="仿宋" w:cs="仿宋"/>
          <w:b w:val="0"/>
          <w:bCs/>
          <w:sz w:val="28"/>
          <w:szCs w:val="28"/>
          <w:lang w:eastAsia="zh-CN"/>
        </w:rPr>
        <w:t>区农业农村局下属</w:t>
      </w:r>
      <w:r>
        <w:rPr>
          <w:rFonts w:hint="eastAsia" w:ascii="仿宋" w:hAnsi="仿宋" w:eastAsia="仿宋" w:cs="仿宋"/>
          <w:b w:val="0"/>
          <w:bCs/>
          <w:sz w:val="28"/>
          <w:szCs w:val="28"/>
        </w:rPr>
        <w:t>独立编制，独立核算的全额事业单位。</w:t>
      </w:r>
      <w:r>
        <w:rPr>
          <w:rFonts w:hint="eastAsia" w:ascii="仿宋" w:hAnsi="仿宋" w:eastAsia="仿宋" w:cs="仿宋"/>
          <w:b w:val="0"/>
          <w:bCs/>
          <w:sz w:val="28"/>
          <w:szCs w:val="28"/>
          <w:lang w:eastAsia="zh-CN"/>
        </w:rPr>
        <w:t>主要职责是：</w:t>
      </w:r>
      <w:r>
        <w:rPr>
          <w:rFonts w:hint="eastAsia" w:ascii="仿宋_GB2312" w:hAnsi="宋体" w:eastAsia="仿宋_GB2312" w:cs="宋体"/>
          <w:color w:val="auto"/>
          <w:spacing w:val="15"/>
          <w:kern w:val="0"/>
          <w:sz w:val="28"/>
          <w:szCs w:val="28"/>
          <w:lang w:val="en-US" w:eastAsia="zh-CN"/>
        </w:rPr>
        <w:t>1.</w:t>
      </w:r>
      <w:r>
        <w:rPr>
          <w:rFonts w:hint="eastAsia" w:ascii="仿宋_GB2312" w:hAnsi="宋体" w:eastAsia="仿宋_GB2312" w:cs="宋体"/>
          <w:color w:val="auto"/>
          <w:spacing w:val="15"/>
          <w:kern w:val="0"/>
          <w:sz w:val="28"/>
          <w:szCs w:val="28"/>
        </w:rPr>
        <w:t>对丰台区所辖范围内的农作物种籽、生产经营活动进行行业管理和规范执法，核发、检验种籽生产、经营许可证</w:t>
      </w:r>
      <w:r>
        <w:rPr>
          <w:rFonts w:hint="eastAsia" w:ascii="仿宋_GB2312" w:hAnsi="宋体" w:eastAsia="仿宋_GB2312" w:cs="宋体"/>
          <w:color w:val="auto"/>
          <w:spacing w:val="15"/>
          <w:kern w:val="0"/>
          <w:sz w:val="28"/>
          <w:szCs w:val="28"/>
          <w:lang w:eastAsia="zh-CN"/>
        </w:rPr>
        <w:t>，对种籽质量进行检测鉴定。</w:t>
      </w:r>
      <w:r>
        <w:rPr>
          <w:rFonts w:hint="eastAsia" w:ascii="仿宋_GB2312" w:hAnsi="宋体" w:eastAsia="仿宋_GB2312" w:cs="宋体"/>
          <w:color w:val="auto"/>
          <w:spacing w:val="15"/>
          <w:kern w:val="0"/>
          <w:sz w:val="28"/>
          <w:szCs w:val="28"/>
          <w:lang w:val="en-US" w:eastAsia="zh-CN"/>
        </w:rPr>
        <w:t>2.</w:t>
      </w:r>
      <w:r>
        <w:rPr>
          <w:rFonts w:hint="eastAsia" w:ascii="仿宋_GB2312" w:hAnsi="宋体" w:eastAsia="仿宋_GB2312" w:cs="宋体"/>
          <w:color w:val="auto"/>
          <w:spacing w:val="15"/>
          <w:kern w:val="0"/>
          <w:sz w:val="28"/>
          <w:szCs w:val="28"/>
        </w:rPr>
        <w:t>依法承担主管部门委托的监督抽查检验任务；负责全区种子质量监督检验和种子质量争议鉴定工作</w:t>
      </w:r>
      <w:r>
        <w:rPr>
          <w:rFonts w:hint="eastAsia" w:ascii="仿宋_GB2312" w:hAnsi="宋体" w:eastAsia="仿宋_GB2312" w:cs="宋体"/>
          <w:color w:val="auto"/>
          <w:spacing w:val="15"/>
          <w:kern w:val="0"/>
          <w:sz w:val="28"/>
          <w:szCs w:val="28"/>
          <w:lang w:eastAsia="zh-CN"/>
        </w:rPr>
        <w:t>；</w:t>
      </w:r>
      <w:r>
        <w:rPr>
          <w:rFonts w:hint="eastAsia" w:ascii="仿宋_GB2312" w:hAnsi="宋体" w:eastAsia="仿宋_GB2312" w:cs="宋体"/>
          <w:color w:val="auto"/>
          <w:spacing w:val="15"/>
          <w:kern w:val="0"/>
          <w:sz w:val="28"/>
          <w:szCs w:val="28"/>
        </w:rPr>
        <w:t>向行政机关、仲裁机构以及有关单位提供具有证明作用的数据和结果的检验服务</w:t>
      </w:r>
      <w:r>
        <w:rPr>
          <w:rFonts w:hint="eastAsia" w:ascii="仿宋_GB2312" w:hAnsi="宋体" w:eastAsia="仿宋_GB2312" w:cs="宋体"/>
          <w:color w:val="auto"/>
          <w:spacing w:val="15"/>
          <w:kern w:val="0"/>
          <w:sz w:val="28"/>
          <w:szCs w:val="28"/>
          <w:lang w:eastAsia="zh-CN"/>
        </w:rPr>
        <w:t>。</w:t>
      </w:r>
      <w:r>
        <w:rPr>
          <w:rFonts w:hint="eastAsia" w:ascii="仿宋_GB2312" w:hAnsi="宋体" w:eastAsia="仿宋_GB2312" w:cs="宋体"/>
          <w:color w:val="auto"/>
          <w:spacing w:val="15"/>
          <w:kern w:val="0"/>
          <w:sz w:val="28"/>
          <w:szCs w:val="28"/>
          <w:lang w:val="en-US" w:eastAsia="zh-CN"/>
        </w:rPr>
        <w:t>3.</w:t>
      </w:r>
      <w:r>
        <w:rPr>
          <w:rFonts w:hint="eastAsia" w:ascii="仿宋_GB2312" w:hAnsi="宋体" w:eastAsia="仿宋_GB2312" w:cs="宋体"/>
          <w:color w:val="auto"/>
          <w:spacing w:val="15"/>
          <w:kern w:val="0"/>
          <w:sz w:val="28"/>
          <w:szCs w:val="28"/>
        </w:rPr>
        <w:t>宣传贯彻国家和北京市有关农产品质量安全等方面的政策、法律、法规，普及农产品相关质量安全知识；经授权，对本地区农业生产环节的农产品开展例行检测与监测并进行现状评价；负责本地区农产品质量安全检测人员的技术培训；负责本地区农产品质量安全事件调查和委托检验工作。</w:t>
      </w:r>
      <w:r>
        <w:rPr>
          <w:rFonts w:hint="eastAsia" w:ascii="仿宋_GB2312" w:hAnsi="宋体" w:eastAsia="仿宋_GB2312" w:cs="宋体"/>
          <w:color w:val="auto"/>
          <w:spacing w:val="15"/>
          <w:kern w:val="0"/>
          <w:sz w:val="28"/>
          <w:szCs w:val="28"/>
          <w:lang w:val="en-US" w:eastAsia="zh-CN"/>
        </w:rPr>
        <w:t>4.</w:t>
      </w:r>
      <w:r>
        <w:rPr>
          <w:rFonts w:hint="eastAsia" w:ascii="仿宋_GB2312" w:hAnsi="宋体" w:eastAsia="仿宋_GB2312" w:cs="宋体"/>
          <w:color w:val="auto"/>
          <w:spacing w:val="15"/>
          <w:kern w:val="0"/>
          <w:sz w:val="28"/>
          <w:szCs w:val="28"/>
        </w:rPr>
        <w:t>根据</w:t>
      </w:r>
      <w:r>
        <w:rPr>
          <w:rFonts w:hint="eastAsia" w:ascii="仿宋_GB2312" w:hAnsi="宋体" w:eastAsia="仿宋_GB2312" w:cs="宋体"/>
          <w:color w:val="auto"/>
          <w:spacing w:val="15"/>
          <w:kern w:val="0"/>
          <w:sz w:val="28"/>
          <w:szCs w:val="28"/>
          <w:lang w:eastAsia="zh-CN"/>
        </w:rPr>
        <w:t>丰台</w:t>
      </w:r>
      <w:r>
        <w:rPr>
          <w:rFonts w:hint="eastAsia" w:ascii="仿宋_GB2312" w:hAnsi="宋体" w:eastAsia="仿宋_GB2312" w:cs="宋体"/>
          <w:color w:val="auto"/>
          <w:spacing w:val="15"/>
          <w:kern w:val="0"/>
          <w:sz w:val="28"/>
          <w:szCs w:val="28"/>
        </w:rPr>
        <w:t>区政府、</w:t>
      </w:r>
      <w:r>
        <w:rPr>
          <w:rFonts w:hint="eastAsia" w:ascii="仿宋_GB2312" w:hAnsi="宋体" w:eastAsia="仿宋_GB2312" w:cs="宋体"/>
          <w:color w:val="auto"/>
          <w:spacing w:val="15"/>
          <w:kern w:val="0"/>
          <w:sz w:val="28"/>
          <w:szCs w:val="28"/>
          <w:lang w:eastAsia="zh-CN"/>
        </w:rPr>
        <w:t>丰台</w:t>
      </w:r>
      <w:r>
        <w:rPr>
          <w:rFonts w:hint="eastAsia" w:ascii="仿宋_GB2312" w:hAnsi="宋体" w:eastAsia="仿宋_GB2312" w:cs="宋体"/>
          <w:color w:val="auto"/>
          <w:spacing w:val="15"/>
          <w:kern w:val="0"/>
          <w:sz w:val="28"/>
          <w:szCs w:val="28"/>
        </w:rPr>
        <w:t>区农业农村</w:t>
      </w:r>
      <w:r>
        <w:rPr>
          <w:rFonts w:hint="eastAsia" w:ascii="仿宋_GB2312" w:hAnsi="宋体" w:eastAsia="仿宋_GB2312" w:cs="宋体"/>
          <w:color w:val="auto"/>
          <w:spacing w:val="15"/>
          <w:kern w:val="0"/>
          <w:sz w:val="28"/>
          <w:szCs w:val="28"/>
          <w:lang w:eastAsia="zh-CN"/>
        </w:rPr>
        <w:t>局</w:t>
      </w:r>
      <w:r>
        <w:rPr>
          <w:rFonts w:hint="eastAsia" w:ascii="仿宋_GB2312" w:hAnsi="宋体" w:eastAsia="仿宋_GB2312" w:cs="宋体"/>
          <w:color w:val="auto"/>
          <w:spacing w:val="15"/>
          <w:kern w:val="0"/>
          <w:sz w:val="28"/>
          <w:szCs w:val="28"/>
        </w:rPr>
        <w:t>关于</w:t>
      </w:r>
      <w:r>
        <w:rPr>
          <w:rFonts w:hint="eastAsia" w:ascii="仿宋_GB2312" w:hAnsi="宋体" w:eastAsia="仿宋_GB2312" w:cs="宋体"/>
          <w:color w:val="auto"/>
          <w:spacing w:val="15"/>
          <w:kern w:val="0"/>
          <w:sz w:val="28"/>
          <w:szCs w:val="28"/>
          <w:lang w:eastAsia="zh-CN"/>
        </w:rPr>
        <w:t>世界种子大会品种</w:t>
      </w:r>
      <w:r>
        <w:rPr>
          <w:rFonts w:hint="eastAsia" w:ascii="仿宋_GB2312" w:hAnsi="宋体" w:eastAsia="仿宋_GB2312" w:cs="宋体"/>
          <w:color w:val="auto"/>
          <w:spacing w:val="15"/>
          <w:kern w:val="0"/>
          <w:sz w:val="28"/>
          <w:szCs w:val="28"/>
        </w:rPr>
        <w:t>展示基地运行工作的指示精神，我站负责进行华北地区重要蔬菜品种展示</w:t>
      </w:r>
      <w:r>
        <w:rPr>
          <w:rFonts w:hint="eastAsia" w:ascii="仿宋_GB2312" w:hAnsi="宋体" w:eastAsia="仿宋_GB2312" w:cs="宋体"/>
          <w:color w:val="auto"/>
          <w:spacing w:val="15"/>
          <w:kern w:val="0"/>
          <w:sz w:val="28"/>
          <w:szCs w:val="28"/>
          <w:lang w:eastAsia="zh-CN"/>
        </w:rPr>
        <w:t>，</w:t>
      </w:r>
      <w:r>
        <w:rPr>
          <w:rFonts w:hint="eastAsia" w:ascii="仿宋_GB2312" w:hAnsi="宋体" w:eastAsia="仿宋_GB2312" w:cs="宋体"/>
          <w:color w:val="auto"/>
          <w:spacing w:val="15"/>
          <w:kern w:val="0"/>
          <w:sz w:val="28"/>
          <w:szCs w:val="28"/>
        </w:rPr>
        <w:t>持续开展现代种业科技前瞻性品种展示示范和高新技术成果转化的相关工作。</w:t>
      </w:r>
      <w:r>
        <w:rPr>
          <w:rFonts w:hint="eastAsia" w:ascii="仿宋" w:hAnsi="仿宋" w:eastAsia="仿宋" w:cs="仿宋"/>
          <w:bCs/>
          <w:color w:val="000000"/>
          <w:spacing w:val="15"/>
          <w:kern w:val="0"/>
          <w:sz w:val="28"/>
          <w:szCs w:val="28"/>
        </w:rPr>
        <w:t>北京市丰台区种籽管理站，下设五个职能科室:执法室,负责</w:t>
      </w:r>
      <w:r>
        <w:rPr>
          <w:rFonts w:hint="eastAsia" w:ascii="仿宋" w:hAnsi="仿宋" w:eastAsia="仿宋" w:cs="宋体"/>
          <w:spacing w:val="15"/>
          <w:kern w:val="0"/>
          <w:sz w:val="28"/>
          <w:szCs w:val="28"/>
        </w:rPr>
        <w:t>对丰台区所辖范围内的农作物种籽、生产经营活动进行行业管理和规范执法，核发、检验种籽生产、经营许可证等工作。</w:t>
      </w:r>
      <w:r>
        <w:rPr>
          <w:rFonts w:hint="eastAsia" w:ascii="仿宋" w:hAnsi="仿宋" w:eastAsia="仿宋" w:cs="仿宋"/>
          <w:bCs/>
          <w:color w:val="000000"/>
          <w:spacing w:val="15"/>
          <w:kern w:val="0"/>
          <w:sz w:val="28"/>
          <w:szCs w:val="28"/>
        </w:rPr>
        <w:t>受理室，</w:t>
      </w:r>
      <w:r>
        <w:rPr>
          <w:rFonts w:hint="eastAsia" w:ascii="仿宋" w:hAnsi="仿宋" w:eastAsia="仿宋" w:cs="宋体"/>
          <w:spacing w:val="15"/>
          <w:kern w:val="0"/>
          <w:sz w:val="28"/>
          <w:szCs w:val="28"/>
        </w:rPr>
        <w:t>负责全区种子质量监督检验和种子质量争议鉴定工作。</w:t>
      </w:r>
      <w:r>
        <w:rPr>
          <w:rFonts w:hint="eastAsia" w:ascii="仿宋" w:hAnsi="仿宋" w:eastAsia="仿宋" w:cs="仿宋"/>
          <w:bCs/>
          <w:color w:val="000000"/>
          <w:spacing w:val="15"/>
          <w:kern w:val="0"/>
          <w:sz w:val="28"/>
          <w:szCs w:val="28"/>
        </w:rPr>
        <w:t>检验室，负责</w:t>
      </w:r>
      <w:r>
        <w:rPr>
          <w:rFonts w:hint="eastAsia" w:ascii="仿宋" w:hAnsi="仿宋" w:eastAsia="仿宋" w:cs="宋体"/>
          <w:spacing w:val="15"/>
          <w:kern w:val="0"/>
          <w:sz w:val="28"/>
          <w:szCs w:val="28"/>
        </w:rPr>
        <w:t>对种籽质量进行检测鉴定，依法承担主管部门委托的监督抽查检验任务等工作。</w:t>
      </w:r>
      <w:r>
        <w:rPr>
          <w:rFonts w:hint="eastAsia" w:ascii="仿宋" w:hAnsi="仿宋" w:eastAsia="仿宋" w:cs="仿宋"/>
          <w:bCs/>
          <w:color w:val="000000"/>
          <w:spacing w:val="15"/>
          <w:kern w:val="0"/>
          <w:sz w:val="28"/>
          <w:szCs w:val="28"/>
        </w:rPr>
        <w:t>行政办公室，负责站内日常行政，党建，人事等工作。后勤办公室，负责站内后勤保障，伙食，财务管理等工作。</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39</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29</w:t>
      </w:r>
      <w:r>
        <w:rPr>
          <w:rFonts w:hint="eastAsia" w:ascii="仿宋_GB2312" w:eastAsia="仿宋_GB2312"/>
          <w:kern w:val="0"/>
          <w:sz w:val="28"/>
          <w:szCs w:val="28"/>
        </w:rPr>
        <w:t>人。</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年度收</w:t>
      </w:r>
      <w:r>
        <w:rPr>
          <w:rFonts w:hint="eastAsia" w:ascii="仿宋_GB2312" w:eastAsia="仿宋_GB2312"/>
          <w:sz w:val="28"/>
          <w:szCs w:val="28"/>
          <w:lang w:eastAsia="zh-CN"/>
        </w:rPr>
        <w:t>入</w:t>
      </w:r>
      <w:r>
        <w:rPr>
          <w:rFonts w:hint="eastAsia" w:ascii="仿宋_GB2312" w:eastAsia="仿宋_GB2312"/>
          <w:sz w:val="28"/>
          <w:szCs w:val="28"/>
        </w:rPr>
        <w:t>总计</w:t>
      </w:r>
      <w:r>
        <w:rPr>
          <w:rFonts w:hint="eastAsia" w:ascii="仿宋_GB2312" w:eastAsia="仿宋_GB2312"/>
          <w:sz w:val="28"/>
          <w:szCs w:val="28"/>
          <w:lang w:val="en-US" w:eastAsia="zh-CN"/>
        </w:rPr>
        <w:t>1290.835744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61.108119</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4.51</w:t>
      </w:r>
      <w:r>
        <w:rPr>
          <w:rFonts w:hint="eastAsia" w:ascii="仿宋_GB2312" w:eastAsia="仿宋_GB2312"/>
          <w:sz w:val="28"/>
          <w:szCs w:val="28"/>
        </w:rPr>
        <w:t>%。</w:t>
      </w:r>
      <w:r>
        <w:rPr>
          <w:rFonts w:hint="eastAsia" w:ascii="仿宋_GB2312" w:eastAsia="仿宋_GB2312"/>
          <w:sz w:val="28"/>
          <w:szCs w:val="28"/>
          <w:lang w:val="en-US" w:eastAsia="zh-CN"/>
        </w:rPr>
        <w:t>2021年度支出总计1618.639729万元，</w:t>
      </w:r>
      <w:r>
        <w:rPr>
          <w:rFonts w:ascii="仿宋_GB2312" w:eastAsia="仿宋_GB2312"/>
          <w:sz w:val="28"/>
          <w:szCs w:val="28"/>
        </w:rPr>
        <w:t>上年增加</w:t>
      </w:r>
      <w:r>
        <w:rPr>
          <w:rFonts w:hint="eastAsia" w:ascii="仿宋_GB2312" w:eastAsia="仿宋_GB2312"/>
          <w:sz w:val="28"/>
          <w:szCs w:val="28"/>
          <w:lang w:val="en-US" w:eastAsia="zh-CN"/>
        </w:rPr>
        <w:t>220.462066</w:t>
      </w:r>
      <w:r>
        <w:rPr>
          <w:rFonts w:hint="eastAsia" w:ascii="仿宋_GB2312" w:eastAsia="仿宋_GB2312"/>
          <w:sz w:val="28"/>
          <w:szCs w:val="28"/>
        </w:rPr>
        <w:t>万元，增长</w:t>
      </w:r>
      <w:r>
        <w:rPr>
          <w:rFonts w:hint="eastAsia" w:ascii="仿宋_GB2312" w:eastAsia="仿宋_GB2312"/>
          <w:sz w:val="28"/>
          <w:szCs w:val="28"/>
          <w:lang w:val="en-US" w:eastAsia="zh-CN"/>
        </w:rPr>
        <w:t>15.77</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年度本年收入合计</w:t>
      </w:r>
      <w:r>
        <w:rPr>
          <w:rFonts w:hint="eastAsia" w:ascii="仿宋_GB2312" w:eastAsia="仿宋_GB2312"/>
          <w:sz w:val="28"/>
          <w:szCs w:val="28"/>
          <w:lang w:val="en-US" w:eastAsia="zh-CN"/>
        </w:rPr>
        <w:t>1290.835744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61.108119</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4.51</w:t>
      </w:r>
      <w:r>
        <w:rPr>
          <w:rFonts w:hint="eastAsia" w:ascii="仿宋_GB2312" w:eastAsia="仿宋_GB2312"/>
          <w:sz w:val="28"/>
          <w:szCs w:val="28"/>
        </w:rPr>
        <w:t>%，其中：财政拨款收入</w:t>
      </w:r>
      <w:r>
        <w:rPr>
          <w:rFonts w:hint="eastAsia" w:ascii="仿宋_GB2312" w:eastAsia="仿宋_GB2312"/>
          <w:sz w:val="28"/>
          <w:szCs w:val="28"/>
          <w:lang w:val="en-US" w:eastAsia="zh-CN"/>
        </w:rPr>
        <w:t>1290.835744</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%；上级补助收入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0.00</w:t>
      </w:r>
      <w:r>
        <w:rPr>
          <w:rFonts w:hint="eastAsia" w:ascii="仿宋_GB2312" w:eastAsia="仿宋_GB2312"/>
          <w:sz w:val="28"/>
          <w:szCs w:val="28"/>
        </w:rPr>
        <w:t>万元，占收</w:t>
      </w:r>
      <w:bookmarkStart w:id="0" w:name="_GoBack"/>
      <w:r>
        <w:rPr>
          <w:rFonts w:hint="eastAsia" w:ascii="仿宋_GB2312" w:eastAsia="仿宋_GB2312"/>
          <w:sz w:val="28"/>
          <w:szCs w:val="28"/>
        </w:rPr>
        <w:t>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年度本年支出合计</w:t>
      </w:r>
      <w:r>
        <w:rPr>
          <w:rFonts w:hint="eastAsia" w:ascii="仿宋_GB2312" w:eastAsia="仿宋_GB2312"/>
          <w:sz w:val="28"/>
          <w:szCs w:val="28"/>
          <w:lang w:val="en-US" w:eastAsia="zh-CN"/>
        </w:rPr>
        <w:t>1618.639729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220.462066</w:t>
      </w:r>
      <w:r>
        <w:rPr>
          <w:rFonts w:hint="eastAsia" w:ascii="仿宋_GB2312" w:eastAsia="仿宋_GB2312"/>
          <w:sz w:val="28"/>
          <w:szCs w:val="28"/>
        </w:rPr>
        <w:t>万</w:t>
      </w:r>
      <w:bookmarkEnd w:id="0"/>
      <w:r>
        <w:rPr>
          <w:rFonts w:hint="eastAsia" w:ascii="仿宋_GB2312" w:eastAsia="仿宋_GB2312"/>
          <w:sz w:val="28"/>
          <w:szCs w:val="28"/>
        </w:rPr>
        <w:t>元，增长</w:t>
      </w:r>
      <w:r>
        <w:rPr>
          <w:rFonts w:hint="eastAsia" w:ascii="仿宋_GB2312" w:eastAsia="仿宋_GB2312"/>
          <w:sz w:val="28"/>
          <w:szCs w:val="28"/>
          <w:lang w:val="en-US" w:eastAsia="zh-CN"/>
        </w:rPr>
        <w:t>15.77</w:t>
      </w:r>
      <w:r>
        <w:rPr>
          <w:rFonts w:hint="eastAsia" w:ascii="仿宋_GB2312" w:eastAsia="仿宋_GB2312"/>
          <w:sz w:val="28"/>
          <w:szCs w:val="28"/>
        </w:rPr>
        <w:t>%，其中：基本支出</w:t>
      </w:r>
      <w:r>
        <w:rPr>
          <w:rFonts w:hint="eastAsia" w:ascii="仿宋_GB2312" w:eastAsia="仿宋_GB2312"/>
          <w:sz w:val="28"/>
          <w:szCs w:val="28"/>
          <w:lang w:val="en-US" w:eastAsia="zh-CN"/>
        </w:rPr>
        <w:t>872.189344</w:t>
      </w:r>
      <w:r>
        <w:rPr>
          <w:rFonts w:hint="eastAsia" w:ascii="仿宋_GB2312" w:eastAsia="仿宋_GB2312"/>
          <w:sz w:val="28"/>
          <w:szCs w:val="28"/>
        </w:rPr>
        <w:t>万元，占支出合计的</w:t>
      </w:r>
      <w:r>
        <w:rPr>
          <w:rFonts w:hint="eastAsia" w:ascii="仿宋_GB2312" w:eastAsia="仿宋_GB2312"/>
          <w:sz w:val="28"/>
          <w:szCs w:val="28"/>
          <w:lang w:val="en-US" w:eastAsia="zh-CN"/>
        </w:rPr>
        <w:t>53.88</w:t>
      </w:r>
      <w:r>
        <w:rPr>
          <w:rFonts w:hint="eastAsia" w:ascii="仿宋_GB2312" w:eastAsia="仿宋_GB2312"/>
          <w:sz w:val="28"/>
          <w:szCs w:val="28"/>
        </w:rPr>
        <w:t>%；项目支出</w:t>
      </w:r>
      <w:r>
        <w:rPr>
          <w:rFonts w:hint="eastAsia" w:ascii="仿宋_GB2312" w:eastAsia="仿宋_GB2312"/>
          <w:sz w:val="28"/>
          <w:szCs w:val="28"/>
          <w:lang w:val="en-US" w:eastAsia="zh-CN"/>
        </w:rPr>
        <w:t>746.450385</w:t>
      </w:r>
      <w:r>
        <w:rPr>
          <w:rFonts w:hint="eastAsia" w:ascii="仿宋_GB2312" w:eastAsia="仿宋_GB2312"/>
          <w:sz w:val="28"/>
          <w:szCs w:val="28"/>
        </w:rPr>
        <w:t>万元，占支出合计的</w:t>
      </w:r>
      <w:r>
        <w:rPr>
          <w:rFonts w:hint="eastAsia" w:ascii="仿宋_GB2312" w:eastAsia="仿宋_GB2312"/>
          <w:sz w:val="28"/>
          <w:szCs w:val="28"/>
          <w:lang w:val="en-US" w:eastAsia="zh-CN"/>
        </w:rPr>
        <w:t>46.12</w:t>
      </w:r>
      <w:r>
        <w:rPr>
          <w:rFonts w:hint="eastAsia" w:ascii="仿宋_GB2312" w:eastAsia="仿宋_GB2312"/>
          <w:sz w:val="28"/>
          <w:szCs w:val="28"/>
        </w:rPr>
        <w:t>%;上缴上级支出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numPr>
          <w:ilvl w:val="0"/>
          <w:numId w:val="1"/>
        </w:numPr>
        <w:snapToGrid w:val="0"/>
        <w:spacing w:line="52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年度财政拨款收</w:t>
      </w:r>
      <w:r>
        <w:rPr>
          <w:rFonts w:hint="eastAsia" w:ascii="仿宋_GB2312" w:eastAsia="仿宋_GB2312"/>
          <w:sz w:val="28"/>
          <w:szCs w:val="28"/>
          <w:lang w:eastAsia="zh-CN"/>
        </w:rPr>
        <w:t>入总计</w:t>
      </w:r>
      <w:r>
        <w:rPr>
          <w:rFonts w:hint="eastAsia" w:ascii="仿宋_GB2312" w:eastAsia="仿宋_GB2312"/>
          <w:sz w:val="28"/>
          <w:szCs w:val="28"/>
          <w:lang w:val="en-US" w:eastAsia="zh-CN"/>
        </w:rPr>
        <w:t>1290.8357441</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61.108119</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4.51</w:t>
      </w:r>
      <w:r>
        <w:rPr>
          <w:rFonts w:hint="eastAsia" w:ascii="仿宋_GB2312" w:eastAsia="仿宋_GB2312"/>
          <w:sz w:val="28"/>
          <w:szCs w:val="28"/>
        </w:rPr>
        <w:t>%。</w:t>
      </w:r>
      <w:r>
        <w:rPr>
          <w:rFonts w:hint="eastAsia" w:ascii="仿宋_GB2312" w:eastAsia="仿宋_GB2312"/>
          <w:sz w:val="28"/>
          <w:szCs w:val="28"/>
          <w:lang w:val="en-US" w:eastAsia="zh-CN"/>
        </w:rPr>
        <w:t>2021年度财政拨款支出</w:t>
      </w:r>
      <w:r>
        <w:rPr>
          <w:rFonts w:hint="eastAsia" w:ascii="仿宋_GB2312" w:eastAsia="仿宋_GB2312"/>
          <w:sz w:val="28"/>
          <w:szCs w:val="28"/>
        </w:rPr>
        <w:t>总计</w:t>
      </w:r>
      <w:r>
        <w:rPr>
          <w:rFonts w:hint="eastAsia" w:ascii="仿宋_GB2312" w:eastAsia="仿宋_GB2312"/>
          <w:sz w:val="28"/>
          <w:szCs w:val="28"/>
          <w:lang w:val="en-US" w:eastAsia="zh-CN"/>
        </w:rPr>
        <w:t>1618.639729万元，</w:t>
      </w:r>
      <w:r>
        <w:rPr>
          <w:rFonts w:ascii="仿宋_GB2312" w:eastAsia="仿宋_GB2312"/>
          <w:sz w:val="28"/>
          <w:szCs w:val="28"/>
        </w:rPr>
        <w:t>上年增加</w:t>
      </w:r>
      <w:r>
        <w:rPr>
          <w:rFonts w:hint="eastAsia" w:ascii="仿宋_GB2312" w:eastAsia="仿宋_GB2312"/>
          <w:sz w:val="28"/>
          <w:szCs w:val="28"/>
          <w:lang w:val="en-US" w:eastAsia="zh-CN"/>
        </w:rPr>
        <w:t>220.462066</w:t>
      </w:r>
      <w:r>
        <w:rPr>
          <w:rFonts w:hint="eastAsia" w:ascii="仿宋_GB2312" w:eastAsia="仿宋_GB2312"/>
          <w:sz w:val="28"/>
          <w:szCs w:val="28"/>
        </w:rPr>
        <w:t>万元，增长</w:t>
      </w:r>
      <w:r>
        <w:rPr>
          <w:rFonts w:hint="eastAsia" w:ascii="仿宋_GB2312" w:eastAsia="仿宋_GB2312"/>
          <w:sz w:val="28"/>
          <w:szCs w:val="28"/>
          <w:lang w:val="en-US" w:eastAsia="zh-CN"/>
        </w:rPr>
        <w:t>15.77</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hAnsi="仿宋" w:eastAsia="仿宋_GB2312"/>
          <w:sz w:val="28"/>
          <w:szCs w:val="28"/>
          <w:lang w:val="en-US" w:eastAsia="zh-CN"/>
        </w:rPr>
        <w:t>本单位合理利用资金，有效使用结余资金，财政补助收入有所减少。</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1618.639729</w:t>
      </w:r>
      <w:r>
        <w:rPr>
          <w:rFonts w:hint="eastAsia" w:ascii="仿宋_GB2312" w:eastAsia="仿宋_GB2312"/>
          <w:sz w:val="28"/>
          <w:szCs w:val="28"/>
        </w:rPr>
        <w:t>万元，主要用于以下方面（按大类）：</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0.27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0.02</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104.456952万元，占本年财政拨款支出6.45%；农林水支出1389.353333万元，占本年财政拨款支出85.83%；住房保障支出124.559444万元，占本年财政拨款支出7.70%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eastAsia="zh-CN"/>
        </w:rPr>
        <w:t>教育支出</w:t>
      </w:r>
      <w:r>
        <w:rPr>
          <w:rFonts w:hint="eastAsia" w:ascii="仿宋_GB2312" w:eastAsia="仿宋_GB2312"/>
          <w:sz w:val="28"/>
          <w:szCs w:val="28"/>
        </w:rPr>
        <w:t>”（类）202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0.27</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1.08</w:t>
      </w:r>
      <w:r>
        <w:rPr>
          <w:rFonts w:hint="eastAsia" w:ascii="仿宋_GB2312" w:eastAsia="仿宋_GB2312"/>
          <w:sz w:val="28"/>
          <w:szCs w:val="28"/>
        </w:rPr>
        <w:t>万元，下降</w:t>
      </w:r>
      <w:r>
        <w:rPr>
          <w:rFonts w:hint="eastAsia" w:ascii="仿宋_GB2312" w:eastAsia="仿宋_GB2312"/>
          <w:sz w:val="28"/>
          <w:szCs w:val="28"/>
          <w:lang w:val="en-US" w:eastAsia="zh-CN"/>
        </w:rPr>
        <w:t>80</w:t>
      </w:r>
      <w:r>
        <w:rPr>
          <w:rFonts w:hint="eastAsia" w:ascii="仿宋_GB2312" w:eastAsia="仿宋_GB2312"/>
          <w:sz w:val="28"/>
          <w:szCs w:val="28"/>
        </w:rPr>
        <w:t>%。其中：“</w:t>
      </w:r>
      <w:r>
        <w:rPr>
          <w:rFonts w:hint="eastAsia" w:ascii="仿宋_GB2312" w:eastAsia="仿宋_GB2312"/>
          <w:sz w:val="28"/>
          <w:szCs w:val="28"/>
          <w:lang w:eastAsia="zh-CN"/>
        </w:rPr>
        <w:t>培训支出</w:t>
      </w:r>
      <w:r>
        <w:rPr>
          <w:rFonts w:hint="eastAsia" w:ascii="仿宋_GB2312" w:eastAsia="仿宋_GB2312"/>
          <w:sz w:val="28"/>
          <w:szCs w:val="28"/>
        </w:rPr>
        <w:t>”（款，下同）202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0.27万</w:t>
      </w:r>
      <w:r>
        <w:rPr>
          <w:rFonts w:hint="eastAsia" w:ascii="仿宋_GB2312" w:eastAsia="仿宋_GB2312"/>
          <w:sz w:val="28"/>
          <w:szCs w:val="28"/>
        </w:rPr>
        <w:t>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1.08</w:t>
      </w:r>
      <w:r>
        <w:rPr>
          <w:rFonts w:hint="eastAsia" w:ascii="仿宋_GB2312" w:eastAsia="仿宋_GB2312"/>
          <w:sz w:val="28"/>
          <w:szCs w:val="28"/>
        </w:rPr>
        <w:t>万元，下降</w:t>
      </w:r>
      <w:r>
        <w:rPr>
          <w:rFonts w:hint="eastAsia" w:ascii="仿宋_GB2312" w:eastAsia="仿宋_GB2312"/>
          <w:sz w:val="28"/>
          <w:szCs w:val="28"/>
          <w:lang w:val="en-US" w:eastAsia="zh-CN"/>
        </w:rPr>
        <w:t>80</w:t>
      </w:r>
      <w:r>
        <w:rPr>
          <w:rFonts w:hint="eastAsia" w:ascii="仿宋_GB2312" w:eastAsia="仿宋_GB2312"/>
          <w:sz w:val="28"/>
          <w:szCs w:val="28"/>
        </w:rPr>
        <w:t>%。主要原因：</w:t>
      </w:r>
      <w:r>
        <w:rPr>
          <w:rFonts w:hint="eastAsia" w:ascii="仿宋_GB2312" w:eastAsia="仿宋_GB2312"/>
          <w:sz w:val="28"/>
          <w:szCs w:val="28"/>
          <w:lang w:eastAsia="zh-CN"/>
        </w:rPr>
        <w:t>本单位厉行节约，严格控制培训经费支出。</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w:t>
      </w:r>
      <w:r>
        <w:rPr>
          <w:rFonts w:hint="eastAsia" w:ascii="仿宋_GB2312" w:eastAsia="仿宋_GB2312"/>
          <w:sz w:val="28"/>
          <w:szCs w:val="28"/>
          <w:lang w:eastAsia="zh-CN"/>
        </w:rPr>
        <w:t>社会保障和就业支出</w:t>
      </w:r>
      <w:r>
        <w:rPr>
          <w:rFonts w:hint="eastAsia" w:ascii="仿宋_GB2312" w:eastAsia="仿宋_GB2312"/>
          <w:sz w:val="28"/>
          <w:szCs w:val="28"/>
        </w:rPr>
        <w:t>”(类)202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104.456952</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14.673448</w:t>
      </w:r>
      <w:r>
        <w:rPr>
          <w:rFonts w:hint="eastAsia" w:ascii="仿宋_GB2312" w:eastAsia="仿宋_GB2312"/>
          <w:sz w:val="28"/>
          <w:szCs w:val="28"/>
        </w:rPr>
        <w:t>万元，下降</w:t>
      </w:r>
      <w:r>
        <w:rPr>
          <w:rFonts w:hint="eastAsia" w:ascii="仿宋_GB2312" w:eastAsia="仿宋_GB2312"/>
          <w:sz w:val="28"/>
          <w:szCs w:val="28"/>
          <w:lang w:val="en-US" w:eastAsia="zh-CN"/>
        </w:rPr>
        <w:t>12.32</w:t>
      </w:r>
      <w:r>
        <w:rPr>
          <w:rFonts w:hint="eastAsia" w:ascii="仿宋_GB2312" w:eastAsia="仿宋_GB2312"/>
          <w:sz w:val="28"/>
          <w:szCs w:val="28"/>
        </w:rPr>
        <w:t>%。其中：“</w:t>
      </w:r>
      <w:r>
        <w:rPr>
          <w:rFonts w:hint="eastAsia" w:ascii="仿宋_GB2312" w:eastAsia="仿宋_GB2312"/>
          <w:sz w:val="28"/>
          <w:szCs w:val="28"/>
          <w:lang w:eastAsia="zh-CN"/>
        </w:rPr>
        <w:t>行政事业单位养老支出</w:t>
      </w:r>
      <w:r>
        <w:rPr>
          <w:rFonts w:hint="eastAsia" w:ascii="仿宋_GB2312" w:eastAsia="仿宋_GB2312"/>
          <w:sz w:val="28"/>
          <w:szCs w:val="28"/>
        </w:rPr>
        <w:t>”（款）202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104.456952</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14.673448</w:t>
      </w:r>
      <w:r>
        <w:rPr>
          <w:rFonts w:hint="eastAsia" w:ascii="仿宋_GB2312" w:eastAsia="仿宋_GB2312"/>
          <w:sz w:val="28"/>
          <w:szCs w:val="28"/>
        </w:rPr>
        <w:t>万元，下降</w:t>
      </w:r>
      <w:r>
        <w:rPr>
          <w:rFonts w:hint="eastAsia" w:ascii="仿宋_GB2312" w:eastAsia="仿宋_GB2312"/>
          <w:sz w:val="28"/>
          <w:szCs w:val="28"/>
          <w:lang w:val="en-US" w:eastAsia="zh-CN"/>
        </w:rPr>
        <w:t>12.32</w:t>
      </w:r>
      <w:r>
        <w:rPr>
          <w:rFonts w:hint="eastAsia" w:ascii="仿宋_GB2312" w:eastAsia="仿宋_GB2312"/>
          <w:sz w:val="28"/>
          <w:szCs w:val="28"/>
        </w:rPr>
        <w:t>%。主要原因：</w:t>
      </w:r>
      <w:r>
        <w:rPr>
          <w:rFonts w:hint="eastAsia" w:ascii="仿宋_GB2312" w:eastAsia="仿宋_GB2312"/>
          <w:sz w:val="28"/>
          <w:szCs w:val="28"/>
          <w:lang w:val="en-US" w:eastAsia="zh-CN"/>
        </w:rPr>
        <w:t>本单位以实际出发，厉行节约，此项支出有所下降。</w:t>
      </w: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3、“农林水支出”（类）2021年决算1389.353333万元，比2021年初预算减少137.125767万元，下降8.98%。其中：“农业农村”（款）2021年度决算1389.353333万元，比2021年初预算减少137.125767万元，下降8.98%。主要原因：本单位以实际出发，厉行节约，此项支出有所下降。</w:t>
      </w:r>
    </w:p>
    <w:p>
      <w:pPr>
        <w:pStyle w:val="2"/>
        <w:rPr>
          <w:rFonts w:hint="default" w:ascii="仿宋_GB2312" w:eastAsia="仿宋_GB2312"/>
          <w:sz w:val="28"/>
          <w:szCs w:val="28"/>
          <w:lang w:val="en-US" w:eastAsia="zh-CN"/>
        </w:rPr>
      </w:pPr>
      <w:r>
        <w:rPr>
          <w:rFonts w:hint="eastAsia" w:ascii="仿宋_GB2312" w:eastAsia="仿宋_GB2312"/>
          <w:sz w:val="28"/>
          <w:szCs w:val="28"/>
          <w:lang w:val="en-US" w:eastAsia="zh-CN"/>
        </w:rPr>
        <w:t>4、“住房保障支出”（类）2021年决算124.559444万元，比2021年初预算减少11.654956万元，下降8.56%。其中：“住房改革支出”（款）2021年决算124.559444万元，比2021年初预算减少11.654956万元，下降8.56%。主要原因：本单位以实际出发，厉行节约，此项支出有所下降。</w:t>
      </w:r>
    </w:p>
    <w:p>
      <w:pPr>
        <w:pStyle w:val="2"/>
        <w:rPr>
          <w:rFonts w:hint="eastAsia" w:ascii="仿宋_GB2312" w:eastAsia="仿宋_GB2312"/>
          <w:sz w:val="28"/>
          <w:szCs w:val="28"/>
        </w:rPr>
      </w:pPr>
      <w:r>
        <w:rPr>
          <w:rFonts w:hint="eastAsia" w:ascii="黑体" w:eastAsia="黑体"/>
          <w:b/>
          <w:sz w:val="28"/>
          <w:szCs w:val="28"/>
        </w:rPr>
        <w:t>五、政府性基金预算财政拨款支出决算情况说明</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本年度无此项支出</w:t>
      </w:r>
      <w:r>
        <w:rPr>
          <w:rFonts w:hint="eastAsia" w:ascii="仿宋_GB2312" w:eastAsia="仿宋_GB2312"/>
          <w:sz w:val="28"/>
          <w:szCs w:val="28"/>
          <w:lang w:eastAsia="zh-CN"/>
        </w:rPr>
        <w:t>。</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年使用一般公共预算财政拨款安排基本支出</w:t>
      </w:r>
      <w:r>
        <w:rPr>
          <w:rFonts w:hint="eastAsia" w:ascii="仿宋_GB2312" w:eastAsia="仿宋_GB2312"/>
          <w:sz w:val="28"/>
          <w:szCs w:val="28"/>
          <w:lang w:val="en-US" w:eastAsia="zh-CN"/>
        </w:rPr>
        <w:t>872.189344</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w:t>
      </w:r>
      <w:r>
        <w:rPr>
          <w:rFonts w:hint="eastAsia" w:ascii="仿宋_GB2312" w:eastAsia="仿宋_GB2312"/>
          <w:sz w:val="28"/>
          <w:szCs w:val="28"/>
          <w:lang w:eastAsia="zh-CN"/>
        </w:rPr>
        <w:t>是</w:t>
      </w:r>
      <w:r>
        <w:rPr>
          <w:rFonts w:hint="eastAsia" w:ascii="仿宋_GB2312" w:eastAsia="仿宋_GB2312"/>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事业单位。202</w:t>
      </w:r>
      <w:r>
        <w:rPr>
          <w:rFonts w:ascii="仿宋_GB2312" w:eastAsia="仿宋_GB2312"/>
          <w:sz w:val="28"/>
          <w:szCs w:val="28"/>
        </w:rPr>
        <w:t>1</w:t>
      </w:r>
      <w:r>
        <w:rPr>
          <w:rFonts w:hint="eastAsia" w:ascii="仿宋_GB2312" w:eastAsia="仿宋_GB2312"/>
          <w:sz w:val="28"/>
          <w:szCs w:val="28"/>
        </w:rPr>
        <w:t>年“三公”经费财政拨款决算数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年“三公”经费财政拨款年初预算</w:t>
      </w:r>
      <w:r>
        <w:rPr>
          <w:rFonts w:hint="eastAsia" w:ascii="仿宋_GB2312" w:eastAsia="仿宋_GB2312"/>
          <w:sz w:val="28"/>
          <w:szCs w:val="28"/>
          <w:lang w:val="en-US" w:eastAsia="zh-CN"/>
        </w:rPr>
        <w:t>0.4316</w:t>
      </w:r>
      <w:r>
        <w:rPr>
          <w:rFonts w:hint="eastAsia" w:ascii="仿宋_GB2312" w:eastAsia="仿宋_GB2312"/>
          <w:sz w:val="28"/>
          <w:szCs w:val="28"/>
        </w:rPr>
        <w:t>万元减少</w:t>
      </w:r>
      <w:r>
        <w:rPr>
          <w:rFonts w:hint="eastAsia" w:ascii="仿宋_GB2312" w:eastAsia="仿宋_GB2312"/>
          <w:sz w:val="28"/>
          <w:szCs w:val="28"/>
          <w:lang w:val="en-US" w:eastAsia="zh-CN"/>
        </w:rPr>
        <w:t>0.4316</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0.00</w:t>
      </w:r>
      <w:r>
        <w:rPr>
          <w:rFonts w:hint="eastAsia" w:ascii="仿宋_GB2312" w:eastAsia="仿宋_GB2312"/>
          <w:sz w:val="28"/>
          <w:szCs w:val="28"/>
        </w:rPr>
        <w:t>万元增加</w:t>
      </w:r>
      <w:r>
        <w:rPr>
          <w:rFonts w:hint="eastAsia" w:ascii="仿宋_GB2312" w:eastAsia="仿宋_GB2312"/>
          <w:sz w:val="28"/>
          <w:szCs w:val="28"/>
          <w:lang w:val="en-US" w:eastAsia="zh-CN"/>
        </w:rPr>
        <w:t>0.00</w:t>
      </w:r>
      <w:r>
        <w:rPr>
          <w:rFonts w:hint="eastAsia" w:ascii="仿宋_GB2312" w:eastAsia="仿宋_GB2312"/>
          <w:sz w:val="28"/>
          <w:szCs w:val="28"/>
        </w:rPr>
        <w:t>万元。主要原因：</w:t>
      </w:r>
      <w:r>
        <w:rPr>
          <w:rFonts w:hint="eastAsia" w:ascii="仿宋_GB2312" w:eastAsia="仿宋_GB2312"/>
          <w:sz w:val="28"/>
          <w:szCs w:val="28"/>
          <w:lang w:eastAsia="zh-CN"/>
        </w:rPr>
        <w:t>本单位本年度无此项支出安排</w:t>
      </w:r>
      <w:r>
        <w:rPr>
          <w:rFonts w:hint="eastAsia" w:ascii="仿宋_GB2312" w:eastAsia="仿宋_GB2312"/>
          <w:sz w:val="28"/>
          <w:szCs w:val="28"/>
        </w:rPr>
        <w:t>。</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0.1978</w:t>
      </w:r>
      <w:r>
        <w:rPr>
          <w:rFonts w:hint="eastAsia" w:ascii="仿宋_GB2312" w:eastAsia="仿宋_GB2312"/>
          <w:sz w:val="28"/>
          <w:szCs w:val="28"/>
        </w:rPr>
        <w:t>万元减少</w:t>
      </w:r>
      <w:r>
        <w:rPr>
          <w:rFonts w:hint="eastAsia" w:ascii="仿宋_GB2312" w:eastAsia="仿宋_GB2312"/>
          <w:sz w:val="28"/>
          <w:szCs w:val="28"/>
          <w:lang w:val="en-US" w:eastAsia="zh-CN"/>
        </w:rPr>
        <w:t>0.4316</w:t>
      </w:r>
      <w:r>
        <w:rPr>
          <w:rFonts w:hint="eastAsia" w:ascii="仿宋_GB2312" w:eastAsia="仿宋_GB2312"/>
          <w:sz w:val="28"/>
          <w:szCs w:val="28"/>
        </w:rPr>
        <w:t>万元。主要原因：</w:t>
      </w:r>
      <w:r>
        <w:rPr>
          <w:rFonts w:hint="eastAsia" w:ascii="仿宋_GB2312" w:eastAsia="仿宋_GB2312"/>
          <w:sz w:val="28"/>
          <w:szCs w:val="28"/>
          <w:lang w:eastAsia="zh-CN"/>
        </w:rPr>
        <w:t>本单位本年度无此支出</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3.公务用车购置及运行维护费。202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元增加减少</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主要原因：本单位本年度无此项支出安排。</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不属于机关运行经费统计范围</w:t>
      </w:r>
      <w:r>
        <w:rPr>
          <w:rFonts w:hint="eastAsia" w:ascii="仿宋_GB2312" w:eastAsia="仿宋_GB2312"/>
          <w:sz w:val="28"/>
          <w:szCs w:val="28"/>
          <w:lang w:eastAsia="zh-CN"/>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年政府采购支出总额</w:t>
      </w:r>
      <w:r>
        <w:rPr>
          <w:rFonts w:hint="eastAsia" w:ascii="仿宋_GB2312" w:eastAsia="仿宋_GB2312"/>
          <w:sz w:val="28"/>
          <w:szCs w:val="28"/>
          <w:lang w:val="en-US" w:eastAsia="zh-CN"/>
        </w:rPr>
        <w:t>323.867452</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188.9140</w:t>
      </w:r>
      <w:r>
        <w:rPr>
          <w:rFonts w:hint="eastAsia" w:ascii="仿宋_GB2312" w:eastAsia="仿宋_GB2312"/>
          <w:sz w:val="28"/>
          <w:szCs w:val="28"/>
        </w:rPr>
        <w:t>元，政府采购工程支出</w:t>
      </w:r>
      <w:r>
        <w:rPr>
          <w:rFonts w:hint="eastAsia" w:ascii="仿宋_GB2312" w:eastAsia="仿宋_GB2312"/>
          <w:sz w:val="28"/>
          <w:szCs w:val="28"/>
          <w:lang w:val="en-US" w:eastAsia="zh-CN"/>
        </w:rPr>
        <w:t>0.00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134.953452</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125.2540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38.67</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15.2540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4.71</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年车辆</w:t>
      </w:r>
      <w:r>
        <w:rPr>
          <w:rFonts w:hint="eastAsia" w:ascii="仿宋_GB2312" w:eastAsia="仿宋_GB2312"/>
          <w:sz w:val="28"/>
          <w:szCs w:val="28"/>
          <w:lang w:val="en-US" w:eastAsia="zh-CN"/>
        </w:rPr>
        <w:t>0</w:t>
      </w:r>
      <w:r>
        <w:rPr>
          <w:rFonts w:hint="eastAsia" w:ascii="仿宋_GB2312" w:eastAsia="仿宋_GB2312"/>
          <w:sz w:val="28"/>
          <w:szCs w:val="28"/>
        </w:rPr>
        <w:t>台，</w:t>
      </w:r>
      <w:r>
        <w:rPr>
          <w:rFonts w:hint="eastAsia" w:ascii="仿宋_GB2312" w:eastAsia="仿宋_GB2312"/>
          <w:sz w:val="28"/>
          <w:szCs w:val="28"/>
          <w:lang w:eastAsia="zh-CN"/>
        </w:rPr>
        <w:t>原值</w:t>
      </w:r>
      <w:r>
        <w:rPr>
          <w:rFonts w:hint="eastAsia" w:ascii="仿宋_GB2312" w:eastAsia="仿宋_GB2312"/>
          <w:sz w:val="28"/>
          <w:szCs w:val="28"/>
          <w:lang w:val="en-US" w:eastAsia="zh-CN"/>
        </w:rPr>
        <w:t>0.00</w:t>
      </w:r>
      <w:r>
        <w:rPr>
          <w:rFonts w:hint="eastAsia" w:ascii="仿宋_GB2312" w:eastAsia="仿宋_GB2312"/>
          <w:sz w:val="28"/>
          <w:szCs w:val="28"/>
        </w:rPr>
        <w:t>万元；单位价值50万元以上的通用设备</w:t>
      </w:r>
      <w:r>
        <w:rPr>
          <w:rFonts w:hint="eastAsia" w:ascii="仿宋_GB2312" w:eastAsia="仿宋_GB2312"/>
          <w:sz w:val="28"/>
          <w:szCs w:val="28"/>
          <w:lang w:val="en-US" w:eastAsia="zh-CN"/>
        </w:rPr>
        <w:t>3</w:t>
      </w:r>
      <w:r>
        <w:rPr>
          <w:rFonts w:hint="eastAsia" w:ascii="仿宋_GB2312" w:eastAsia="仿宋_GB2312"/>
          <w:sz w:val="28"/>
          <w:szCs w:val="28"/>
        </w:rPr>
        <w:t>台（套），单位价值100万元以上的专用设备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60" w:firstLineChars="200"/>
        <w:rPr>
          <w:rFonts w:hint="eastAsia"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spacing w:line="560" w:lineRule="exact"/>
        <w:ind w:firstLine="420" w:firstLineChars="150"/>
        <w:rPr>
          <w:rFonts w:hint="eastAsia" w:ascii="仿宋_GB2312" w:eastAsia="仿宋_GB2312"/>
          <w:sz w:val="28"/>
          <w:szCs w:val="28"/>
          <w:lang w:eastAsia="zh-CN"/>
        </w:rPr>
      </w:pP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lang w:eastAsia="zh-CN"/>
        </w:rPr>
        <w:t>。</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2021年政府购买服务决算</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基本支出：指为保障机构正常运转、完成日常工作任务而发生的人员支出和公用支出。</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hint="eastAsia" w:ascii="黑体" w:eastAsia="黑体"/>
          <w:b/>
          <w:sz w:val="28"/>
          <w:szCs w:val="28"/>
          <w:highlight w:val="none"/>
        </w:rPr>
      </w:pPr>
      <w:r>
        <w:rPr>
          <w:rFonts w:hint="eastAsia" w:ascii="仿宋_GB2312" w:eastAsia="仿宋_GB2312"/>
          <w:b/>
          <w:color w:val="000000"/>
          <w:spacing w:val="-2"/>
          <w:sz w:val="32"/>
          <w:szCs w:val="32"/>
          <w:highlight w:val="none"/>
        </w:rPr>
        <w:t>（</w:t>
      </w:r>
      <w:r>
        <w:rPr>
          <w:rFonts w:hint="eastAsia" w:ascii="仿宋_GB2312" w:eastAsia="仿宋_GB2312"/>
          <w:b/>
          <w:color w:val="000000"/>
          <w:spacing w:val="-2"/>
          <w:sz w:val="32"/>
          <w:szCs w:val="32"/>
          <w:highlight w:val="none"/>
          <w:lang w:eastAsia="zh-CN"/>
        </w:rPr>
        <w:t>各部门</w:t>
      </w:r>
      <w:r>
        <w:rPr>
          <w:rFonts w:hint="eastAsia" w:ascii="仿宋_GB2312" w:eastAsia="仿宋_GB2312"/>
          <w:b/>
          <w:color w:val="000000"/>
          <w:spacing w:val="-2"/>
          <w:sz w:val="32"/>
          <w:szCs w:val="32"/>
          <w:highlight w:val="none"/>
          <w:lang w:val="en-US" w:eastAsia="zh-CN"/>
        </w:rPr>
        <w:t>/单位应</w:t>
      </w:r>
      <w:r>
        <w:rPr>
          <w:rFonts w:hint="eastAsia" w:ascii="仿宋_GB2312" w:eastAsia="仿宋_GB2312"/>
          <w:b/>
          <w:color w:val="000000"/>
          <w:spacing w:val="-2"/>
          <w:sz w:val="32"/>
          <w:szCs w:val="32"/>
          <w:highlight w:val="none"/>
          <w:lang w:eastAsia="zh-CN"/>
        </w:rPr>
        <w:t>增加本年</w:t>
      </w:r>
      <w:r>
        <w:rPr>
          <w:rFonts w:hint="eastAsia" w:ascii="仿宋_GB2312" w:eastAsia="仿宋_GB2312"/>
          <w:b/>
          <w:color w:val="000000"/>
          <w:spacing w:val="-2"/>
          <w:sz w:val="32"/>
          <w:szCs w:val="32"/>
          <w:highlight w:val="none"/>
          <w:lang w:val="en-US" w:eastAsia="zh-CN"/>
        </w:rPr>
        <w:t>使用的所有</w:t>
      </w:r>
      <w:r>
        <w:rPr>
          <w:rFonts w:hint="eastAsia" w:ascii="仿宋_GB2312" w:eastAsia="仿宋_GB2312"/>
          <w:b/>
          <w:color w:val="000000"/>
          <w:spacing w:val="-2"/>
          <w:sz w:val="32"/>
          <w:szCs w:val="32"/>
          <w:highlight w:val="none"/>
          <w:lang w:eastAsia="zh-CN"/>
        </w:rPr>
        <w:t>支出功能分类类级科目的名词解释）</w:t>
      </w:r>
    </w:p>
    <w:p>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2021年度</w:t>
      </w:r>
      <w:r>
        <w:rPr>
          <w:rFonts w:hint="eastAsia" w:ascii="黑体" w:eastAsia="黑体"/>
          <w:sz w:val="32"/>
          <w:szCs w:val="32"/>
        </w:rPr>
        <w:t>部门绩效评价情况</w:t>
      </w:r>
    </w:p>
    <w:p>
      <w:pPr>
        <w:ind w:firstLine="560" w:firstLineChars="200"/>
        <w:rPr>
          <w:rFonts w:hint="eastAsia" w:ascii="黑体" w:hAnsi="Times New Roman" w:eastAsia="黑体" w:cs="Times New Roman"/>
          <w:sz w:val="28"/>
          <w:szCs w:val="28"/>
          <w:highlight w:val="none"/>
          <w:lang w:eastAsia="zh-CN"/>
        </w:rPr>
      </w:pPr>
      <w:r>
        <w:rPr>
          <w:rFonts w:hint="eastAsia" w:ascii="仿宋_GB2312" w:eastAsia="仿宋_GB2312"/>
          <w:sz w:val="28"/>
          <w:szCs w:val="28"/>
        </w:rPr>
        <w:t>（部门填写以下一、二、三部分，二级单位仅填写三）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560" w:firstLineChars="200"/>
        <w:textAlignment w:val="auto"/>
        <w:rPr>
          <w:rFonts w:hint="eastAsia" w:ascii="黑体" w:hAnsi="Times New Roman" w:eastAsia="黑体" w:cs="Times New Roman"/>
          <w:sz w:val="28"/>
          <w:szCs w:val="28"/>
          <w:highlight w:val="none"/>
          <w:lang w:eastAsia="zh-CN"/>
        </w:rPr>
      </w:pPr>
      <w:r>
        <w:rPr>
          <w:rFonts w:hint="eastAsia" w:ascii="黑体" w:hAnsi="Times New Roman" w:eastAsia="黑体" w:cs="Times New Roman"/>
          <w:sz w:val="28"/>
          <w:szCs w:val="28"/>
          <w:highlight w:val="none"/>
          <w:lang w:eastAsia="zh-CN"/>
        </w:rPr>
        <w:t>部门整体绩效评价报告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r>
        <w:rPr>
          <w:rFonts w:hint="eastAsia" w:ascii="黑体" w:eastAsia="黑体"/>
          <w:sz w:val="28"/>
          <w:szCs w:val="28"/>
          <w:highlight w:val="none"/>
        </w:rPr>
        <w:t>二、项目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黑体" w:eastAsia="黑体"/>
          <w:sz w:val="28"/>
          <w:szCs w:val="28"/>
          <w:highlight w:val="none"/>
        </w:rPr>
      </w:pPr>
      <w:r>
        <w:rPr>
          <w:rFonts w:hint="eastAsia" w:ascii="黑体" w:eastAsia="黑体"/>
          <w:sz w:val="28"/>
          <w:szCs w:val="28"/>
          <w:highlight w:val="none"/>
        </w:rPr>
        <w:t>三</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p>
      <w:pPr>
        <w:pStyle w:val="2"/>
        <w:rPr>
          <w:rFonts w:ascii="黑体" w:eastAsia="黑体"/>
          <w:sz w:val="28"/>
          <w:szCs w:val="28"/>
          <w:highlight w:val="none"/>
        </w:rPr>
      </w:pPr>
    </w:p>
    <w:tbl>
      <w:tblPr>
        <w:tblStyle w:val="9"/>
        <w:tblW w:w="15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86"/>
        <w:gridCol w:w="1467"/>
        <w:gridCol w:w="2130"/>
        <w:gridCol w:w="2338"/>
        <w:gridCol w:w="1597"/>
        <w:gridCol w:w="1399"/>
        <w:gridCol w:w="1078"/>
        <w:gridCol w:w="1676"/>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2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2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北京市丰台区种籽管理站（北京市丰台区农产品质量安全检验检测站）建设提升项目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51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北京市丰台区种籽管理站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1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13661148826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179195" cy="314325"/>
                  <wp:effectExtent l="0" t="0" r="1905" b="9525"/>
                  <wp:wrapNone/>
                  <wp:docPr id="5" name="直接箭头连接符_1"/>
                  <wp:cNvGraphicFramePr/>
                  <a:graphic xmlns:a="http://schemas.openxmlformats.org/drawingml/2006/main">
                    <a:graphicData uri="http://schemas.openxmlformats.org/drawingml/2006/picture">
                      <pic:pic xmlns:pic="http://schemas.openxmlformats.org/drawingml/2006/picture">
                        <pic:nvPicPr>
                          <pic:cNvPr id="5" name="直接箭头连接符_1"/>
                          <pic:cNvPicPr/>
                        </pic:nvPicPr>
                        <pic:blipFill>
                          <a:blip/>
                          <a:stretch>
                            <a:fillRect/>
                          </a:stretch>
                        </pic:blipFill>
                        <pic:spPr>
                          <a:xfrm>
                            <a:off x="0" y="0"/>
                            <a:ext cx="1179195" cy="314325"/>
                          </a:xfrm>
                          <a:prstGeom prst="rect">
                            <a:avLst/>
                          </a:prstGeom>
                          <a:noFill/>
                          <a:ln>
                            <a:noFill/>
                          </a:ln>
                        </pic:spPr>
                      </pic:pic>
                    </a:graphicData>
                  </a:graphic>
                </wp:anchor>
              </w:drawing>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188.66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188.66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99.29%</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188.66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188.66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713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51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713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2021年购买三重四极杆气相色谱质谱联用仪，配套并完善检验室的检测任务。</w:t>
            </w:r>
          </w:p>
        </w:tc>
        <w:tc>
          <w:tcPr>
            <w:tcW w:w="751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2021年购买三重四极杆气相色谱质谱联用仪。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47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购买仪器一台</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一台</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仪器质量合格</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达标</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仪器达标</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完成农产品检测</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11月底完成</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11月底完成</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188.66万元</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188.66万元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为丰台区农产品质量安全提供技术保障</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为丰台区农产品质量安全提供技术保障</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为丰台区农产品质量安全提供技术保障</w:t>
            </w:r>
          </w:p>
        </w:tc>
        <w:tc>
          <w:tcPr>
            <w:tcW w:w="108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8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5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送检种子单位满意度</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送检种子单位满意度≥95%</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送检种子单位满意度≥95%</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95.93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480" w:lineRule="exact"/>
        <w:jc w:val="both"/>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tbl>
      <w:tblPr>
        <w:tblStyle w:val="9"/>
        <w:tblW w:w="14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88"/>
        <w:gridCol w:w="1469"/>
        <w:gridCol w:w="2129"/>
        <w:gridCol w:w="2338"/>
        <w:gridCol w:w="1598"/>
        <w:gridCol w:w="1399"/>
        <w:gridCol w:w="1079"/>
        <w:gridCol w:w="1099"/>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470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470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部门运转聘用人员经费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93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北京市丰台区种籽管理站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邓博</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93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13810768022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179195" cy="314325"/>
                  <wp:effectExtent l="0" t="0" r="1905" b="9525"/>
                  <wp:wrapNone/>
                  <wp:docPr id="6" name="直接箭头连接符_1"/>
                  <wp:cNvGraphicFramePr/>
                  <a:graphic xmlns:a="http://schemas.openxmlformats.org/drawingml/2006/main">
                    <a:graphicData uri="http://schemas.openxmlformats.org/drawingml/2006/picture">
                      <pic:pic xmlns:pic="http://schemas.openxmlformats.org/drawingml/2006/picture">
                        <pic:nvPicPr>
                          <pic:cNvPr id="6" name="直接箭头连接符_1"/>
                          <pic:cNvPicPr/>
                        </pic:nvPicPr>
                        <pic:blipFill>
                          <a:blip/>
                          <a:stretch>
                            <a:fillRect/>
                          </a:stretch>
                        </pic:blipFill>
                        <pic:spPr>
                          <a:xfrm>
                            <a:off x="0" y="0"/>
                            <a:ext cx="1179195" cy="314325"/>
                          </a:xfrm>
                          <a:prstGeom prst="rect">
                            <a:avLst/>
                          </a:prstGeom>
                          <a:noFill/>
                          <a:ln>
                            <a:noFill/>
                          </a:ln>
                        </pic:spPr>
                      </pic:pic>
                    </a:graphicData>
                  </a:graphic>
                </wp:anchor>
              </w:drawing>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713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693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713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为使本站职工食用更好的饭菜，合理膳食，保障身体健康。</w:t>
            </w:r>
          </w:p>
        </w:tc>
        <w:tc>
          <w:tcPr>
            <w:tcW w:w="693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1、合理搭配，保障营养；2、严格按照食品卫生要求，食堂专人专管。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聘用两名食堂临时工</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聘用两名食堂临时工</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聘用两名食堂临时工</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满足食品质量要求</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满足食品质量要求</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满足食品质量要求</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项目于12月底完成</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项目于12月底完成</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项目于12月底完成</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10.20万元</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保障单位食堂的正常运转，解决本站职工的餐饮问题</w:t>
            </w:r>
          </w:p>
        </w:tc>
        <w:tc>
          <w:tcPr>
            <w:tcW w:w="23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保障单位食堂的正常运转，解决本站职工的餐饮问题</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保障单位食堂的正常运转，解决本站职工的餐饮问题</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职工对菜品满意度</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职工对菜品评价≥90%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职工对菜品评价≥90%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rPr>
          <w:rFonts w:hint="eastAsia" w:ascii="黑体" w:eastAsia="黑体"/>
          <w:sz w:val="32"/>
          <w:szCs w:val="32"/>
        </w:rPr>
      </w:pPr>
    </w:p>
    <w:p>
      <w:pPr>
        <w:pStyle w:val="2"/>
        <w:ind w:left="0" w:leftChars="0" w:firstLine="0" w:firstLineChars="0"/>
        <w:rPr>
          <w:rFonts w:hint="eastAsia" w:ascii="黑体" w:eastAsia="黑体"/>
          <w:sz w:val="32"/>
          <w:szCs w:val="32"/>
        </w:rPr>
      </w:pPr>
    </w:p>
    <w:tbl>
      <w:tblPr>
        <w:tblStyle w:val="9"/>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88"/>
        <w:gridCol w:w="1466"/>
        <w:gridCol w:w="2057"/>
        <w:gridCol w:w="2281"/>
        <w:gridCol w:w="1597"/>
        <w:gridCol w:w="2134"/>
        <w:gridCol w:w="1078"/>
        <w:gridCol w:w="1142"/>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4864"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27"/>
                <w:lang w:val="en-US" w:eastAsia="zh-CN" w:bidi="ar"/>
              </w:rPr>
              <w:t xml:space="preserve"> </w:t>
            </w:r>
            <w:r>
              <w:rPr>
                <w:rFonts w:hint="eastAsia" w:ascii="宋体" w:hAnsi="宋体" w:eastAsia="宋体" w:cs="宋体"/>
                <w:b/>
                <w:i w:val="0"/>
                <w:color w:val="000000"/>
                <w:kern w:val="0"/>
                <w:sz w:val="24"/>
                <w:szCs w:val="24"/>
                <w:u w:val="none"/>
                <w:lang w:val="en-US" w:eastAsia="zh-CN" w:bidi="ar"/>
              </w:rPr>
              <w:t>项目支出绩效自评表</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4864"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1564"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第二十九届北京种业大会地展服务支撑项目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434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47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北京市丰台区种籽管理站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34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袁文勇</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47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18600583752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20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71270" cy="314325"/>
                  <wp:effectExtent l="0" t="0" r="5080" b="9525"/>
                  <wp:wrapNone/>
                  <wp:docPr id="13" name="直接箭头连接符_1"/>
                  <wp:cNvGraphicFramePr/>
                  <a:graphic xmlns:a="http://schemas.openxmlformats.org/drawingml/2006/main">
                    <a:graphicData uri="http://schemas.openxmlformats.org/drawingml/2006/picture">
                      <pic:pic xmlns:pic="http://schemas.openxmlformats.org/drawingml/2006/picture">
                        <pic:nvPicPr>
                          <pic:cNvPr id="13" name="直接箭头连接符_1"/>
                          <pic:cNvPicPr/>
                        </pic:nvPicPr>
                        <pic:blipFill>
                          <a:blip/>
                          <a:stretch>
                            <a:fillRect/>
                          </a:stretch>
                        </pic:blipFill>
                        <pic:spPr>
                          <a:xfrm>
                            <a:off x="0" y="0"/>
                            <a:ext cx="1271270" cy="314325"/>
                          </a:xfrm>
                          <a:prstGeom prst="rect">
                            <a:avLst/>
                          </a:prstGeom>
                          <a:noFill/>
                          <a:ln>
                            <a:noFill/>
                          </a:ln>
                        </pic:spPr>
                      </pic:pic>
                    </a:graphicData>
                  </a:graphic>
                </wp:anchor>
              </w:drawing>
            </w:r>
          </w:p>
        </w:tc>
        <w:tc>
          <w:tcPr>
            <w:tcW w:w="22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21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1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12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22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2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173.917355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86.96%</w:t>
            </w:r>
          </w:p>
        </w:tc>
        <w:tc>
          <w:tcPr>
            <w:tcW w:w="12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22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21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173.917355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22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62"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287"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7"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43"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55"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十九届北京种业大会地展服务支撑项目，旨在高效开展农作物原创品种展示观摩活动、种业扶贫专区展示活动、农作物登记品种展示活动，种业大会30年和北京种业发展40年成果展馆展示范等一系活动，探索并建立种业大会筹办的长效机制，充分展示首都“种业之都”的建设成果，形成研发、展示、示范、推广、交易、服务一体化的全产业链发展模式，推动创新成果在京津冀及全国全面转化和广泛应用，努力打造全国现代种业发展高地。</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完成情况综述：高效开展农作物原创品种展示观摩活动、种业扶贫专区展示活动、农作物登记品种展示活动，种业大会30年和北京种业发展40年成果展馆展示范等一系活动,具体包括1、开展农作物原创品种展示观摩活动，展示各类品种680个；开展种业扶贫专区展示活动，专区20个；开展北京市农作物登记品种展示79个；升级原世界种子大会品种展示基地种业展厅更换内容≧80%；组织国内种子企业、农业园区、农民合作社、种植大户等观摩，1000人次（因疫情防控，限定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指标1：完成展示基地各项运行保障项目工作。</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农作物原创品种展示观摩活动、种业扶贫专区展示活动、农作物登记品种展示，种业大会30年和北京种业发展40年成果展。</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第二十九届北京种业大会期间，高效开展农作物原创品种展示观摩活动、种业扶贫专区展示活动、农作物登记品种展示活动，种业大会30年和北京种业发展40年成果展馆展示范等一系活动。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指标2：开展种业科技展示示范和种业企业科技品种展示</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农作物原创品种展、种业扶贫专区展、农作物登记品种展，种业大会30年和北京种业发展40年成果展。</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开展农作物原创品种展示观摩活动，展示各类品种680个；开展种业扶贫专区展示活动，专区20个；开展北京市农作物登记品种展示79个；升级原世界种子大会品种展示基地种业展厅更换内容≧80%；组织国内种子企业、农业园区、农民合作社、种植大户等观摩，1000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满足各项质量要求</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满足各项质量要求</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满足各项质量要求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2021年12月底全部完成</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2021年12月底全部完成</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2021年12月底全部完成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200万元</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展种业科技展示示范和种业企业科技品种展示活动，接待全国种业人事参观，达到预期效果</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展种业科技展示示范和种业企业科技品种展示活动，接待全国种业人事参观，达到预期效果</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展种业科技展示示范和种业企业科技品种展示活动，接待全国种业人事参观，达到预期效果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2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参展单位满意度</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参展单位满意度≥95%</w:t>
            </w:r>
          </w:p>
        </w:tc>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参展单位满意度≥95%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tbl>
      <w:tblPr>
        <w:tblStyle w:val="9"/>
        <w:tblW w:w="14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87"/>
        <w:gridCol w:w="1467"/>
        <w:gridCol w:w="2126"/>
        <w:gridCol w:w="2336"/>
        <w:gridCol w:w="1598"/>
        <w:gridCol w:w="1398"/>
        <w:gridCol w:w="1079"/>
        <w:gridCol w:w="1079"/>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46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46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1380"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44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91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北京市丰台区种籽管理站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4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张胜利</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91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13801395285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33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179195" cy="314325"/>
                  <wp:effectExtent l="0" t="0" r="1905" b="9525"/>
                  <wp:wrapNone/>
                  <wp:docPr id="14" name="直接箭头连接符_1"/>
                  <wp:cNvGraphicFramePr/>
                  <a:graphic xmlns:a="http://schemas.openxmlformats.org/drawingml/2006/main">
                    <a:graphicData uri="http://schemas.openxmlformats.org/drawingml/2006/picture">
                      <pic:pic xmlns:pic="http://schemas.openxmlformats.org/drawingml/2006/picture">
                        <pic:nvPicPr>
                          <pic:cNvPr id="14" name="直接箭头连接符_1"/>
                          <pic:cNvPicPr/>
                        </pic:nvPicPr>
                        <pic:blipFill>
                          <a:blip/>
                          <a:stretch>
                            <a:fillRect/>
                          </a:stretch>
                        </pic:blipFill>
                        <pic:spPr>
                          <a:xfrm>
                            <a:off x="0" y="0"/>
                            <a:ext cx="1179195" cy="314325"/>
                          </a:xfrm>
                          <a:prstGeom prst="rect">
                            <a:avLst/>
                          </a:prstGeom>
                          <a:noFill/>
                          <a:ln>
                            <a:noFill/>
                          </a:ln>
                        </pic:spPr>
                      </pic:pic>
                    </a:graphicData>
                  </a:graphic>
                </wp:anchor>
              </w:drawing>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8.448</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8.448</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8.448</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8.448</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8.448</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8.448</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713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691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713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为使本站职工食用更好的饭菜，合理膳食，保障身体健康。</w:t>
            </w:r>
          </w:p>
        </w:tc>
        <w:tc>
          <w:tcPr>
            <w:tcW w:w="691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1、合理搭配，保障营养；2、严格按照食品卫生要求，食堂专人专管。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每周一次按照食品实际发生量进行食品配送</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每周一次按照食品实际发生量进行食品配送</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每周一次按照食品实际发生量进行食品配送</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菜品质量合格率达到98%</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菜品质量合格率达到98%</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菜品质量合格率达到98%</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项目12月底前完成</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项目12月底前完成</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8.448万元</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8.448万元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提高了菜品质量和花样</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提高了菜品质量和花样</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提高了菜品质量和花样</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6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全站职工对菜品质量满意度</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全站职工对菜品质量满意度≥95%</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全站职工对菜品质量满意度≥96%</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770"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tbl>
      <w:tblPr>
        <w:tblStyle w:val="9"/>
        <w:tblW w:w="15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22"/>
        <w:gridCol w:w="1253"/>
        <w:gridCol w:w="2115"/>
        <w:gridCol w:w="2341"/>
        <w:gridCol w:w="1599"/>
        <w:gridCol w:w="2228"/>
        <w:gridCol w:w="1079"/>
        <w:gridCol w:w="1086"/>
        <w:gridCol w:w="1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108"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项目支出绩效自评表</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108"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02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088"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品种展示基地运行经费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02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44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797"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北京市丰台区种籽管理站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02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4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梁海坡</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797"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13811567505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02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21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16" name="直接箭头连接符_1"/>
                  <wp:cNvGraphicFramePr/>
                  <a:graphic xmlns:a="http://schemas.openxmlformats.org/drawingml/2006/main">
                    <a:graphicData uri="http://schemas.openxmlformats.org/drawingml/2006/picture">
                      <pic:pic xmlns:pic="http://schemas.openxmlformats.org/drawingml/2006/picture">
                        <pic:nvPicPr>
                          <pic:cNvPr id="16"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3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22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08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163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02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23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316.105063</w:t>
            </w: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316.105063</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316.105063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6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02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23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316.105063</w:t>
            </w:r>
          </w:p>
        </w:tc>
        <w:tc>
          <w:tcPr>
            <w:tcW w:w="1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316.105063</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316.105063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2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23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02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1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343"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0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3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6"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1"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根据区政府、区农业农村局关于展示基地运行工作的指示精神，2021年我站继续负责实施展示基地运行保障项目工作。</w:t>
            </w:r>
          </w:p>
        </w:tc>
        <w:tc>
          <w:tcPr>
            <w:tcW w:w="7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完成情况综述：高效保障1、2021年品种展示基地保障性运行工作，完成基地土地租金费支付、基地水电运行保障、基地运行人员保障、基地生产安保服、基地农业物资保障、基地日常办公保障、基地保障人员伙食费、基地环境整保障、基地设备设施维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2、完成市级非主要农作物登记品种展示生产适应性评价工作79个，完成2021年北京种子大会品种展示680个品种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指标1：完成展示基地各项运行保障项目工作。</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完成基地土地租金费支付、基地水电运行保障、基地运行人员保障、基地生产安保服、基地农业物资保障、基地日常办公保障、基地保障人员伙食费、基地环境整保障、基地设备设施维护等9项任务。</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完成基地土地租金费支付、基地水电运行保障、基地运行人员保障、基地生产安保服、基地农业物资保障、基地日常办公保障、基地保障人员伙食费、基地环境整保障、基地设备设施维护等9项任务。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指标2：开展种业科技展示示范和种业企业科技品种展示</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1、完成市级非主要农作物登记品种展示生产适应性评价工作79个。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2、完成2020年北京种子大会品种展示350个品种。</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1、完成市级非主要农作物登记品种展示生产适应性评价工作79个。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2、完成2020年北京种子大会品种展示680个品种。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满足各项质量要求</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满足各项质量要求</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满足各项质量要求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2021年12月底全部完成</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2021年12月底全部完成</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2021年12月底全部完成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316.105063万元</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316.105063万元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展种业科技展示示范和种业企业科技品种展示活动，接待全国种业人事参观，达到预期效果</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展种业科技展示示范和种业企业科技品种展示活动，接待全国种业人事参观，达到预期效果</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展种业科技展示示范和种业企业科技品种展示活动，接待全国种业人事参观，达到预期效果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63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参展单位满意度</w:t>
            </w:r>
          </w:p>
        </w:tc>
        <w:tc>
          <w:tcPr>
            <w:tcW w:w="2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参展单位满意度≥95%</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参展单位满意度≥95%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1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tbl>
      <w:tblPr>
        <w:tblStyle w:val="9"/>
        <w:tblW w:w="15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86"/>
        <w:gridCol w:w="1468"/>
        <w:gridCol w:w="2128"/>
        <w:gridCol w:w="2337"/>
        <w:gridCol w:w="1598"/>
        <w:gridCol w:w="1399"/>
        <w:gridCol w:w="1078"/>
        <w:gridCol w:w="1677"/>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2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2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区种子质量监督检验站（农产品质量安全综合质检站）运行费用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51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北京市丰台区种籽管理站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1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13661148826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179195" cy="314325"/>
                  <wp:effectExtent l="0" t="0" r="1905" b="9525"/>
                  <wp:wrapNone/>
                  <wp:docPr id="17" name="直接箭头连接符_1"/>
                  <wp:cNvGraphicFramePr/>
                  <a:graphic xmlns:a="http://schemas.openxmlformats.org/drawingml/2006/main">
                    <a:graphicData uri="http://schemas.openxmlformats.org/drawingml/2006/picture">
                      <pic:pic xmlns:pic="http://schemas.openxmlformats.org/drawingml/2006/picture">
                        <pic:nvPicPr>
                          <pic:cNvPr id="17" name="直接箭头连接符_1"/>
                          <pic:cNvPicPr/>
                        </pic:nvPicPr>
                        <pic:blipFill>
                          <a:blip/>
                          <a:stretch>
                            <a:fillRect/>
                          </a:stretch>
                        </pic:blipFill>
                        <pic:spPr>
                          <a:xfrm>
                            <a:off x="0" y="0"/>
                            <a:ext cx="1179195" cy="314325"/>
                          </a:xfrm>
                          <a:prstGeom prst="rect">
                            <a:avLst/>
                          </a:prstGeom>
                          <a:noFill/>
                          <a:ln>
                            <a:noFill/>
                          </a:ln>
                        </pic:spPr>
                      </pic:pic>
                    </a:graphicData>
                  </a:graphic>
                </wp:anchor>
              </w:drawing>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39.121567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39.121567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39.121567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39.121567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39.121567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39.121567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713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51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713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1、根据2021年丰台区农产品质量安全统一监测计划承担全区农产品质量安全检测任务。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2、对辖区持证种子企业进行种子质量抽样检测监管工作。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3、保障区种子质量监督检验站（农产品质量安全综合质检站）日常业务及检测工作正常运行。</w:t>
            </w:r>
          </w:p>
        </w:tc>
        <w:tc>
          <w:tcPr>
            <w:tcW w:w="751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1、完成2021年丰台区农产品质量安全统一监测计划承担全区农产品质量安全检测任务80个样品。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2、完成辖区持证种子企业种子质量抽样检测监管工作。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3、完成区种子质量监督检验站（农产品质量安全综合质检站）日常业务及检测正常运行保障工作。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完成本年度统一监测农产品定量检测任务</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80个样品</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全年农产品定量检测共80个样品</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完成上级业务部门要求的检测监管种子样品检测数量</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检查种子企业自营品种20%的样品检测数量</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本年度检查种子企业13家抽检检测样品34个</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检验报告差错率</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检验报告差错率0%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检测准确率</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检测样品准确率100%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完成农产品检测</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11月底完成</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11月底完成</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种子抽样检测</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11月底完成</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11月底完成</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39.121567万元</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39.121567万元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为丰台区农产品质量安全提供技术保障</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为丰台区农产品质量安全提供技术保障</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为丰台区农产品质量安全提供技术保障</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5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对辖区种子企业进行质量监管保障农民用种安全</w:t>
            </w:r>
          </w:p>
        </w:tc>
        <w:tc>
          <w:tcPr>
            <w:tcW w:w="23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对辖区种子企业进行质量监管　保障农民用种安全</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对辖区种子企业进行质量监管　保障农民用种安全</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送检种子单位满意度</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送检种子单位满意度≥95%</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送检种子单位满意度≥95%</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96.00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p>
      <w:pPr>
        <w:pStyle w:val="2"/>
        <w:ind w:left="0" w:leftChars="0" w:firstLine="0" w:firstLineChars="0"/>
        <w:rPr>
          <w:rFonts w:hint="eastAsia" w:ascii="黑体" w:eastAsia="黑体"/>
          <w:sz w:val="32"/>
          <w:szCs w:val="32"/>
        </w:rPr>
      </w:pPr>
    </w:p>
    <w:tbl>
      <w:tblPr>
        <w:tblStyle w:val="9"/>
        <w:tblW w:w="15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1187"/>
        <w:gridCol w:w="1468"/>
        <w:gridCol w:w="2496"/>
        <w:gridCol w:w="2580"/>
        <w:gridCol w:w="1596"/>
        <w:gridCol w:w="1398"/>
        <w:gridCol w:w="1077"/>
        <w:gridCol w:w="1099"/>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013"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013"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62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北京市丰台区种籽管理站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王少鹏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62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13910568064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19" name="直接箭头连接符_1"/>
                  <wp:cNvGraphicFramePr/>
                  <a:graphic xmlns:a="http://schemas.openxmlformats.org/drawingml/2006/main">
                    <a:graphicData uri="http://schemas.openxmlformats.org/drawingml/2006/picture">
                      <pic:pic xmlns:pic="http://schemas.openxmlformats.org/drawingml/2006/picture">
                        <pic:nvPicPr>
                          <pic:cNvPr id="19"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3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774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662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774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通过互联网专线接入使丰台区种籽管理站和农作物品种展示基地，优化办公网络环境，满足日常办公需求，保证向区农业农村局、北京市种子管理站等网站上报工作信息的及时性。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通过北京种子大会官网的托管，满足北京种子大会官网的信息发布等需求。       </w:t>
            </w:r>
          </w:p>
        </w:tc>
        <w:tc>
          <w:tcPr>
            <w:tcW w:w="662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通过互联网专线接入，满足了丰台区种籽管理站和农作物品种展示基地的网络办公需要。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通过北京种子大会官网的托管，满足了北京种子大会官网的信息发布，网站管理等需要。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完成丰台区种籽管理站和农作物品种展示基地2个地点的网络专线接入，完成北京种子大会官网的网络托管</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完成丰台区种籽管理站和农作物品种展示基地2个地点的网络专线接入，完成北京种子大会官网的网络托管</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完成预期指标</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保证全年无网络中断情况</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保证全年无网络中断情况</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网络维修2次</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网络维修2次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服务器托管费合同签订日期</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2021年8月</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2021年8月</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管理站网费合同签订日期</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基地网费合同签订日期</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2021年4月</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2021年4月</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9.9984万元</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9.9984万元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保证网络环境和速率，保证丰台区种籽管理站和农作物品种展示基地工作网络环境，保证种子大会官网正常运行和维护</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保证网络环境和速率，保证丰台区种籽管理站和农作物品种展示基地工作网络环境，保证种子大会官网正常运行和维护</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保证网络环境和速率，保证丰台区种籽管理站和农作物品种展示基地工作网络环境，保证种子大会官网正常运行和维护</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11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单位职工满意度</w:t>
            </w:r>
          </w:p>
        </w:tc>
        <w:tc>
          <w:tcPr>
            <w:tcW w:w="2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单位职工满意度≥95%</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单位职工满意度≥95%</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ind w:left="0" w:leftChars="0" w:firstLine="0" w:firstLineChars="0"/>
        <w:rPr>
          <w:rFonts w:hint="eastAsia" w:ascii="黑体" w:eastAsia="黑体"/>
          <w:sz w:val="32"/>
          <w:szCs w:val="32"/>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18214"/>
    <w:multiLevelType w:val="singleLevel"/>
    <w:tmpl w:val="BD718214"/>
    <w:lvl w:ilvl="0" w:tentative="0">
      <w:start w:val="2"/>
      <w:numFmt w:val="decimal"/>
      <w:suff w:val="nothing"/>
      <w:lvlText w:val="（%1）"/>
      <w:lvlJc w:val="left"/>
    </w:lvl>
  </w:abstractNum>
  <w:abstractNum w:abstractNumId="1">
    <w:nsid w:val="D7FFB472"/>
    <w:multiLevelType w:val="singleLevel"/>
    <w:tmpl w:val="D7FFB4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210E88"/>
    <w:rsid w:val="03C52C77"/>
    <w:rsid w:val="0A593F10"/>
    <w:rsid w:val="0A883DBA"/>
    <w:rsid w:val="0D386C2E"/>
    <w:rsid w:val="0EE45912"/>
    <w:rsid w:val="107F508E"/>
    <w:rsid w:val="11D75C8B"/>
    <w:rsid w:val="138057B1"/>
    <w:rsid w:val="13991D1D"/>
    <w:rsid w:val="186101B0"/>
    <w:rsid w:val="19674DDC"/>
    <w:rsid w:val="1B8D24BA"/>
    <w:rsid w:val="1C96CAB6"/>
    <w:rsid w:val="1D352193"/>
    <w:rsid w:val="1DF3E524"/>
    <w:rsid w:val="203845F6"/>
    <w:rsid w:val="219E7987"/>
    <w:rsid w:val="23E4021E"/>
    <w:rsid w:val="24313D10"/>
    <w:rsid w:val="2518097F"/>
    <w:rsid w:val="26213D3F"/>
    <w:rsid w:val="28B80296"/>
    <w:rsid w:val="28D06AF8"/>
    <w:rsid w:val="2A4E3146"/>
    <w:rsid w:val="2DD30DB9"/>
    <w:rsid w:val="2FB73660"/>
    <w:rsid w:val="31165AFF"/>
    <w:rsid w:val="373077B3"/>
    <w:rsid w:val="391D590A"/>
    <w:rsid w:val="3CFFD38A"/>
    <w:rsid w:val="3DF7BC2D"/>
    <w:rsid w:val="42E2536A"/>
    <w:rsid w:val="42EC74E1"/>
    <w:rsid w:val="47C875F3"/>
    <w:rsid w:val="4862732C"/>
    <w:rsid w:val="49B23E83"/>
    <w:rsid w:val="4BE52134"/>
    <w:rsid w:val="4C8A380E"/>
    <w:rsid w:val="4DEA0ED7"/>
    <w:rsid w:val="4E703C3C"/>
    <w:rsid w:val="555A6D40"/>
    <w:rsid w:val="56CE31F1"/>
    <w:rsid w:val="577A6702"/>
    <w:rsid w:val="5EA35F6B"/>
    <w:rsid w:val="60902DF2"/>
    <w:rsid w:val="6370126C"/>
    <w:rsid w:val="6427700A"/>
    <w:rsid w:val="64464BB1"/>
    <w:rsid w:val="67CD0FFD"/>
    <w:rsid w:val="6B364A57"/>
    <w:rsid w:val="6B981BC6"/>
    <w:rsid w:val="6C1545D1"/>
    <w:rsid w:val="6C9560E8"/>
    <w:rsid w:val="6CB849E9"/>
    <w:rsid w:val="71DB1731"/>
    <w:rsid w:val="71F00353"/>
    <w:rsid w:val="7228235C"/>
    <w:rsid w:val="72461A26"/>
    <w:rsid w:val="72BC69B7"/>
    <w:rsid w:val="73C70AFF"/>
    <w:rsid w:val="786A7FD2"/>
    <w:rsid w:val="787447D4"/>
    <w:rsid w:val="78BF1DDB"/>
    <w:rsid w:val="7903143D"/>
    <w:rsid w:val="7A785851"/>
    <w:rsid w:val="7D08410F"/>
    <w:rsid w:val="D8FF64A3"/>
    <w:rsid w:val="E9BB220B"/>
    <w:rsid w:val="EF0F2CF3"/>
    <w:rsid w:val="F7FB4260"/>
    <w:rsid w:val="FAF98CF7"/>
    <w:rsid w:val="FEFF1A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paragraph" w:customStyle="1" w:styleId="13">
    <w:name w:val="Char Char3 Char Char"/>
    <w:basedOn w:val="1"/>
    <w:qFormat/>
    <w:uiPriority w:val="0"/>
    <w:rPr>
      <w:szCs w:val="21"/>
    </w:rPr>
  </w:style>
  <w:style w:type="paragraph" w:customStyle="1" w:styleId="14">
    <w:name w:val="Char1 Char Char Char"/>
    <w:basedOn w:val="1"/>
    <w:qFormat/>
    <w:uiPriority w:val="0"/>
    <w:pPr>
      <w:widowControl/>
      <w:spacing w:after="160" w:line="240" w:lineRule="exact"/>
      <w:jc w:val="left"/>
    </w:pPr>
    <w:rPr>
      <w:szCs w:val="20"/>
    </w:rPr>
  </w:style>
  <w:style w:type="paragraph" w:customStyle="1" w:styleId="15">
    <w:name w:val=" Char Char Char Char Char Char Char"/>
    <w:basedOn w:val="1"/>
    <w:qFormat/>
    <w:uiPriority w:val="0"/>
    <w:rPr>
      <w:rFonts w:ascii="Tahoma" w:hAnsi="Tahoma"/>
      <w:sz w:val="24"/>
      <w:szCs w:val="20"/>
    </w:rPr>
  </w:style>
  <w:style w:type="paragraph" w:customStyle="1" w:styleId="16">
    <w:name w:val="Char"/>
    <w:basedOn w:val="1"/>
    <w:qFormat/>
    <w:uiPriority w:val="0"/>
    <w:rPr>
      <w:rFonts w:ascii="Tahoma" w:hAnsi="Tahoma"/>
      <w:sz w:val="24"/>
      <w:szCs w:val="20"/>
    </w:rPr>
  </w:style>
  <w:style w:type="character" w:customStyle="1" w:styleId="17">
    <w:name w:val="页眉 Char"/>
    <w:link w:val="7"/>
    <w:qFormat/>
    <w:uiPriority w:val="0"/>
    <w:rPr>
      <w:rFonts w:ascii="Calibri" w:hAnsi="Calibri" w:eastAsia="宋体"/>
      <w:kern w:val="2"/>
      <w:sz w:val="18"/>
      <w:szCs w:val="18"/>
      <w:lang w:val="en-US" w:eastAsia="zh-CN" w:bidi="ar-SA"/>
    </w:rPr>
  </w:style>
  <w:style w:type="character" w:customStyle="1" w:styleId="18">
    <w:name w:val="页脚 Char"/>
    <w:link w:val="6"/>
    <w:qFormat/>
    <w:uiPriority w:val="0"/>
    <w:rPr>
      <w:rFonts w:eastAsia="宋体"/>
      <w:kern w:val="2"/>
      <w:sz w:val="18"/>
      <w:szCs w:val="18"/>
      <w:lang w:val="en-US" w:eastAsia="zh-CN" w:bidi="ar-SA"/>
    </w:rPr>
  </w:style>
  <w:style w:type="character" w:customStyle="1" w:styleId="19">
    <w:name w:val="font71"/>
    <w:basedOn w:val="10"/>
    <w:qFormat/>
    <w:uiPriority w:val="0"/>
    <w:rPr>
      <w:rFonts w:hint="default" w:ascii="仿宋_GB2312" w:eastAsia="仿宋_GB2312" w:cs="仿宋_GB2312"/>
      <w:color w:val="000000"/>
      <w:sz w:val="32"/>
      <w:szCs w:val="32"/>
      <w:u w:val="none"/>
    </w:rPr>
  </w:style>
  <w:style w:type="character" w:customStyle="1" w:styleId="20">
    <w:name w:val="font21"/>
    <w:basedOn w:val="10"/>
    <w:uiPriority w:val="0"/>
    <w:rPr>
      <w:rFonts w:hint="eastAsia" w:ascii="宋体" w:hAnsi="宋体" w:eastAsia="宋体" w:cs="宋体"/>
      <w:b/>
      <w:color w:val="000000"/>
      <w:sz w:val="32"/>
      <w:szCs w:val="32"/>
      <w:u w:val="none"/>
    </w:rPr>
  </w:style>
  <w:style w:type="character" w:customStyle="1" w:styleId="21">
    <w:name w:val="font11"/>
    <w:basedOn w:val="10"/>
    <w:qFormat/>
    <w:uiPriority w:val="0"/>
    <w:rPr>
      <w:rFonts w:hint="eastAsia" w:ascii="宋体" w:hAnsi="宋体" w:eastAsia="宋体" w:cs="宋体"/>
      <w:color w:val="000000"/>
      <w:sz w:val="32"/>
      <w:szCs w:val="32"/>
      <w:u w:val="none"/>
    </w:rPr>
  </w:style>
  <w:style w:type="character" w:customStyle="1" w:styleId="22">
    <w:name w:val="font41"/>
    <w:basedOn w:val="10"/>
    <w:qFormat/>
    <w:uiPriority w:val="0"/>
    <w:rPr>
      <w:rFonts w:hint="eastAsia" w:ascii="宋体" w:hAnsi="宋体" w:eastAsia="宋体" w:cs="宋体"/>
      <w:b/>
      <w:color w:val="000000"/>
      <w:sz w:val="32"/>
      <w:szCs w:val="32"/>
      <w:u w:val="none"/>
    </w:rPr>
  </w:style>
  <w:style w:type="character" w:customStyle="1" w:styleId="23">
    <w:name w:val="font51"/>
    <w:basedOn w:val="10"/>
    <w:uiPriority w:val="0"/>
    <w:rPr>
      <w:rFonts w:hint="eastAsia" w:ascii="宋体" w:hAnsi="宋体" w:eastAsia="宋体" w:cs="宋体"/>
      <w:color w:val="000000"/>
      <w:sz w:val="32"/>
      <w:szCs w:val="32"/>
      <w:u w:val="none"/>
    </w:rPr>
  </w:style>
  <w:style w:type="character" w:customStyle="1" w:styleId="24">
    <w:name w:val="font61"/>
    <w:basedOn w:val="10"/>
    <w:qFormat/>
    <w:uiPriority w:val="0"/>
    <w:rPr>
      <w:rFonts w:hint="default" w:ascii="仿宋_GB2312" w:eastAsia="仿宋_GB2312" w:cs="仿宋_GB2312"/>
      <w:color w:val="000000"/>
      <w:sz w:val="32"/>
      <w:szCs w:val="32"/>
      <w:u w:val="none"/>
    </w:rPr>
  </w:style>
  <w:style w:type="character" w:customStyle="1" w:styleId="25">
    <w:name w:val="font01"/>
    <w:basedOn w:val="10"/>
    <w:uiPriority w:val="0"/>
    <w:rPr>
      <w:rFonts w:hint="eastAsia" w:ascii="宋体" w:hAnsi="宋体" w:eastAsia="宋体" w:cs="宋体"/>
      <w:color w:val="000000"/>
      <w:sz w:val="32"/>
      <w:szCs w:val="32"/>
      <w:u w:val="none"/>
    </w:rPr>
  </w:style>
  <w:style w:type="character" w:customStyle="1" w:styleId="26">
    <w:name w:val="font81"/>
    <w:basedOn w:val="10"/>
    <w:uiPriority w:val="0"/>
    <w:rPr>
      <w:rFonts w:hint="eastAsia" w:ascii="宋体" w:hAnsi="宋体" w:eastAsia="宋体" w:cs="宋体"/>
      <w:color w:val="000000"/>
      <w:sz w:val="32"/>
      <w:szCs w:val="32"/>
      <w:u w:val="none"/>
    </w:rPr>
  </w:style>
  <w:style w:type="character" w:customStyle="1" w:styleId="27">
    <w:name w:val="font3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1560</Words>
  <Characters>8895</Characters>
  <Lines>74</Lines>
  <Paragraphs>20</Paragraphs>
  <TotalTime>0</TotalTime>
  <ScaleCrop>false</ScaleCrop>
  <LinksUpToDate>false</LinksUpToDate>
  <CharactersWithSpaces>10435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2017-07-09T07:16:00Z</dcterms:created>
  <dc:creator>Administrator</dc:creator>
  <cp:lastModifiedBy>x</cp:lastModifiedBy>
  <cp:lastPrinted>2022-05-26T18:27:00Z</cp:lastPrinted>
  <dcterms:modified xsi:type="dcterms:W3CDTF">2022-09-19T06:47:03Z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