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72"/>
          <w:szCs w:val="72"/>
        </w:rPr>
      </w:pPr>
    </w:p>
    <w:p>
      <w:pPr>
        <w:pStyle w:val="2"/>
        <w:ind w:firstLine="420"/>
      </w:pPr>
    </w:p>
    <w:p>
      <w:pPr>
        <w:jc w:val="center"/>
        <w:rPr>
          <w:rFonts w:ascii="黑体" w:eastAsia="黑体"/>
          <w:sz w:val="72"/>
          <w:szCs w:val="72"/>
        </w:rPr>
      </w:pPr>
    </w:p>
    <w:p>
      <w:pPr>
        <w:jc w:val="center"/>
        <w:rPr>
          <w:rFonts w:ascii="黑体" w:eastAsia="黑体"/>
          <w:sz w:val="72"/>
          <w:szCs w:val="72"/>
        </w:rPr>
      </w:pPr>
    </w:p>
    <w:p>
      <w:pPr>
        <w:jc w:val="center"/>
        <w:rPr>
          <w:rFonts w:ascii="黑体" w:eastAsia="黑体"/>
          <w:color w:val="0C0C0C" w:themeColor="text1" w:themeTint="F2"/>
          <w:sz w:val="72"/>
          <w:szCs w:val="72"/>
        </w:rPr>
      </w:pPr>
      <w:r>
        <w:rPr>
          <w:rFonts w:hint="eastAsia" w:ascii="黑体" w:eastAsia="黑体"/>
          <w:color w:val="0C0C0C" w:themeColor="text1" w:themeTint="F2"/>
          <w:sz w:val="72"/>
          <w:szCs w:val="72"/>
        </w:rPr>
        <w:t>北京市丰台区卢沟桥中学</w:t>
      </w:r>
    </w:p>
    <w:p>
      <w:pPr>
        <w:jc w:val="center"/>
        <w:rPr>
          <w:rFonts w:ascii="黑体" w:eastAsia="黑体"/>
          <w:sz w:val="52"/>
          <w:szCs w:val="52"/>
        </w:rPr>
      </w:pPr>
      <w:r>
        <w:rPr>
          <w:rFonts w:hint="eastAsia" w:ascii="黑体" w:eastAsia="黑体"/>
          <w:sz w:val="72"/>
          <w:szCs w:val="72"/>
        </w:rPr>
        <w:t>2022年度部门决算（草案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pStyle w:val="2"/>
        <w:ind w:firstLine="1040"/>
        <w:rPr>
          <w:rFonts w:ascii="黑体" w:eastAsia="黑体"/>
          <w:sz w:val="52"/>
          <w:szCs w:val="52"/>
        </w:rPr>
      </w:pPr>
    </w:p>
    <w:p>
      <w:pPr>
        <w:pStyle w:val="2"/>
        <w:ind w:firstLine="1040"/>
        <w:rPr>
          <w:rFonts w:ascii="黑体" w:eastAsia="黑体"/>
          <w:sz w:val="52"/>
          <w:szCs w:val="52"/>
        </w:rPr>
      </w:pPr>
    </w:p>
    <w:p>
      <w:pPr>
        <w:jc w:val="center"/>
        <w:rPr>
          <w:rFonts w:ascii="黑体" w:eastAsia="黑体"/>
          <w:sz w:val="52"/>
          <w:szCs w:val="52"/>
        </w:rPr>
      </w:pPr>
    </w:p>
    <w:p>
      <w:pPr>
        <w:spacing w:line="500" w:lineRule="exact"/>
        <w:ind w:firstLine="645"/>
        <w:jc w:val="center"/>
        <w:rPr>
          <w:rFonts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Lines="100"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2022年度部门决算报表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eastAsia="仿宋_GB231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beforeLines="50"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2022年度部门决算说明</w:t>
      </w:r>
    </w:p>
    <w:p>
      <w:pPr>
        <w:tabs>
          <w:tab w:val="center" w:pos="6979"/>
        </w:tabs>
        <w:spacing w:beforeLines="50"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2022年度</w:t>
      </w:r>
      <w:r>
        <w:rPr>
          <w:rFonts w:hint="eastAsia" w:ascii="宋体" w:hAnsi="宋体" w:cs="宋体"/>
          <w:spacing w:val="40"/>
          <w:kern w:val="0"/>
          <w:sz w:val="32"/>
          <w:szCs w:val="32"/>
        </w:rPr>
        <w:t>其他重要事项的情况说明</w:t>
      </w:r>
    </w:p>
    <w:p>
      <w:pPr>
        <w:tabs>
          <w:tab w:val="center" w:pos="6979"/>
        </w:tabs>
        <w:spacing w:beforeLines="50"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2022年度部门绩效评价情况</w:t>
      </w:r>
    </w:p>
    <w:p>
      <w:pPr>
        <w:tabs>
          <w:tab w:val="center" w:pos="6979"/>
        </w:tabs>
        <w:spacing w:beforeLines="50"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2022年度部门决算报表</w:t>
      </w:r>
    </w:p>
    <w:p>
      <w:pPr>
        <w:tabs>
          <w:tab w:val="center" w:pos="6979"/>
        </w:tabs>
        <w:spacing w:line="580" w:lineRule="exact"/>
        <w:ind w:firstLine="560" w:firstLineChars="200"/>
        <w:rPr>
          <w:rFonts w:ascii="仿宋_GB2312" w:hAnsi="宋体" w:eastAsia="仿宋_GB2312" w:cs="宋体"/>
          <w:bCs/>
          <w:spacing w:val="40"/>
          <w:kern w:val="0"/>
          <w:sz w:val="32"/>
          <w:szCs w:val="32"/>
        </w:rPr>
      </w:pPr>
      <w:r>
        <w:rPr>
          <w:rFonts w:hint="eastAsia" w:ascii="仿宋_GB2312" w:eastAsia="仿宋_GB2312"/>
          <w:kern w:val="0"/>
          <w:sz w:val="28"/>
          <w:szCs w:val="28"/>
        </w:rPr>
        <w:t>北京市丰台区卢沟桥中学2022年度部门决算报表详见附件</w:t>
      </w:r>
      <w:r>
        <w:rPr>
          <w:rFonts w:hint="eastAsia" w:ascii="仿宋_GB2312" w:hAnsi="宋体" w:eastAsia="仿宋_GB2312" w:cs="宋体"/>
          <w:bCs/>
          <w:spacing w:val="40"/>
          <w:kern w:val="0"/>
          <w:sz w:val="32"/>
          <w:szCs w:val="32"/>
        </w:rPr>
        <w:t>。</w:t>
      </w:r>
    </w:p>
    <w:p>
      <w:pPr>
        <w:tabs>
          <w:tab w:val="center" w:pos="6979"/>
        </w:tabs>
        <w:spacing w:beforeLines="50"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2022年度部门决算说明</w:t>
      </w:r>
    </w:p>
    <w:p>
      <w:pPr>
        <w:tabs>
          <w:tab w:val="center" w:pos="6979"/>
        </w:tabs>
        <w:spacing w:line="580" w:lineRule="exact"/>
        <w:ind w:firstLine="548" w:firstLineChars="196"/>
        <w:rPr>
          <w:rFonts w:ascii="黑体" w:eastAsia="黑体"/>
          <w:b/>
          <w:color w:val="0C0C0C" w:themeColor="text1" w:themeTint="F2"/>
          <w:sz w:val="28"/>
          <w:szCs w:val="28"/>
        </w:rPr>
      </w:pPr>
      <w:r>
        <w:rPr>
          <w:rFonts w:hint="eastAsia" w:ascii="黑体" w:eastAsia="黑体"/>
          <w:b/>
          <w:sz w:val="28"/>
          <w:szCs w:val="28"/>
        </w:rPr>
        <w:t>一、单位基本情况</w:t>
      </w:r>
      <w:r>
        <w:rPr>
          <w:rFonts w:hint="eastAsia" w:ascii="仿宋_GB2312" w:eastAsia="仿宋_GB2312"/>
          <w:color w:val="0C0C0C" w:themeColor="text1" w:themeTint="F2"/>
          <w:sz w:val="28"/>
          <w:szCs w:val="28"/>
        </w:rPr>
        <w:t>（比照</w:t>
      </w:r>
      <w:r>
        <w:rPr>
          <w:rFonts w:ascii="仿宋_GB2312" w:eastAsia="仿宋_GB2312"/>
          <w:color w:val="0C0C0C" w:themeColor="text1" w:themeTint="F2"/>
          <w:sz w:val="28"/>
          <w:szCs w:val="28"/>
        </w:rPr>
        <w:t>预算公开</w:t>
      </w:r>
      <w:r>
        <w:rPr>
          <w:rFonts w:hint="eastAsia" w:ascii="仿宋_GB2312" w:eastAsia="仿宋_GB2312"/>
          <w:color w:val="0C0C0C" w:themeColor="text1" w:themeTint="F2"/>
          <w:sz w:val="28"/>
          <w:szCs w:val="28"/>
        </w:rPr>
        <w:t>的内容</w:t>
      </w:r>
      <w:r>
        <w:rPr>
          <w:rFonts w:ascii="仿宋_GB2312" w:eastAsia="仿宋_GB2312"/>
          <w:color w:val="0C0C0C" w:themeColor="text1" w:themeTint="F2"/>
          <w:sz w:val="28"/>
          <w:szCs w:val="28"/>
        </w:rPr>
        <w:t>格式）</w:t>
      </w:r>
    </w:p>
    <w:p>
      <w:pPr>
        <w:tabs>
          <w:tab w:val="center" w:pos="6979"/>
        </w:tabs>
        <w:spacing w:line="580" w:lineRule="exact"/>
        <w:ind w:firstLine="420" w:firstLineChars="150"/>
        <w:rPr>
          <w:rFonts w:ascii="仿宋_GB2312" w:eastAsia="仿宋_GB2312"/>
          <w:color w:val="0C0C0C" w:themeColor="text1" w:themeTint="F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r>
        <w:rPr>
          <w:rFonts w:hint="eastAsia" w:ascii="仿宋_GB2312" w:eastAsia="仿宋_GB2312"/>
          <w:color w:val="0C0C0C" w:themeColor="text1" w:themeTint="F2"/>
          <w:sz w:val="28"/>
          <w:szCs w:val="28"/>
        </w:rPr>
        <w:t>（需公开</w:t>
      </w:r>
      <w:r>
        <w:rPr>
          <w:rFonts w:ascii="仿宋_GB2312" w:eastAsia="仿宋_GB2312"/>
          <w:color w:val="0C0C0C" w:themeColor="text1" w:themeTint="F2"/>
          <w:sz w:val="28"/>
          <w:szCs w:val="28"/>
        </w:rPr>
        <w:t>内设机构数量</w:t>
      </w:r>
      <w:r>
        <w:rPr>
          <w:rFonts w:hint="eastAsia" w:ascii="仿宋_GB2312" w:eastAsia="仿宋_GB2312"/>
          <w:color w:val="0C0C0C" w:themeColor="text1" w:themeTint="F2"/>
          <w:sz w:val="28"/>
          <w:szCs w:val="28"/>
        </w:rPr>
        <w:t>和</w:t>
      </w:r>
      <w:r>
        <w:rPr>
          <w:rFonts w:ascii="仿宋_GB2312" w:eastAsia="仿宋_GB2312"/>
          <w:color w:val="0C0C0C" w:themeColor="text1" w:themeTint="F2"/>
          <w:sz w:val="28"/>
          <w:szCs w:val="28"/>
        </w:rPr>
        <w:t>下属单位</w:t>
      </w:r>
      <w:r>
        <w:rPr>
          <w:rFonts w:hint="eastAsia" w:ascii="仿宋_GB2312" w:eastAsia="仿宋_GB2312"/>
          <w:color w:val="0C0C0C" w:themeColor="text1" w:themeTint="F2"/>
          <w:sz w:val="28"/>
          <w:szCs w:val="28"/>
        </w:rPr>
        <w:t>数量</w:t>
      </w:r>
      <w:r>
        <w:rPr>
          <w:rFonts w:ascii="仿宋_GB2312" w:eastAsia="仿宋_GB2312"/>
          <w:color w:val="0C0C0C" w:themeColor="text1" w:themeTint="F2"/>
          <w:sz w:val="28"/>
          <w:szCs w:val="28"/>
        </w:rPr>
        <w:t>及名称）</w:t>
      </w:r>
    </w:p>
    <w:p>
      <w:pPr>
        <w:tabs>
          <w:tab w:val="center" w:pos="6979"/>
        </w:tabs>
        <w:spacing w:line="580" w:lineRule="exact"/>
        <w:ind w:firstLine="570"/>
        <w:rPr>
          <w:rFonts w:hint="eastAsia" w:ascii="仿宋_GB2312" w:eastAsia="仿宋_GB2312"/>
          <w:color w:val="0C0C0C" w:themeColor="text1" w:themeTint="F2"/>
          <w:sz w:val="28"/>
          <w:szCs w:val="28"/>
        </w:rPr>
      </w:pPr>
      <w:r>
        <w:rPr>
          <w:rFonts w:hint="eastAsia" w:ascii="仿宋_GB2312" w:eastAsia="仿宋_GB2312"/>
          <w:color w:val="0C0C0C" w:themeColor="text1" w:themeTint="F2"/>
          <w:sz w:val="28"/>
          <w:szCs w:val="28"/>
        </w:rPr>
        <w:t>北京市丰台区卢沟桥中学属于全额拨款事业单位，无下属单位。</w:t>
      </w:r>
    </w:p>
    <w:p>
      <w:pPr>
        <w:tabs>
          <w:tab w:val="center" w:pos="6979"/>
        </w:tabs>
        <w:spacing w:line="580" w:lineRule="exact"/>
        <w:ind w:firstLine="570"/>
        <w:rPr>
          <w:rFonts w:hint="eastAsia" w:ascii="仿宋_GB2312" w:eastAsia="仿宋_GB2312"/>
          <w:color w:val="0C0C0C" w:themeColor="text1" w:themeTint="F2"/>
          <w:sz w:val="28"/>
          <w:szCs w:val="28"/>
        </w:rPr>
      </w:pPr>
      <w:r>
        <w:rPr>
          <w:rFonts w:hint="eastAsia" w:ascii="仿宋_GB2312" w:eastAsia="仿宋_GB2312"/>
          <w:color w:val="0C0C0C" w:themeColor="text1" w:themeTint="F2"/>
          <w:sz w:val="28"/>
          <w:szCs w:val="28"/>
        </w:rPr>
        <w:t>我校主要职责是贯彻党的教育方针，使学生成为德、智、体、美全面发展的劳动者。</w:t>
      </w:r>
    </w:p>
    <w:p>
      <w:pPr>
        <w:tabs>
          <w:tab w:val="center" w:pos="6979"/>
        </w:tabs>
        <w:spacing w:line="580" w:lineRule="exact"/>
        <w:ind w:firstLine="570"/>
        <w:rPr>
          <w:rFonts w:hint="eastAsia" w:ascii="仿宋_GB2312" w:eastAsia="仿宋_GB2312"/>
          <w:color w:val="0C0C0C" w:themeColor="text1" w:themeTint="F2"/>
          <w:sz w:val="28"/>
          <w:szCs w:val="28"/>
        </w:rPr>
      </w:pPr>
      <w:r>
        <w:rPr>
          <w:rFonts w:hint="eastAsia" w:ascii="仿宋_GB2312" w:eastAsia="仿宋_GB2312"/>
          <w:color w:val="0C0C0C" w:themeColor="text1" w:themeTint="F2"/>
          <w:sz w:val="28"/>
          <w:szCs w:val="28"/>
        </w:rPr>
        <w:t>(1)贯彻执行党和国家的教育方针、政策、法规。</w:t>
      </w:r>
    </w:p>
    <w:p>
      <w:pPr>
        <w:tabs>
          <w:tab w:val="center" w:pos="6979"/>
        </w:tabs>
        <w:spacing w:line="580" w:lineRule="exact"/>
        <w:ind w:firstLine="570"/>
        <w:rPr>
          <w:rFonts w:hint="eastAsia" w:ascii="仿宋_GB2312" w:eastAsia="仿宋_GB2312"/>
          <w:color w:val="0C0C0C" w:themeColor="text1" w:themeTint="F2"/>
          <w:sz w:val="28"/>
          <w:szCs w:val="28"/>
        </w:rPr>
      </w:pPr>
      <w:r>
        <w:rPr>
          <w:rFonts w:hint="eastAsia" w:ascii="仿宋_GB2312" w:eastAsia="仿宋_GB2312"/>
          <w:color w:val="0C0C0C" w:themeColor="text1" w:themeTint="F2"/>
          <w:sz w:val="28"/>
          <w:szCs w:val="28"/>
        </w:rPr>
        <w:t>(2)研究拟定学校发展规划和年度计划，组织实施教育体制和办学体制改革。</w:t>
      </w:r>
    </w:p>
    <w:p>
      <w:pPr>
        <w:tabs>
          <w:tab w:val="center" w:pos="6979"/>
        </w:tabs>
        <w:spacing w:line="580" w:lineRule="exact"/>
        <w:ind w:firstLine="570"/>
        <w:rPr>
          <w:rFonts w:hint="eastAsia" w:ascii="仿宋_GB2312" w:eastAsia="仿宋_GB2312"/>
          <w:color w:val="0C0C0C" w:themeColor="text1" w:themeTint="F2"/>
          <w:sz w:val="28"/>
          <w:szCs w:val="28"/>
        </w:rPr>
      </w:pPr>
      <w:r>
        <w:rPr>
          <w:rFonts w:hint="eastAsia" w:ascii="仿宋_GB2312" w:eastAsia="仿宋_GB2312"/>
          <w:color w:val="0C0C0C" w:themeColor="text1" w:themeTint="F2"/>
          <w:sz w:val="28"/>
          <w:szCs w:val="28"/>
        </w:rPr>
        <w:t>(3)管理和指导学校基础教育工作；确保初中教育工作成果。</w:t>
      </w:r>
    </w:p>
    <w:p>
      <w:pPr>
        <w:tabs>
          <w:tab w:val="center" w:pos="6979"/>
        </w:tabs>
        <w:spacing w:line="580" w:lineRule="exact"/>
        <w:ind w:firstLine="570"/>
        <w:rPr>
          <w:rFonts w:hint="eastAsia" w:ascii="仿宋_GB2312" w:eastAsia="仿宋_GB2312"/>
          <w:color w:val="0C0C0C" w:themeColor="text1" w:themeTint="F2"/>
          <w:sz w:val="28"/>
          <w:szCs w:val="28"/>
        </w:rPr>
      </w:pPr>
      <w:r>
        <w:rPr>
          <w:rFonts w:hint="eastAsia" w:ascii="仿宋_GB2312" w:eastAsia="仿宋_GB2312"/>
          <w:color w:val="0C0C0C" w:themeColor="text1" w:themeTint="F2"/>
          <w:sz w:val="28"/>
          <w:szCs w:val="28"/>
        </w:rPr>
        <w:t>(4)管理学校教育经费；管理学校教育经费，执行财务管理制度。</w:t>
      </w:r>
    </w:p>
    <w:p>
      <w:pPr>
        <w:tabs>
          <w:tab w:val="center" w:pos="6979"/>
        </w:tabs>
        <w:spacing w:line="580" w:lineRule="exact"/>
        <w:ind w:firstLine="570"/>
        <w:rPr>
          <w:rFonts w:ascii="仿宋_GB2312" w:eastAsia="仿宋_GB2312"/>
          <w:sz w:val="28"/>
          <w:szCs w:val="28"/>
        </w:rPr>
      </w:pPr>
      <w:r>
        <w:rPr>
          <w:rFonts w:hint="eastAsia" w:ascii="仿宋_GB2312" w:eastAsia="仿宋_GB2312"/>
          <w:color w:val="0C0C0C" w:themeColor="text1" w:themeTint="F2"/>
          <w:sz w:val="28"/>
          <w:szCs w:val="28"/>
        </w:rPr>
        <w:t>(5)负责和指导学校教职工的思想政治工作，负责做好校园安全保卫工作</w:t>
      </w:r>
      <w:r>
        <w:rPr>
          <w:rFonts w:hint="eastAsia" w:ascii="仿宋_GB2312" w:eastAsia="仿宋_GB2312"/>
          <w:sz w:val="28"/>
          <w:szCs w:val="28"/>
        </w:rPr>
        <w:t>。</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color w:val="FF0000"/>
          <w:kern w:val="0"/>
          <w:sz w:val="28"/>
          <w:szCs w:val="28"/>
        </w:rPr>
      </w:pPr>
      <w:r>
        <w:rPr>
          <w:rFonts w:hint="eastAsia" w:ascii="仿宋_GB2312" w:eastAsia="仿宋_GB2312"/>
          <w:sz w:val="28"/>
          <w:szCs w:val="28"/>
        </w:rPr>
        <w:t>事业编制60人，实有人数60人。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color w:val="0C0C0C" w:themeColor="text1" w:themeTint="F2"/>
          <w:sz w:val="28"/>
          <w:szCs w:val="28"/>
        </w:rPr>
        <w:t>3092.33万元，</w:t>
      </w:r>
      <w:r>
        <w:rPr>
          <w:rFonts w:ascii="仿宋_GB2312" w:eastAsia="仿宋_GB2312"/>
          <w:color w:val="0C0C0C" w:themeColor="text1" w:themeTint="F2"/>
          <w:sz w:val="28"/>
          <w:szCs w:val="28"/>
        </w:rPr>
        <w:t>比上年增加</w:t>
      </w:r>
      <w:r>
        <w:rPr>
          <w:rFonts w:hint="eastAsia" w:ascii="仿宋_GB2312" w:eastAsia="仿宋_GB2312"/>
          <w:color w:val="0C0C0C" w:themeColor="text1" w:themeTint="F2"/>
          <w:sz w:val="28"/>
          <w:szCs w:val="28"/>
        </w:rPr>
        <w:t>244.36万元，增长8.58%。</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color w:val="0C0C0C" w:themeColor="text1" w:themeTint="F2"/>
          <w:sz w:val="28"/>
          <w:szCs w:val="28"/>
        </w:rPr>
      </w:pPr>
      <w:r>
        <w:rPr>
          <w:rFonts w:hint="eastAsia" w:ascii="仿宋_GB2312" w:eastAsia="仿宋_GB2312"/>
          <w:color w:val="0C0C0C" w:themeColor="text1" w:themeTint="F2"/>
          <w:sz w:val="28"/>
          <w:szCs w:val="28"/>
        </w:rPr>
        <w:t>2022年度本年收入合计2975.43万元，</w:t>
      </w:r>
      <w:r>
        <w:rPr>
          <w:rFonts w:ascii="仿宋_GB2312" w:eastAsia="仿宋_GB2312"/>
          <w:color w:val="0C0C0C" w:themeColor="text1" w:themeTint="F2"/>
          <w:sz w:val="28"/>
          <w:szCs w:val="28"/>
        </w:rPr>
        <w:t>比上年增加</w:t>
      </w:r>
      <w:r>
        <w:rPr>
          <w:rFonts w:hint="eastAsia" w:ascii="仿宋_GB2312" w:eastAsia="仿宋_GB2312"/>
          <w:color w:val="0C0C0C" w:themeColor="text1" w:themeTint="F2"/>
          <w:sz w:val="28"/>
          <w:szCs w:val="28"/>
        </w:rPr>
        <w:t>236.67万元，增长8.64%，其中：财政拨款收入2893.87万元，占收入合计的97.26%；上级补助收入0万元，占收入合计的0%；事业收入0万元，占收入合计的0%；经营收入0万元，占收入合计的0%；附属单位上缴收入0万元，占收入合计的0%；其他收入81.55万元，占收入合计的2.74%。</w:t>
      </w:r>
    </w:p>
    <w:p>
      <w:pPr>
        <w:pStyle w:val="2"/>
        <w:ind w:firstLine="640"/>
        <w:rPr>
          <w:rFonts w:ascii="仿宋" w:hAnsi="仿宋" w:eastAsia="仿宋"/>
          <w:color w:val="FF0000"/>
          <w:sz w:val="32"/>
        </w:rPr>
      </w:pPr>
      <w:r>
        <w:rPr>
          <w:rFonts w:hint="eastAsia" w:ascii="仿宋" w:hAnsi="仿宋" w:eastAsia="仿宋"/>
          <w:color w:val="0C0C0C" w:themeColor="text1" w:themeTint="F2"/>
          <w:sz w:val="32"/>
        </w:rPr>
        <w:t xml:space="preserve">（此处插入图表，用上述收入金额制作饼状图，示例如下，无金额类型不必制图） </w:t>
      </w:r>
    </w:p>
    <w:p>
      <w:pPr>
        <w:pStyle w:val="2"/>
        <w:ind w:firstLine="640"/>
        <w:jc w:val="center"/>
        <w:rPr>
          <w:rFonts w:ascii="仿宋" w:hAnsi="仿宋" w:eastAsia="仿宋"/>
          <w:color w:val="000000"/>
          <w:sz w:val="32"/>
        </w:rPr>
      </w:pPr>
      <w:r>
        <w:rPr>
          <w:rFonts w:hint="eastAsia" w:ascii="仿宋" w:hAnsi="仿宋" w:eastAsia="仿宋"/>
          <w:color w:val="000000"/>
          <w:sz w:val="32"/>
        </w:rPr>
        <w:t>图1：收入预算</w:t>
      </w:r>
    </w:p>
    <w:p>
      <w:pPr>
        <w:pStyle w:val="2"/>
        <w:ind w:firstLine="640"/>
        <w:rPr>
          <w:rFonts w:ascii="仿宋" w:hAnsi="仿宋" w:eastAsia="仿宋"/>
          <w:color w:val="000000"/>
          <w:sz w:val="32"/>
        </w:rPr>
      </w:pPr>
    </w:p>
    <w:p>
      <w:pPr>
        <w:pStyle w:val="2"/>
        <w:ind w:firstLine="420"/>
        <w:jc w:val="center"/>
        <w:rPr>
          <w:rFonts w:ascii="仿宋" w:hAnsi="仿宋" w:eastAsia="仿宋"/>
          <w:color w:val="000000"/>
          <w:sz w:val="32"/>
        </w:rPr>
      </w:pPr>
      <w:r>
        <w:pict>
          <v:shape id="图表 2" o:spid="_x0000_s1028" o:spt="75" type="#_x0000_t75" style="position:absolute;left:0pt;margin-left:216.35pt;margin-top:23.25pt;height:226.4pt;width:316.35pt;mso-wrap-distance-bottom:0pt;mso-wrap-distance-left:9pt;mso-wrap-distance-right:9pt;mso-wrap-distance-top:0pt;z-index:1024;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">
            <v:path/>
            <v:fill on="f" focussize="0,0"/>
            <v:stroke on="f" joinstyle="miter"/>
            <v:imagedata r:id="rId6" o:title=""/>
            <o:lock v:ext="edit" aspectratio="f"/>
            <w10:wrap type="square"/>
          </v:shape>
        </w:pict>
      </w:r>
    </w:p>
    <w:p>
      <w:pPr>
        <w:pStyle w:val="2"/>
        <w:ind w:firstLine="640"/>
        <w:jc w:val="center"/>
        <w:rPr>
          <w:rFonts w:ascii="仿宋" w:hAnsi="仿宋" w:eastAsia="仿宋"/>
          <w:color w:val="000000"/>
          <w:sz w:val="32"/>
        </w:rPr>
      </w:pPr>
    </w:p>
    <w:p>
      <w:pPr>
        <w:tabs>
          <w:tab w:val="center" w:pos="6979"/>
        </w:tabs>
        <w:spacing w:line="580" w:lineRule="exact"/>
        <w:ind w:firstLine="570"/>
        <w:rPr>
          <w:rFonts w:ascii="仿宋_GB2312" w:eastAsia="仿宋_GB2312"/>
          <w:sz w:val="28"/>
          <w:szCs w:val="28"/>
        </w:rPr>
      </w:pP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 xml:space="preserve"> </w:t>
      </w:r>
    </w:p>
    <w:p>
      <w:pPr>
        <w:tabs>
          <w:tab w:val="center" w:pos="6979"/>
        </w:tabs>
        <w:spacing w:line="580" w:lineRule="exact"/>
        <w:ind w:firstLine="570"/>
        <w:rPr>
          <w:rFonts w:ascii="仿宋_GB2312" w:eastAsia="仿宋_GB2312"/>
          <w:sz w:val="28"/>
          <w:szCs w:val="28"/>
        </w:rPr>
      </w:pPr>
    </w:p>
    <w:p>
      <w:pPr>
        <w:tabs>
          <w:tab w:val="center" w:pos="6979"/>
        </w:tabs>
        <w:spacing w:line="580" w:lineRule="exact"/>
        <w:ind w:firstLine="570"/>
        <w:rPr>
          <w:rFonts w:ascii="仿宋_GB2312" w:eastAsia="仿宋_GB2312"/>
          <w:sz w:val="28"/>
          <w:szCs w:val="28"/>
        </w:rPr>
      </w:pPr>
    </w:p>
    <w:p>
      <w:pPr>
        <w:tabs>
          <w:tab w:val="center" w:pos="6979"/>
        </w:tabs>
        <w:spacing w:line="580" w:lineRule="exact"/>
        <w:ind w:firstLine="570"/>
        <w:rPr>
          <w:rFonts w:ascii="仿宋_GB2312" w:eastAsia="仿宋_GB2312"/>
          <w:sz w:val="28"/>
          <w:szCs w:val="28"/>
        </w:rPr>
      </w:pPr>
    </w:p>
    <w:p>
      <w:pPr>
        <w:tabs>
          <w:tab w:val="center" w:pos="6979"/>
        </w:tabs>
        <w:spacing w:line="580" w:lineRule="exact"/>
        <w:ind w:firstLine="570"/>
        <w:rPr>
          <w:rFonts w:ascii="仿宋_GB2312" w:eastAsia="仿宋_GB2312"/>
          <w:sz w:val="28"/>
          <w:szCs w:val="28"/>
        </w:rPr>
      </w:pPr>
    </w:p>
    <w:p>
      <w:pPr>
        <w:tabs>
          <w:tab w:val="center" w:pos="6979"/>
        </w:tabs>
        <w:spacing w:line="580" w:lineRule="exact"/>
        <w:ind w:firstLine="570"/>
        <w:rPr>
          <w:rFonts w:ascii="仿宋_GB2312" w:eastAsia="仿宋_GB2312"/>
          <w:sz w:val="28"/>
          <w:szCs w:val="28"/>
        </w:rPr>
      </w:pPr>
    </w:p>
    <w:p>
      <w:pPr>
        <w:tabs>
          <w:tab w:val="center" w:pos="6979"/>
        </w:tabs>
        <w:spacing w:line="580" w:lineRule="exact"/>
        <w:ind w:firstLine="570"/>
        <w:rPr>
          <w:rFonts w:ascii="仿宋_GB2312" w:eastAsia="仿宋_GB2312"/>
          <w:sz w:val="28"/>
          <w:szCs w:val="28"/>
        </w:rPr>
      </w:pP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color w:val="0C0C0C" w:themeColor="text1" w:themeTint="F2"/>
          <w:sz w:val="28"/>
          <w:szCs w:val="28"/>
        </w:rPr>
      </w:pPr>
      <w:r>
        <w:rPr>
          <w:rFonts w:hint="eastAsia" w:ascii="仿宋_GB2312" w:eastAsia="仿宋_GB2312"/>
          <w:color w:val="0C0C0C" w:themeColor="text1" w:themeTint="F2"/>
          <w:sz w:val="28"/>
          <w:szCs w:val="28"/>
        </w:rPr>
        <w:t>2022年度本年支出合计3018.42万元，</w:t>
      </w:r>
      <w:r>
        <w:rPr>
          <w:rFonts w:ascii="仿宋_GB2312" w:eastAsia="仿宋_GB2312"/>
          <w:color w:val="0C0C0C" w:themeColor="text1" w:themeTint="F2"/>
          <w:sz w:val="28"/>
          <w:szCs w:val="28"/>
        </w:rPr>
        <w:t>比上年增加</w:t>
      </w:r>
      <w:r>
        <w:rPr>
          <w:rFonts w:hint="eastAsia" w:ascii="仿宋_GB2312" w:eastAsia="仿宋_GB2312"/>
          <w:color w:val="0C0C0C" w:themeColor="text1" w:themeTint="F2"/>
          <w:sz w:val="28"/>
          <w:szCs w:val="28"/>
        </w:rPr>
        <w:t>280.79万元，增长10.26%，其中：基本支出2884.26万元，占支出合计的95.56%；项目支出134.16万元，占支出合计的4.44%;上缴上级支出0万元，占支出合计的0%；经营支出0万元，占支出合计的0%；对附属单位补助支出0万元，占支出合计的0%。</w:t>
      </w:r>
    </w:p>
    <w:p>
      <w:pPr>
        <w:tabs>
          <w:tab w:val="center" w:pos="6979"/>
        </w:tabs>
        <w:spacing w:line="580" w:lineRule="exact"/>
        <w:ind w:firstLine="570"/>
        <w:rPr>
          <w:rFonts w:ascii="仿宋" w:hAnsi="仿宋" w:eastAsia="仿宋"/>
          <w:color w:val="0C0C0C" w:themeColor="text1" w:themeTint="F2"/>
          <w:sz w:val="32"/>
        </w:rPr>
      </w:pPr>
      <w:r>
        <w:rPr>
          <w:rFonts w:hint="eastAsia" w:ascii="仿宋" w:hAnsi="仿宋" w:eastAsia="仿宋"/>
          <w:color w:val="0C0C0C" w:themeColor="text1" w:themeTint="F2"/>
          <w:sz w:val="32"/>
        </w:rPr>
        <w:t xml:space="preserve">（此处插入图表，用上述支出金额制作饼状图，示例如下，无金额类型不必制图） </w:t>
      </w: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pPr>
      <w:r>
        <w:rPr>
          <w:rFonts w:hint="eastAsia" w:ascii="仿宋" w:hAnsi="仿宋" w:eastAsia="仿宋"/>
          <w:color w:val="000000"/>
          <w:sz w:val="32"/>
        </w:rPr>
        <w:t>图2：基本支出和项目支出情况</w:t>
      </w:r>
    </w:p>
    <w:p>
      <w:pPr>
        <w:tabs>
          <w:tab w:val="center" w:pos="6979"/>
        </w:tabs>
        <w:spacing w:line="580" w:lineRule="exact"/>
        <w:rPr>
          <w:rFonts w:ascii="仿宋" w:hAnsi="仿宋" w:eastAsia="仿宋"/>
          <w:color w:val="000000"/>
          <w:sz w:val="32"/>
        </w:rPr>
      </w:pPr>
    </w:p>
    <w:p>
      <w:pPr>
        <w:tabs>
          <w:tab w:val="center" w:pos="6979"/>
        </w:tabs>
        <w:spacing w:line="580" w:lineRule="exact"/>
        <w:rPr>
          <w:rFonts w:ascii="仿宋" w:hAnsi="仿宋" w:eastAsia="仿宋"/>
          <w:color w:val="000000"/>
          <w:sz w:val="32"/>
        </w:rPr>
      </w:pPr>
      <w:r>
        <w:rPr>
          <w:rFonts w:ascii="仿宋" w:hAnsi="仿宋" w:eastAsia="仿宋"/>
          <w:color w:val="000000"/>
          <w:sz w:val="32"/>
        </w:rPr>
        <w:pict>
          <v:shape id="图表 1" o:spid="_x0000_s1029" o:spt="75" type="#_x0000_t75" style="position:absolute;left:0pt;margin-left:247.75pt;margin-top:14.95pt;height:186.7pt;width:250.1pt;z-index:1024;mso-width-relative:page;mso-height-relative:page;" filled="f" o:preferrelative="t" stroked="f" coordsize="21600,21600"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">
            <v:path/>
            <v:fill on="f" focussize="0,0"/>
            <v:stroke on="f" joinstyle="miter"/>
            <v:imagedata r:id="rId7" o:title=""/>
            <o:lock v:ext="edit" aspectratio="f"/>
          </v:shape>
        </w:pict>
      </w:r>
    </w:p>
    <w:p>
      <w:pPr>
        <w:tabs>
          <w:tab w:val="center" w:pos="6979"/>
        </w:tabs>
        <w:spacing w:line="580" w:lineRule="exact"/>
        <w:rPr>
          <w:rFonts w:ascii="仿宋" w:hAnsi="仿宋" w:eastAsia="仿宋"/>
          <w:color w:val="000000"/>
          <w:sz w:val="32"/>
        </w:rPr>
      </w:pPr>
    </w:p>
    <w:p>
      <w:pPr>
        <w:tabs>
          <w:tab w:val="center" w:pos="6979"/>
        </w:tabs>
        <w:spacing w:line="580" w:lineRule="exact"/>
        <w:rPr>
          <w:rFonts w:ascii="仿宋" w:hAnsi="仿宋" w:eastAsia="仿宋"/>
          <w:color w:val="000000"/>
          <w:sz w:val="32"/>
        </w:rPr>
      </w:pPr>
    </w:p>
    <w:p>
      <w:pPr>
        <w:tabs>
          <w:tab w:val="center" w:pos="6979"/>
        </w:tabs>
        <w:spacing w:line="580" w:lineRule="exact"/>
        <w:rPr>
          <w:rFonts w:ascii="仿宋" w:hAnsi="仿宋" w:eastAsia="仿宋"/>
          <w:color w:val="000000"/>
          <w:sz w:val="32"/>
        </w:rPr>
      </w:pPr>
    </w:p>
    <w:p>
      <w:pPr>
        <w:tabs>
          <w:tab w:val="center" w:pos="6979"/>
        </w:tabs>
        <w:spacing w:line="580" w:lineRule="exact"/>
        <w:ind w:firstLine="570"/>
        <w:rPr>
          <w:rFonts w:ascii="仿宋" w:hAnsi="仿宋" w:eastAsia="仿宋"/>
          <w:color w:val="000000"/>
          <w:sz w:val="32"/>
        </w:rPr>
      </w:pP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color w:val="0C0C0C" w:themeColor="text1" w:themeTint="F2"/>
          <w:sz w:val="28"/>
          <w:szCs w:val="28"/>
        </w:rPr>
      </w:pPr>
      <w:r>
        <w:rPr>
          <w:rFonts w:hint="eastAsia" w:ascii="仿宋_GB2312" w:eastAsia="仿宋_GB2312"/>
          <w:color w:val="0C0C0C" w:themeColor="text1" w:themeTint="F2"/>
          <w:sz w:val="28"/>
          <w:szCs w:val="28"/>
        </w:rPr>
        <w:t>2022年度财政拨款收、</w:t>
      </w:r>
      <w:r>
        <w:rPr>
          <w:rFonts w:ascii="仿宋_GB2312" w:eastAsia="仿宋_GB2312"/>
          <w:color w:val="0C0C0C" w:themeColor="text1" w:themeTint="F2"/>
          <w:sz w:val="28"/>
          <w:szCs w:val="28"/>
        </w:rPr>
        <w:t>支</w:t>
      </w:r>
      <w:r>
        <w:rPr>
          <w:rFonts w:hint="eastAsia" w:ascii="仿宋_GB2312" w:eastAsia="仿宋_GB2312"/>
          <w:color w:val="0C0C0C" w:themeColor="text1" w:themeTint="F2"/>
          <w:sz w:val="28"/>
          <w:szCs w:val="28"/>
        </w:rPr>
        <w:t>总计3004.50万元，比上年</w:t>
      </w:r>
      <w:r>
        <w:rPr>
          <w:rFonts w:ascii="仿宋_GB2312" w:eastAsia="仿宋_GB2312"/>
          <w:color w:val="0C0C0C" w:themeColor="text1" w:themeTint="F2"/>
          <w:sz w:val="28"/>
          <w:szCs w:val="28"/>
        </w:rPr>
        <w:t>增加</w:t>
      </w:r>
      <w:r>
        <w:rPr>
          <w:rFonts w:hint="eastAsia" w:ascii="仿宋_GB2312" w:eastAsia="仿宋_GB2312"/>
          <w:color w:val="0C0C0C" w:themeColor="text1" w:themeTint="F2"/>
          <w:sz w:val="28"/>
          <w:szCs w:val="28"/>
        </w:rPr>
        <w:t>197.73万元，增长7.04%。主要原因：人员</w:t>
      </w:r>
      <w:r>
        <w:rPr>
          <w:rFonts w:ascii="仿宋_GB2312" w:eastAsia="仿宋_GB2312"/>
          <w:color w:val="0C0C0C" w:themeColor="text1" w:themeTint="F2"/>
          <w:sz w:val="28"/>
          <w:szCs w:val="28"/>
        </w:rPr>
        <w:t>经费和项目经费</w:t>
      </w:r>
      <w:r>
        <w:rPr>
          <w:rFonts w:hint="eastAsia" w:ascii="仿宋_GB2312" w:eastAsia="仿宋_GB2312"/>
          <w:color w:val="0C0C0C" w:themeColor="text1" w:themeTint="F2"/>
          <w:sz w:val="28"/>
          <w:szCs w:val="28"/>
        </w:rPr>
        <w:t>增多。</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color w:val="FF0000"/>
          <w:sz w:val="28"/>
          <w:szCs w:val="28"/>
        </w:rPr>
      </w:pPr>
      <w:r>
        <w:rPr>
          <w:rFonts w:hint="eastAsia" w:ascii="仿宋_GB2312" w:eastAsia="仿宋_GB2312"/>
          <w:color w:val="0C0C0C" w:themeColor="text1" w:themeTint="F2"/>
          <w:sz w:val="28"/>
          <w:szCs w:val="28"/>
        </w:rPr>
        <w:t>2022年度一般公共预算财政拨款支出2934.58万元，主要用于以下方面（按大类）：</w:t>
      </w:r>
      <w:r>
        <w:rPr>
          <w:rFonts w:hint="eastAsia" w:ascii="仿宋_GB2312" w:eastAsia="仿宋_GB2312"/>
          <w:sz w:val="28"/>
          <w:szCs w:val="28"/>
        </w:rPr>
        <w:t>教育支出2151.59万元，占本年财政拨款支出73.33%;社会保障和就业支出434.97万元，占本年财政拨款支出14.82%；住房保障支出348.02万元，占本年财政拨款支出11.85%。</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1、“教育支出”2022年度决算2151.59万元，比2022年年初预算增加155.57万元，增长8.80%。其中：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“普通教育”2022年度决算2114.53万元，比2022年年初预算增加156.64万元，增长8%。主要原因：项目经费增多。</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“进修及培训”2022年度决算1.85万元，比2022年年初预算减少1.08万元，下降36.86%。主要原因：培训支出减少。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“教育费附加安排的支出” 2022年度决算35.21万元，与2022年年初预算相等。</w:t>
      </w:r>
    </w:p>
    <w:p>
      <w:pPr>
        <w:pStyle w:val="2"/>
        <w:ind w:firstLine="560"/>
        <w:rPr>
          <w:rFonts w:ascii="仿宋_GB2312" w:eastAsia="仿宋_GB2312"/>
          <w:sz w:val="28"/>
          <w:szCs w:val="28"/>
        </w:rPr>
      </w:pPr>
      <w:r>
        <w:rPr>
          <w:rFonts w:hint="eastAsia" w:ascii="仿宋_GB2312" w:eastAsia="仿宋_GB2312"/>
          <w:sz w:val="28"/>
          <w:szCs w:val="28"/>
        </w:rPr>
        <w:t>2、“社会保障和就业支出”2022年度决算434.97万元，与2022年年初预算增加23.36万元，增长5.68%。其中：</w:t>
      </w:r>
    </w:p>
    <w:p>
      <w:pPr>
        <w:pStyle w:val="2"/>
        <w:ind w:firstLine="560"/>
      </w:pPr>
      <w:r>
        <w:rPr>
          <w:rFonts w:hint="eastAsia" w:ascii="仿宋_GB2312" w:eastAsia="仿宋_GB2312"/>
          <w:sz w:val="28"/>
          <w:szCs w:val="28"/>
        </w:rPr>
        <w:t>“行政事业单位养老支出” 2022年度决算434.97万元，与2022年年初预算增加23.36万元，增长5.68%，主要原因：养老保险增多。</w:t>
      </w:r>
    </w:p>
    <w:p>
      <w:pPr>
        <w:pStyle w:val="2"/>
        <w:ind w:firstLine="560"/>
        <w:rPr>
          <w:rFonts w:ascii="仿宋_GB2312" w:eastAsia="仿宋_GB2312"/>
          <w:sz w:val="28"/>
          <w:szCs w:val="28"/>
        </w:rPr>
      </w:pPr>
      <w:r>
        <w:rPr>
          <w:rFonts w:hint="eastAsia" w:ascii="仿宋_GB2312" w:eastAsia="仿宋_GB2312"/>
          <w:sz w:val="28"/>
          <w:szCs w:val="28"/>
        </w:rPr>
        <w:t>3、“住房保障支出”2022年度决算348.02万元，与2022年年初预算减少3.63万元，下降1.03%。其中：</w:t>
      </w:r>
    </w:p>
    <w:p>
      <w:pPr>
        <w:pStyle w:val="2"/>
        <w:ind w:firstLine="560"/>
        <w:rPr>
          <w:rFonts w:ascii="仿宋_GB2312" w:eastAsia="仿宋_GB2312"/>
          <w:color w:val="FF0000"/>
          <w:sz w:val="28"/>
          <w:szCs w:val="28"/>
        </w:rPr>
      </w:pPr>
      <w:r>
        <w:rPr>
          <w:rFonts w:hint="eastAsia" w:ascii="仿宋_GB2312" w:eastAsia="仿宋_GB2312"/>
          <w:sz w:val="28"/>
          <w:szCs w:val="28"/>
        </w:rPr>
        <w:t>“住房改革支出”2022年度决算348.02万元，与2022年年初预算减少3.63万元，下降1.03%，主要原因：住房补贴和住房公积金支出减少。</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本年度无此项支出</w:t>
      </w:r>
    </w:p>
    <w:p>
      <w:pPr>
        <w:numPr>
          <w:ilvl w:val="0"/>
          <w:numId w:val="1"/>
        </w:numPr>
        <w:spacing w:line="580" w:lineRule="exact"/>
        <w:ind w:firstLine="548" w:firstLineChars="196"/>
        <w:rPr>
          <w:rFonts w:ascii="黑体" w:eastAsia="黑体"/>
          <w:b/>
          <w:sz w:val="28"/>
          <w:szCs w:val="28"/>
        </w:rPr>
      </w:pPr>
      <w:r>
        <w:rPr>
          <w:rFonts w:hint="eastAsia" w:ascii="黑体" w:eastAsia="黑体"/>
          <w:b/>
          <w:sz w:val="28"/>
          <w:szCs w:val="28"/>
        </w:rPr>
        <w:t>国有资本经营预算财政拨款收支情况</w:t>
      </w:r>
    </w:p>
    <w:p>
      <w:pPr>
        <w:spacing w:line="560" w:lineRule="exact"/>
        <w:ind w:firstLine="420" w:firstLineChars="150"/>
        <w:rPr>
          <w:rFonts w:ascii="黑体" w:eastAsia="黑体"/>
          <w:b/>
          <w:sz w:val="28"/>
          <w:szCs w:val="28"/>
        </w:rPr>
      </w:pPr>
      <w:r>
        <w:rPr>
          <w:rFonts w:hint="eastAsia" w:ascii="仿宋_GB2312" w:eastAsia="仿宋_GB2312"/>
          <w:sz w:val="28"/>
          <w:szCs w:val="28"/>
        </w:rPr>
        <w:t>本年度无此项</w:t>
      </w:r>
      <w:r>
        <w:rPr>
          <w:rFonts w:ascii="仿宋_GB2312" w:eastAsia="仿宋_GB2312"/>
          <w:sz w:val="28"/>
          <w:szCs w:val="28"/>
        </w:rPr>
        <w:t>经费</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宋体" w:hAnsi="宋体"/>
          <w:b/>
          <w:spacing w:val="40"/>
          <w:sz w:val="32"/>
          <w:szCs w:val="32"/>
        </w:rPr>
      </w:pPr>
      <w:r>
        <w:rPr>
          <w:rFonts w:hint="eastAsia" w:ascii="仿宋_GB2312" w:eastAsia="仿宋_GB2312"/>
          <w:sz w:val="28"/>
          <w:szCs w:val="28"/>
        </w:rPr>
        <w:t>2022年使用一般公共预算财政拨款安排基本支出</w:t>
      </w:r>
      <w:r>
        <w:rPr>
          <w:rFonts w:hint="eastAsia" w:ascii="仿宋_GB2312" w:eastAsia="仿宋_GB2312"/>
          <w:color w:val="0C0C0C" w:themeColor="text1" w:themeTint="F2"/>
          <w:sz w:val="28"/>
          <w:szCs w:val="28"/>
        </w:rPr>
        <w:t>2808.22万元，使用政府性基金财政拨款安排基本支出0万元，</w:t>
      </w:r>
      <w:r>
        <w:rPr>
          <w:rFonts w:hint="eastAsia" w:ascii="仿宋_GB2312" w:eastAsia="仿宋_GB2312"/>
          <w:sz w:val="28"/>
          <w:szCs w:val="28"/>
        </w:rPr>
        <w:t>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2022年度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w:t>
      </w:r>
      <w:r>
        <w:rPr>
          <w:rFonts w:hint="eastAsia" w:ascii="仿宋_GB2312" w:eastAsia="仿宋_GB2312"/>
          <w:color w:val="0C0C0C" w:themeColor="text1" w:themeTint="F2"/>
          <w:sz w:val="28"/>
          <w:szCs w:val="28"/>
        </w:rPr>
        <w:t>三公”经费包括本单位</w:t>
      </w:r>
      <w:r>
        <w:rPr>
          <w:rFonts w:hint="eastAsia" w:ascii="仿宋_GB2312" w:eastAsia="仿宋_GB2312"/>
          <w:sz w:val="28"/>
          <w:szCs w:val="28"/>
        </w:rPr>
        <w:t>所属</w:t>
      </w:r>
      <w:r>
        <w:rPr>
          <w:rFonts w:hint="eastAsia" w:ascii="仿宋_GB2312" w:eastAsia="仿宋_GB2312"/>
          <w:bCs/>
          <w:color w:val="0C0C0C" w:themeColor="text1" w:themeTint="F2"/>
          <w:sz w:val="28"/>
          <w:szCs w:val="28"/>
        </w:rPr>
        <w:t>1个</w:t>
      </w:r>
      <w:r>
        <w:rPr>
          <w:rFonts w:hint="eastAsia" w:ascii="仿宋_GB2312" w:eastAsia="仿宋_GB2312"/>
          <w:color w:val="0C0C0C" w:themeColor="text1" w:themeTint="F2"/>
          <w:sz w:val="28"/>
          <w:szCs w:val="28"/>
        </w:rPr>
        <w:t>事业单位。2022年“三公”经费财政拨款决算数2.35万元，比2022年“三公”经费财政拨款年初预算3.6万元减少1.25</w:t>
      </w:r>
      <w:r>
        <w:rPr>
          <w:rFonts w:hint="eastAsia" w:ascii="仿宋_GB2312" w:eastAsia="仿宋_GB2312"/>
          <w:sz w:val="28"/>
          <w:szCs w:val="28"/>
        </w:rPr>
        <w:t>万元。其中：</w:t>
      </w:r>
    </w:p>
    <w:p>
      <w:pPr>
        <w:numPr>
          <w:ilvl w:val="0"/>
          <w:numId w:val="2"/>
        </w:numPr>
        <w:spacing w:line="560" w:lineRule="exact"/>
        <w:rPr>
          <w:rFonts w:ascii="仿宋_GB2312" w:eastAsia="仿宋_GB2312"/>
          <w:sz w:val="28"/>
          <w:szCs w:val="28"/>
        </w:rPr>
      </w:pPr>
      <w:r>
        <w:rPr>
          <w:rFonts w:hint="eastAsia" w:ascii="仿宋_GB2312" w:eastAsia="仿宋_GB2312"/>
          <w:sz w:val="28"/>
          <w:szCs w:val="28"/>
        </w:rPr>
        <w:t>因公出国（境）费用。</w:t>
      </w:r>
    </w:p>
    <w:p>
      <w:pPr>
        <w:spacing w:line="560" w:lineRule="exact"/>
        <w:ind w:left="600"/>
        <w:rPr>
          <w:rFonts w:ascii="仿宋_GB2312" w:eastAsia="仿宋_GB2312"/>
          <w:sz w:val="28"/>
          <w:szCs w:val="28"/>
        </w:rPr>
      </w:pPr>
      <w:r>
        <w:rPr>
          <w:rFonts w:hint="eastAsia" w:ascii="仿宋_GB2312" w:eastAsia="仿宋_GB2312"/>
          <w:sz w:val="28"/>
          <w:szCs w:val="28"/>
        </w:rPr>
        <w:t>2022年本单位无因公出国（境）费用。</w:t>
      </w:r>
    </w:p>
    <w:p>
      <w:pPr>
        <w:numPr>
          <w:ilvl w:val="0"/>
          <w:numId w:val="2"/>
        </w:numPr>
        <w:spacing w:line="560" w:lineRule="exact"/>
        <w:rPr>
          <w:rFonts w:ascii="仿宋_GB2312" w:eastAsia="仿宋_GB2312"/>
          <w:sz w:val="28"/>
          <w:szCs w:val="28"/>
        </w:rPr>
      </w:pPr>
      <w:r>
        <w:rPr>
          <w:rFonts w:hint="eastAsia" w:ascii="仿宋_GB2312" w:eastAsia="仿宋_GB2312"/>
          <w:sz w:val="28"/>
          <w:szCs w:val="28"/>
        </w:rPr>
        <w:t>公务接待费。</w:t>
      </w:r>
    </w:p>
    <w:p>
      <w:pPr>
        <w:spacing w:line="560" w:lineRule="exact"/>
        <w:ind w:left="600"/>
        <w:rPr>
          <w:rFonts w:ascii="仿宋_GB2312" w:eastAsia="仿宋_GB2312"/>
          <w:sz w:val="28"/>
          <w:szCs w:val="28"/>
        </w:rPr>
      </w:pPr>
      <w:r>
        <w:rPr>
          <w:rFonts w:hint="eastAsia" w:ascii="仿宋_GB2312" w:eastAsia="仿宋_GB2312"/>
          <w:sz w:val="28"/>
          <w:szCs w:val="28"/>
        </w:rPr>
        <w:t>2022年本单位无公务接待费。</w:t>
      </w:r>
    </w:p>
    <w:p>
      <w:pPr>
        <w:spacing w:line="560" w:lineRule="exact"/>
        <w:ind w:firstLine="560" w:firstLineChars="200"/>
        <w:rPr>
          <w:rFonts w:ascii="仿宋_GB2312" w:eastAsia="仿宋_GB2312"/>
          <w:color w:val="0C0C0C" w:themeColor="text1" w:themeTint="F2"/>
          <w:sz w:val="28"/>
          <w:szCs w:val="28"/>
        </w:rPr>
      </w:pPr>
      <w:r>
        <w:rPr>
          <w:rFonts w:hint="eastAsia" w:ascii="仿宋_GB2312" w:eastAsia="仿宋_GB2312"/>
          <w:sz w:val="28"/>
          <w:szCs w:val="28"/>
        </w:rPr>
        <w:t>3.公务用车购置及运行维护费。</w:t>
      </w:r>
      <w:r>
        <w:rPr>
          <w:rFonts w:hint="eastAsia" w:ascii="仿宋_GB2312" w:eastAsia="仿宋_GB2312"/>
          <w:color w:val="0C0C0C" w:themeColor="text1" w:themeTint="F2"/>
          <w:sz w:val="28"/>
          <w:szCs w:val="28"/>
        </w:rPr>
        <w:t>2022年决算数2.35万元，比2022年年初预算数3.6万元减少1.25万元。其中，公务用车购置费2022年决算数0万元，与2022年年初预算数</w:t>
      </w:r>
      <w:r>
        <w:rPr>
          <w:rFonts w:ascii="仿宋_GB2312" w:eastAsia="仿宋_GB2312"/>
          <w:color w:val="0C0C0C" w:themeColor="text1" w:themeTint="F2"/>
          <w:sz w:val="28"/>
          <w:szCs w:val="28"/>
        </w:rPr>
        <w:t>相等</w:t>
      </w:r>
      <w:r>
        <w:rPr>
          <w:rFonts w:hint="eastAsia" w:ascii="仿宋_GB2312" w:eastAsia="仿宋_GB2312"/>
          <w:color w:val="0C0C0C" w:themeColor="text1" w:themeTint="F2"/>
          <w:sz w:val="28"/>
          <w:szCs w:val="28"/>
        </w:rPr>
        <w:t>，2022年购置（更新）0辆，车均购置费0万元。公务用车运行维护费2022年决算数2.35万元，比2022年年初预算数3.6万元减少1.25万元，主要原因：疫情期间车辆外出减少。2022年公务用车运行维护费中，公务用车加油0万元，公务用车维修1.61万元，公务用车保险0.37万元，公务用车其他支出0.37万元。2022年公务用车保有量2辆，车均运行维护费1.18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不属于机关运行经费统计范围</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color w:val="0C0C0C" w:themeColor="text1" w:themeTint="F2"/>
          <w:sz w:val="28"/>
          <w:szCs w:val="28"/>
        </w:rPr>
      </w:pPr>
      <w:r>
        <w:rPr>
          <w:rFonts w:hint="eastAsia" w:ascii="仿宋_GB2312" w:eastAsia="仿宋_GB2312"/>
          <w:color w:val="0C0C0C" w:themeColor="text1" w:themeTint="F2"/>
          <w:sz w:val="28"/>
          <w:szCs w:val="28"/>
        </w:rPr>
        <w:t>2022年政府采购支出总额75.72万元，其中：政府采购货物支出73.96万元，政府采购工程支出0万元，政府采购服务支出1.76万元。授予中小企业合同金额75.57万元，占政府采购支出总额的99.8%，其中：授予小微企业合同金额75.57万元，占政府采购支出总额的99.8%。</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color w:val="0C0C0C" w:themeColor="text1" w:themeTint="F2"/>
          <w:sz w:val="28"/>
          <w:szCs w:val="28"/>
        </w:rPr>
      </w:pPr>
      <w:r>
        <w:rPr>
          <w:rFonts w:hint="eastAsia" w:ascii="仿宋_GB2312" w:eastAsia="仿宋_GB2312"/>
          <w:color w:val="0C0C0C" w:themeColor="text1" w:themeTint="F2"/>
          <w:sz w:val="28"/>
          <w:szCs w:val="28"/>
        </w:rPr>
        <w:t>2022年车辆2台，23.85万元；单位价值100万元（含）以上的设备0台（套）。</w:t>
      </w:r>
    </w:p>
    <w:p>
      <w:pPr>
        <w:ind w:firstLine="560" w:firstLineChars="200"/>
        <w:jc w:val="left"/>
        <w:rPr>
          <w:rFonts w:ascii="仿宋_GB2312" w:eastAsia="仿宋_GB2312"/>
          <w:color w:val="000000"/>
          <w:sz w:val="32"/>
          <w:szCs w:val="32"/>
        </w:rPr>
      </w:pPr>
      <w:r>
        <w:rPr>
          <w:rFonts w:hint="eastAsia" w:ascii="黑体" w:eastAsia="黑体"/>
          <w:sz w:val="28"/>
          <w:szCs w:val="28"/>
        </w:rPr>
        <w:t>五、</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.教育支出（类）普通教育（款）初中教育（项）：反映各部门举办的初中教育支出。政府各部门对社会组织等举办的初中的资助，如捐赠、补贴等，也在本科目中反映。</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.教育支出（类）普通教育（款）其他普通教育支出（项）：反映除上述项目以外其他用于普通教育方面的支出。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教育支出（类）进修及培训（款）培训支出（项）：反映各部门安排的用于培训的支出。教育部门的师资培训，党校、行政学院等专业干部教育机构的支出，以及退役士兵、转业士官的培训支出，不在本科目反映。</w:t>
      </w:r>
    </w:p>
    <w:p>
      <w:pPr>
        <w:numPr>
          <w:numId w:val="0"/>
        </w:numPr>
        <w:ind w:firstLine="560" w:firstLineChars="200"/>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教育支出（类）教育费附加安排的支出（款）其他教育费附加安排的支出（项）：反映除上述项目以外的教育费附加支出。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.社会保障和就业支出（类）行政事业单位养老支出（款）事业单位离退休（项）：反映事业单位开支的离退休经费。</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.社会保障和就业支出（类）行政事业单位养老支出（款）机关事业单位基本养老保险缴费支出（项）：反映机关事业单位实施养老保险制度由单位缴纳的基本养老保险费支出。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12</w:t>
      </w:r>
      <w:r>
        <w:rPr>
          <w:rFonts w:hint="eastAsia" w:ascii="仿宋_GB2312" w:eastAsia="仿宋_GB2312"/>
          <w:sz w:val="28"/>
          <w:szCs w:val="28"/>
        </w:rPr>
        <w:t>.社会保障和就业支出（类）行政事业单位养老支出（款）机关事业单位职业年金缴费支出（项）：反映机关事业单位实施养老保险制度由单位实际缴纳的职业年金支出。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13</w:t>
      </w:r>
      <w:r>
        <w:rPr>
          <w:rFonts w:hint="eastAsia" w:ascii="仿宋_GB2312" w:eastAsia="仿宋_GB2312"/>
          <w:sz w:val="28"/>
          <w:szCs w:val="28"/>
        </w:rPr>
        <w:t>.住房保障支出（类）住房改革支出（款）住房公积金（项）：反映行政事业单位按人力资源和社会保障部、财政部规定的基本工资和津贴补贴以及规定比例为职工缴纳的住房公积金。</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14</w:t>
      </w:r>
      <w:r>
        <w:rPr>
          <w:rFonts w:hint="eastAsia" w:ascii="仿宋_GB2312" w:eastAsia="仿宋_GB2312"/>
          <w:sz w:val="28"/>
          <w:szCs w:val="28"/>
        </w:rPr>
        <w:t>.住房保障支出（类）住房改革支出（款）购房补贴（项）：反映按房改政策规定，行政事业单位向符合条件职工（含离退休人员）、军队（含武警）向转役复员离退休人员发放的用于购买住房的补贴。</w:t>
      </w:r>
    </w:p>
    <w:p>
      <w:pPr>
        <w:numPr>
          <w:numId w:val="0"/>
        </w:numPr>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jc w:val="both"/>
        <w:rPr>
          <w:rFonts w:ascii="黑体" w:eastAsia="黑体"/>
          <w:sz w:val="32"/>
          <w:szCs w:val="32"/>
        </w:rPr>
      </w:pPr>
    </w:p>
    <w:p>
      <w:pPr>
        <w:jc w:val="both"/>
        <w:rPr>
          <w:rFonts w:ascii="黑体" w:eastAsia="黑体"/>
          <w:sz w:val="32"/>
          <w:szCs w:val="32"/>
        </w:rPr>
      </w:pPr>
      <w:bookmarkStart w:id="0" w:name="_GoBack"/>
      <w:bookmarkEnd w:id="0"/>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仿宋_GB2312" w:eastAsia="仿宋_GB2312"/>
          <w:sz w:val="28"/>
          <w:szCs w:val="28"/>
        </w:rPr>
      </w:pPr>
      <w:r>
        <w:rPr>
          <w:rFonts w:hint="eastAsia" w:ascii="黑体" w:eastAsia="黑体"/>
          <w:sz w:val="32"/>
          <w:szCs w:val="32"/>
        </w:rPr>
        <w:t>第四部分  2022年度部门绩效评价情况</w:t>
      </w:r>
    </w:p>
    <w:tbl>
      <w:tblPr>
        <w:tblStyle w:val="9"/>
        <w:tblW w:w="0" w:type="auto"/>
        <w:tblInd w:w="93" w:type="dxa"/>
        <w:tblLayout w:type="fixed"/>
        <w:tblCellMar>
          <w:top w:w="0" w:type="dxa"/>
          <w:left w:w="108" w:type="dxa"/>
          <w:bottom w:w="0" w:type="dxa"/>
          <w:right w:w="108" w:type="dxa"/>
        </w:tblCellMar>
      </w:tblPr>
      <w:tblGrid>
        <w:gridCol w:w="14505"/>
      </w:tblGrid>
      <w:tr>
        <w:tblPrEx>
          <w:tblCellMar>
            <w:top w:w="0" w:type="dxa"/>
            <w:left w:w="108" w:type="dxa"/>
            <w:bottom w:w="0" w:type="dxa"/>
            <w:right w:w="108" w:type="dxa"/>
          </w:tblCellMar>
        </w:tblPrEx>
        <w:trPr>
          <w:trHeight w:val="480" w:hRule="atLeast"/>
        </w:trPr>
        <w:tc>
          <w:tcPr>
            <w:tcW w:w="14505" w:type="dxa"/>
            <w:tcBorders>
              <w:top w:val="nil"/>
              <w:left w:val="nil"/>
              <w:bottom w:val="nil"/>
              <w:right w:val="nil"/>
            </w:tcBorders>
            <w:vAlign w:val="center"/>
          </w:tcPr>
          <w:p>
            <w:pPr>
              <w:widowControl/>
              <w:jc w:val="center"/>
              <w:textAlignment w:val="center"/>
              <w:rPr>
                <w:rFonts w:hint="eastAsia" w:ascii="方正小标宋简体" w:hAnsi="方正小标宋简体" w:eastAsia="方正小标宋简体" w:cs="方正小标宋简体"/>
                <w:color w:val="000000"/>
                <w:kern w:val="0"/>
                <w:sz w:val="36"/>
                <w:szCs w:val="36"/>
              </w:rPr>
            </w:pPr>
          </w:p>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375" w:hRule="atLeast"/>
        </w:trPr>
        <w:tc>
          <w:tcPr>
            <w:tcW w:w="14505" w:type="dxa"/>
            <w:tcBorders>
              <w:top w:val="nil"/>
              <w:left w:val="nil"/>
              <w:bottom w:val="nil"/>
              <w:right w:val="nil"/>
            </w:tcBorders>
            <w:vAlign w:val="center"/>
          </w:tcPr>
          <w:p>
            <w:pPr>
              <w:widowControl/>
              <w:ind w:firstLine="6160" w:firstLineChars="2200"/>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  2022 年度）</w:t>
            </w:r>
          </w:p>
          <w:tbl>
            <w:tblPr>
              <w:tblStyle w:val="9"/>
              <w:tblW w:w="10197" w:type="dxa"/>
              <w:jc w:val="center"/>
              <w:tblLayout w:type="fixed"/>
              <w:tblCellMar>
                <w:top w:w="0" w:type="dxa"/>
                <w:left w:w="108" w:type="dxa"/>
                <w:bottom w:w="0" w:type="dxa"/>
                <w:right w:w="108" w:type="dxa"/>
              </w:tblCellMar>
            </w:tblPr>
            <w:tblGrid>
              <w:gridCol w:w="585"/>
              <w:gridCol w:w="975"/>
              <w:gridCol w:w="1105"/>
              <w:gridCol w:w="727"/>
              <w:gridCol w:w="1127"/>
              <w:gridCol w:w="507"/>
              <w:gridCol w:w="1417"/>
              <w:gridCol w:w="1134"/>
              <w:gridCol w:w="740"/>
              <w:gridCol w:w="884"/>
              <w:gridCol w:w="996"/>
            </w:tblGrid>
            <w:tr>
              <w:tblPrEx>
                <w:tblCellMar>
                  <w:top w:w="0" w:type="dxa"/>
                  <w:left w:w="108" w:type="dxa"/>
                  <w:bottom w:w="0" w:type="dxa"/>
                  <w:right w:w="108" w:type="dxa"/>
                </w:tblCellMar>
              </w:tblPrEx>
              <w:trPr>
                <w:trHeight w:val="504"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637"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11010623T000002048929-2021年中小学幼儿园平安校园建设专项资金--卢沟桥中学燃气设备更新及管道改造项目</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8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北京市丰台区教育委员会</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62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北京市丰台区卢沟桥中学</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8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刘志民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62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83219580-8105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6.805</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6.805</w:t>
                  </w: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6.805</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6.805</w:t>
                  </w: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8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75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815"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858"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安全使用燃气。</w:t>
                  </w:r>
                </w:p>
              </w:tc>
              <w:tc>
                <w:tcPr>
                  <w:tcW w:w="3754"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 xml:space="preserve">按时完成改造，消除安全隐患。 </w:t>
                  </w:r>
                </w:p>
              </w:tc>
            </w:tr>
            <w:tr>
              <w:tblPrEx>
                <w:tblCellMar>
                  <w:top w:w="0" w:type="dxa"/>
                  <w:left w:w="108" w:type="dxa"/>
                  <w:bottom w:w="0" w:type="dxa"/>
                  <w:right w:w="108" w:type="dxa"/>
                </w:tblCellMar>
              </w:tblPrEx>
              <w:trPr>
                <w:trHeight w:val="99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指标1：成套设备</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指标1：符合北京市强制标准</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检测合格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指标2：合同规定设备质量</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验收合格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指标1：按时完成</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暑期完工</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8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指标1：预算审批额度内</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符合</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指标1：消除安全隐患</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检测合格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ind w:firstLine="105" w:firstLineChars="50"/>
                    <w:rPr>
                      <w:rFonts w:ascii="仿宋_GB2312" w:hAnsi="宋体" w:eastAsia="仿宋_GB2312" w:cs="宋体"/>
                      <w:kern w:val="0"/>
                      <w:szCs w:val="21"/>
                    </w:rPr>
                  </w:pPr>
                  <w:r>
                    <w:rPr>
                      <w:rFonts w:hint="eastAsia" w:ascii="仿宋_GB2312" w:hAnsi="宋体" w:eastAsia="仿宋_GB2312" w:cs="宋体"/>
                      <w:kern w:val="0"/>
                      <w:szCs w:val="21"/>
                    </w:rPr>
                    <w:t>10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指标1： </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指标1：使用年限</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符合国家标准</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4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指标1：学校评价</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满意度不低于90%</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3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57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center"/>
              <w:textAlignment w:val="center"/>
              <w:rPr>
                <w:rFonts w:ascii="仿宋_GB2312" w:hAnsi="宋体" w:eastAsia="仿宋_GB2312" w:cs="仿宋_GB2312"/>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p>
            <w:pPr>
              <w:spacing w:line="480" w:lineRule="exact"/>
              <w:ind w:firstLine="6300" w:firstLineChars="225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tbl>
            <w:tblPr>
              <w:tblStyle w:val="9"/>
              <w:tblW w:w="10204" w:type="dxa"/>
              <w:jc w:val="center"/>
              <w:tblLayout w:type="fixed"/>
              <w:tblCellMar>
                <w:top w:w="0" w:type="dxa"/>
                <w:left w:w="108" w:type="dxa"/>
                <w:bottom w:w="0" w:type="dxa"/>
                <w:right w:w="108" w:type="dxa"/>
              </w:tblCellMar>
            </w:tblPr>
            <w:tblGrid>
              <w:gridCol w:w="585"/>
              <w:gridCol w:w="975"/>
              <w:gridCol w:w="1105"/>
              <w:gridCol w:w="727"/>
              <w:gridCol w:w="1127"/>
              <w:gridCol w:w="400"/>
              <w:gridCol w:w="1134"/>
              <w:gridCol w:w="1113"/>
              <w:gridCol w:w="770"/>
              <w:gridCol w:w="850"/>
              <w:gridCol w:w="1418"/>
            </w:tblGrid>
            <w:tr>
              <w:tblPrEx>
                <w:tblCellMar>
                  <w:top w:w="0" w:type="dxa"/>
                  <w:left w:w="108" w:type="dxa"/>
                  <w:bottom w:w="0" w:type="dxa"/>
                  <w:right w:w="108" w:type="dxa"/>
                </w:tblCellMar>
              </w:tblPrEx>
              <w:trPr>
                <w:trHeight w:val="363"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644"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11010622T000000444870-额度内—更新学生课桌椅</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北京市丰台区教育委员会</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3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北京市丰台区卢沟桥中学</w:t>
                  </w:r>
                </w:p>
              </w:tc>
            </w:tr>
            <w:tr>
              <w:tblPrEx>
                <w:tblCellMar>
                  <w:top w:w="0" w:type="dxa"/>
                  <w:left w:w="108" w:type="dxa"/>
                  <w:bottom w:w="0" w:type="dxa"/>
                  <w:right w:w="108" w:type="dxa"/>
                </w:tblCellMar>
              </w:tblPrEx>
              <w:trPr>
                <w:trHeight w:val="539"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刘志民</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03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83219580-8105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4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1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38"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468"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完成对已破旧学生课桌椅的更新。</w:t>
                  </w:r>
                </w:p>
              </w:tc>
              <w:tc>
                <w:tcPr>
                  <w:tcW w:w="4151"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按照标准完成了采购和安装，产品效果不错。</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指标1：成套设备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ascii="仿宋_GB2312" w:hAnsi="宋体" w:eastAsia="仿宋_GB2312" w:cs="宋体"/>
                      <w:color w:val="000000"/>
                      <w:kern w:val="0"/>
                      <w:szCs w:val="21"/>
                    </w:rPr>
                    <w:t xml:space="preserve"> 合同标准</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指标2：满足教学需要</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符合需求</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指标1：年内完成</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年内完成</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指标1：总价控制</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4万元</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4万元</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1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指标1：提高教学效率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提高</w:t>
                  </w:r>
                  <w:r>
                    <w:rPr>
                      <w:rFonts w:hint="eastAsia" w:ascii="仿宋_GB2312" w:hAnsi="宋体" w:eastAsia="仿宋_GB2312" w:cs="宋体"/>
                      <w:kern w:val="0"/>
                      <w:szCs w:val="21"/>
                    </w:rPr>
                    <w:t>教学</w:t>
                  </w:r>
                  <w:r>
                    <w:rPr>
                      <w:rFonts w:ascii="仿宋_GB2312" w:hAnsi="宋体" w:eastAsia="仿宋_GB2312" w:cs="宋体"/>
                      <w:kern w:val="0"/>
                      <w:szCs w:val="21"/>
                    </w:rPr>
                    <w:t>环境</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指标1：使用寿命</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符合产品标准</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指标1：教师评价</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满意率不低于</w:t>
                  </w:r>
                  <w:r>
                    <w:rPr>
                      <w:rFonts w:hint="eastAsia" w:ascii="仿宋_GB2312" w:hAnsi="宋体" w:eastAsia="仿宋_GB2312" w:cs="宋体"/>
                      <w:kern w:val="0"/>
                      <w:szCs w:val="21"/>
                    </w:rPr>
                    <w:t>90%</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16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rPr>
                <w:rFonts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p>
            <w:pPr>
              <w:spacing w:line="480" w:lineRule="exact"/>
              <w:ind w:firstLine="6160" w:firstLineChars="220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tbl>
            <w:tblPr>
              <w:tblStyle w:val="9"/>
              <w:tblW w:w="10204" w:type="dxa"/>
              <w:jc w:val="center"/>
              <w:tblLayout w:type="fixed"/>
              <w:tblCellMar>
                <w:top w:w="0" w:type="dxa"/>
                <w:left w:w="108" w:type="dxa"/>
                <w:bottom w:w="0" w:type="dxa"/>
                <w:right w:w="108" w:type="dxa"/>
              </w:tblCellMar>
            </w:tblPr>
            <w:tblGrid>
              <w:gridCol w:w="585"/>
              <w:gridCol w:w="975"/>
              <w:gridCol w:w="1105"/>
              <w:gridCol w:w="727"/>
              <w:gridCol w:w="1127"/>
              <w:gridCol w:w="400"/>
              <w:gridCol w:w="1134"/>
              <w:gridCol w:w="1113"/>
              <w:gridCol w:w="770"/>
              <w:gridCol w:w="850"/>
              <w:gridCol w:w="1418"/>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644" w:type="dxa"/>
                  <w:gridSpan w:val="9"/>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11010622T000000444854-额度内—新增多媒体设备</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北京市丰台区教育委员会</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3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北京市丰台区卢沟桥中学</w:t>
                  </w:r>
                </w:p>
              </w:tc>
            </w:tr>
            <w:tr>
              <w:tblPrEx>
                <w:tblCellMar>
                  <w:top w:w="0" w:type="dxa"/>
                  <w:left w:w="108" w:type="dxa"/>
                  <w:bottom w:w="0" w:type="dxa"/>
                  <w:right w:w="108" w:type="dxa"/>
                </w:tblCellMar>
              </w:tblPrEx>
              <w:trPr>
                <w:trHeight w:val="539"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刘志民</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03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83219580-8105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6.8115</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6.8115</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6.8115</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6.8115</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6.8115</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6.8115</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4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1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38"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468"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完成美术、劳技教室多媒体设备更新。</w:t>
                  </w:r>
                </w:p>
              </w:tc>
              <w:tc>
                <w:tcPr>
                  <w:tcW w:w="4151"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按照标准和政采程序完成了采购和安装，产品效果不错。</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指标1：成套设备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ascii="仿宋_GB2312" w:hAnsi="宋体" w:eastAsia="仿宋_GB2312" w:cs="宋体"/>
                      <w:color w:val="000000"/>
                      <w:kern w:val="0"/>
                      <w:szCs w:val="21"/>
                    </w:rPr>
                    <w:t xml:space="preserve"> 合同标准</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指标2：满足教学需要</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符合需求</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指标1：年内完成</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年内完成</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指标1：总价控制</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6.8115万元</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6.8115万元</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1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指标1：提高教学效率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提高教学效率</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指标1：使用寿命</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符合电子产品标准</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指标1：教师评价</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满意率不低于</w:t>
                  </w:r>
                  <w:r>
                    <w:rPr>
                      <w:rFonts w:hint="eastAsia" w:ascii="仿宋_GB2312" w:hAnsi="宋体" w:eastAsia="仿宋_GB2312" w:cs="宋体"/>
                      <w:kern w:val="0"/>
                      <w:szCs w:val="21"/>
                    </w:rPr>
                    <w:t>90%</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16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rPr>
                <w:rFonts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p>
            <w:pPr>
              <w:widowControl/>
              <w:jc w:val="center"/>
              <w:textAlignment w:val="center"/>
              <w:rPr>
                <w:rFonts w:ascii="方正小标宋简体" w:hAnsi="方正小标宋简体" w:eastAsia="方正小标宋简体" w:cs="方正小标宋简体"/>
                <w:color w:val="000000"/>
                <w:kern w:val="0"/>
                <w:sz w:val="36"/>
                <w:szCs w:val="36"/>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tbl>
            <w:tblPr>
              <w:tblStyle w:val="9"/>
              <w:tblW w:w="10204" w:type="dxa"/>
              <w:jc w:val="center"/>
              <w:tblLayout w:type="fixed"/>
              <w:tblCellMar>
                <w:top w:w="0" w:type="dxa"/>
                <w:left w:w="108" w:type="dxa"/>
                <w:bottom w:w="0" w:type="dxa"/>
                <w:right w:w="108" w:type="dxa"/>
              </w:tblCellMar>
            </w:tblPr>
            <w:tblGrid>
              <w:gridCol w:w="585"/>
              <w:gridCol w:w="975"/>
              <w:gridCol w:w="1105"/>
              <w:gridCol w:w="727"/>
              <w:gridCol w:w="1127"/>
              <w:gridCol w:w="400"/>
              <w:gridCol w:w="1134"/>
              <w:gridCol w:w="1113"/>
              <w:gridCol w:w="770"/>
              <w:gridCol w:w="850"/>
              <w:gridCol w:w="1418"/>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644" w:type="dxa"/>
                  <w:gridSpan w:val="9"/>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11010622T000000444880-额度内—新增语音教室电脑</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北京市丰台区教育委员会</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3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北京市丰台区卢沟桥中学</w:t>
                  </w:r>
                </w:p>
              </w:tc>
            </w:tr>
            <w:tr>
              <w:tblPrEx>
                <w:tblCellMar>
                  <w:top w:w="0" w:type="dxa"/>
                  <w:left w:w="108" w:type="dxa"/>
                  <w:bottom w:w="0" w:type="dxa"/>
                  <w:right w:w="108" w:type="dxa"/>
                </w:tblCellMar>
              </w:tblPrEx>
              <w:trPr>
                <w:trHeight w:val="539"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刘志民</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03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83219580-8105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24.3950</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24.3950</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24.3950</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24.3950</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24.3950</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24.3950</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4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1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38"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468"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为完成语音教室建设提供整套台式电脑设备。</w:t>
                  </w:r>
                </w:p>
              </w:tc>
              <w:tc>
                <w:tcPr>
                  <w:tcW w:w="4151"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按照标准和政采程序完成了采购和安装，产品效果不错。</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指标1：成套设备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41</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41</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ascii="仿宋_GB2312" w:hAnsi="宋体" w:eastAsia="仿宋_GB2312" w:cs="宋体"/>
                      <w:color w:val="000000"/>
                      <w:kern w:val="0"/>
                      <w:szCs w:val="21"/>
                    </w:rPr>
                    <w:t xml:space="preserve"> 合同标准</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指标2：满足教学需要</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符合需求</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指标1：年内完成</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年内完成</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指标1：总价控制</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24.3950万元</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24.3950万元</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1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指标1：提高教学效率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提高教学效率</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指标1：使用寿命</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符合电子产品标准</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指标1：教师评价</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满意率不低于</w:t>
                  </w:r>
                  <w:r>
                    <w:rPr>
                      <w:rFonts w:hint="eastAsia" w:ascii="仿宋_GB2312" w:hAnsi="宋体" w:eastAsia="仿宋_GB2312" w:cs="宋体"/>
                      <w:kern w:val="0"/>
                      <w:szCs w:val="21"/>
                    </w:rPr>
                    <w:t>90%</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16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center"/>
              <w:textAlignment w:val="center"/>
              <w:rPr>
                <w:rFonts w:ascii="仿宋_GB2312" w:hAnsi="宋体" w:eastAsia="仿宋_GB2312" w:cs="仿宋_GB2312"/>
                <w:color w:val="000000"/>
                <w:kern w:val="0"/>
                <w:sz w:val="28"/>
                <w:szCs w:val="28"/>
              </w:rPr>
            </w:pPr>
          </w:p>
          <w:p>
            <w:pPr>
              <w:spacing w:line="480" w:lineRule="exact"/>
              <w:rPr>
                <w:rFonts w:ascii="方正小标宋简体" w:hAnsi="黑体" w:eastAsia="方正小标宋简体"/>
                <w:sz w:val="36"/>
                <w:szCs w:val="36"/>
              </w:rPr>
            </w:pPr>
            <w:r>
              <w:rPr>
                <w:rFonts w:hint="eastAsia" w:ascii="方正小标宋简体" w:eastAsia="方正小标宋简体"/>
                <w:sz w:val="36"/>
                <w:szCs w:val="36"/>
              </w:rPr>
              <w:t xml:space="preserve">                                </w:t>
            </w: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480" w:lineRule="exact"/>
              <w:rPr>
                <w:rFonts w:ascii="仿宋_GB2312" w:hAnsi="宋体" w:eastAsia="仿宋_GB2312"/>
                <w:sz w:val="28"/>
                <w:szCs w:val="28"/>
              </w:rPr>
            </w:pPr>
          </w:p>
          <w:tbl>
            <w:tblPr>
              <w:tblStyle w:val="9"/>
              <w:tblW w:w="10204" w:type="dxa"/>
              <w:jc w:val="center"/>
              <w:tblLayout w:type="fixed"/>
              <w:tblCellMar>
                <w:top w:w="0" w:type="dxa"/>
                <w:left w:w="108" w:type="dxa"/>
                <w:bottom w:w="0" w:type="dxa"/>
                <w:right w:w="108" w:type="dxa"/>
              </w:tblCellMar>
            </w:tblPr>
            <w:tblGrid>
              <w:gridCol w:w="585"/>
              <w:gridCol w:w="975"/>
              <w:gridCol w:w="1105"/>
              <w:gridCol w:w="727"/>
              <w:gridCol w:w="1127"/>
              <w:gridCol w:w="400"/>
              <w:gridCol w:w="1134"/>
              <w:gridCol w:w="1113"/>
              <w:gridCol w:w="770"/>
              <w:gridCol w:w="850"/>
              <w:gridCol w:w="1418"/>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644" w:type="dxa"/>
                  <w:gridSpan w:val="9"/>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11010623T000002212911-更新购置计算机和机房配套设备</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北京市丰台区教育委员会</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3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北京市丰台区卢沟桥中学</w:t>
                  </w:r>
                </w:p>
              </w:tc>
            </w:tr>
            <w:tr>
              <w:tblPrEx>
                <w:tblCellMar>
                  <w:top w:w="0" w:type="dxa"/>
                  <w:left w:w="108" w:type="dxa"/>
                  <w:bottom w:w="0" w:type="dxa"/>
                  <w:right w:w="108" w:type="dxa"/>
                </w:tblCellMar>
              </w:tblPrEx>
              <w:trPr>
                <w:trHeight w:val="539"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刘志民</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03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83219580-8105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41.78</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41.78</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41.78</w:t>
                  </w: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41.78</w:t>
                  </w: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4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1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38"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468"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我校需要购置计算机41台，机房电脑30台。完成电脑配备。</w:t>
                  </w:r>
                </w:p>
              </w:tc>
              <w:tc>
                <w:tcPr>
                  <w:tcW w:w="4151"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按照标准和政采程序完成了采购和安装，产品效果不错。</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指标1：成套设备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71</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71</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ascii="仿宋_GB2312" w:hAnsi="宋体" w:eastAsia="仿宋_GB2312" w:cs="宋体"/>
                      <w:color w:val="000000"/>
                      <w:kern w:val="0"/>
                      <w:szCs w:val="21"/>
                    </w:rPr>
                    <w:t xml:space="preserve"> 合同标准</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指标2：满足教学需要</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符合需求</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指标1：年内完成</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年内完成</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指标1：总价控制</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41.78万元</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41.78万元</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1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指标1：提高教学效率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提高教学效率</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指标1：使用寿命</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符合电子产品标准</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指标1：教师评价</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满意率不低于</w:t>
                  </w:r>
                  <w:r>
                    <w:rPr>
                      <w:rFonts w:hint="eastAsia" w:ascii="仿宋_GB2312" w:hAnsi="宋体" w:eastAsia="仿宋_GB2312" w:cs="宋体"/>
                      <w:kern w:val="0"/>
                      <w:szCs w:val="21"/>
                    </w:rPr>
                    <w:t>90%</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5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16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rPr>
                <w:rFonts w:ascii="仿宋_GB2312" w:hAnsi="宋体" w:eastAsia="仿宋_GB2312" w:cs="仿宋_GB2312"/>
                <w:color w:val="000000"/>
                <w:kern w:val="0"/>
                <w:sz w:val="28"/>
                <w:szCs w:val="28"/>
              </w:rPr>
            </w:pPr>
          </w:p>
          <w:p>
            <w:pPr>
              <w:spacing w:line="480" w:lineRule="exact"/>
              <w:rPr>
                <w:rFonts w:ascii="仿宋_GB2312" w:hAnsi="宋体" w:eastAsia="仿宋_GB2312" w:cs="仿宋_GB2312"/>
                <w:color w:val="000000"/>
                <w:kern w:val="0"/>
                <w:sz w:val="28"/>
                <w:szCs w:val="28"/>
              </w:rPr>
            </w:pPr>
          </w:p>
          <w:p>
            <w:pPr>
              <w:spacing w:line="480" w:lineRule="exact"/>
              <w:ind w:firstLine="5220" w:firstLineChars="1450"/>
              <w:rPr>
                <w:rFonts w:ascii="方正小标宋简体" w:hAnsi="黑体" w:eastAsia="方正小标宋简体"/>
                <w:sz w:val="36"/>
                <w:szCs w:val="36"/>
              </w:rPr>
            </w:pPr>
            <w:r>
              <w:rPr>
                <w:rFonts w:hint="eastAsia" w:ascii="方正小标宋简体" w:hAnsi="方正小标宋简体" w:eastAsia="方正小标宋简体" w:cs="方正小标宋简体"/>
                <w:color w:val="000000"/>
                <w:kern w:val="0"/>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480" w:lineRule="exact"/>
              <w:rPr>
                <w:rFonts w:ascii="仿宋_GB2312" w:hAnsi="宋体" w:eastAsia="仿宋_GB2312"/>
                <w:sz w:val="28"/>
                <w:szCs w:val="28"/>
              </w:rPr>
            </w:pPr>
          </w:p>
          <w:tbl>
            <w:tblPr>
              <w:tblStyle w:val="9"/>
              <w:tblW w:w="9780" w:type="dxa"/>
              <w:jc w:val="center"/>
              <w:tblLayout w:type="fixed"/>
              <w:tblCellMar>
                <w:top w:w="0" w:type="dxa"/>
                <w:left w:w="108" w:type="dxa"/>
                <w:bottom w:w="0" w:type="dxa"/>
                <w:right w:w="108" w:type="dxa"/>
              </w:tblCellMar>
            </w:tblPr>
            <w:tblGrid>
              <w:gridCol w:w="585"/>
              <w:gridCol w:w="975"/>
              <w:gridCol w:w="1105"/>
              <w:gridCol w:w="727"/>
              <w:gridCol w:w="1127"/>
              <w:gridCol w:w="158"/>
              <w:gridCol w:w="1276"/>
              <w:gridCol w:w="1276"/>
              <w:gridCol w:w="596"/>
              <w:gridCol w:w="567"/>
              <w:gridCol w:w="425"/>
              <w:gridCol w:w="963"/>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220" w:type="dxa"/>
                  <w:gridSpan w:val="10"/>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11010622T000000457515-专项下达—离休干部医疗统筹金</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3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北京市丰台区教育委员会</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5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北京市丰台区卢沟桥中学</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3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刘志民</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5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83219580-8105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5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8.25</w:t>
                  </w:r>
                </w:p>
              </w:tc>
              <w:tc>
                <w:tcPr>
                  <w:tcW w:w="5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91.67</w:t>
                  </w:r>
                  <w:r>
                    <w:rPr>
                      <w:rFonts w:ascii="仿宋_GB2312" w:hAnsi="宋体" w:eastAsia="仿宋_GB2312" w:cs="宋体"/>
                      <w:kern w:val="0"/>
                      <w:szCs w:val="21"/>
                    </w:rPr>
                    <w:t>%</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8.25</w:t>
                  </w:r>
                </w:p>
              </w:tc>
              <w:tc>
                <w:tcPr>
                  <w:tcW w:w="5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91.67</w:t>
                  </w:r>
                  <w:r>
                    <w:rPr>
                      <w:rFonts w:ascii="仿宋_GB2312" w:hAnsi="宋体" w:eastAsia="仿宋_GB2312" w:cs="宋体"/>
                      <w:kern w:val="0"/>
                      <w:szCs w:val="21"/>
                    </w:rPr>
                    <w:t>%</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3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8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8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3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落实离休干部医疗统筹政策</w:t>
                  </w:r>
                </w:p>
              </w:tc>
              <w:tc>
                <w:tcPr>
                  <w:tcW w:w="38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按时支付完成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 人次</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指标1：国家政策</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符合政策</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指标1：年内</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按时落实</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指标1：金额</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9万元</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91.67%</w:t>
                  </w: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指标1：政策关心</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全面落实</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指标1：医疗保障</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年内</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ascii="仿宋_GB2312" w:hAnsi="宋体" w:eastAsia="仿宋_GB2312" w:cs="宋体"/>
                      <w:color w:val="000000"/>
                      <w:kern w:val="0"/>
                      <w:szCs w:val="21"/>
                    </w:rPr>
                    <w:t xml:space="preserve"> 相关人员反映</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满意度达100%</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2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240" w:lineRule="exact"/>
              <w:rPr>
                <w:rFonts w:ascii="仿宋_GB2312" w:hAnsi="宋体" w:eastAsia="仿宋_GB2312"/>
                <w:sz w:val="30"/>
                <w:szCs w:val="30"/>
              </w:rPr>
            </w:pPr>
          </w:p>
          <w:p>
            <w:pPr>
              <w:widowControl/>
              <w:jc w:val="center"/>
              <w:textAlignment w:val="center"/>
              <w:rPr>
                <w:rFonts w:ascii="仿宋_GB2312" w:hAnsi="宋体" w:eastAsia="仿宋_GB2312" w:cs="仿宋_GB2312"/>
                <w:color w:val="000000"/>
                <w:kern w:val="0"/>
                <w:sz w:val="28"/>
                <w:szCs w:val="28"/>
              </w:rPr>
            </w:pPr>
          </w:p>
          <w:p>
            <w:pPr>
              <w:widowControl/>
              <w:jc w:val="center"/>
              <w:textAlignment w:val="center"/>
              <w:rPr>
                <w:rFonts w:ascii="仿宋_GB2312" w:hAnsi="宋体" w:eastAsia="仿宋_GB2312" w:cs="仿宋_GB2312"/>
                <w:color w:val="000000"/>
                <w:kern w:val="0"/>
                <w:sz w:val="28"/>
                <w:szCs w:val="28"/>
              </w:rPr>
            </w:pPr>
          </w:p>
          <w:p>
            <w:pPr>
              <w:spacing w:line="480" w:lineRule="exact"/>
              <w:ind w:firstLine="5220" w:firstLineChars="1450"/>
              <w:rPr>
                <w:rFonts w:ascii="方正小标宋简体" w:hAnsi="方正小标宋简体" w:eastAsia="方正小标宋简体" w:cs="方正小标宋简体"/>
                <w:color w:val="000000"/>
                <w:kern w:val="0"/>
                <w:sz w:val="36"/>
                <w:szCs w:val="36"/>
              </w:rPr>
            </w:pPr>
          </w:p>
          <w:p>
            <w:pPr>
              <w:spacing w:line="480" w:lineRule="exact"/>
              <w:ind w:firstLine="5220" w:firstLineChars="1450"/>
              <w:rPr>
                <w:rFonts w:ascii="方正小标宋简体" w:hAnsi="黑体" w:eastAsia="方正小标宋简体"/>
                <w:sz w:val="36"/>
                <w:szCs w:val="36"/>
              </w:rPr>
            </w:pPr>
            <w:r>
              <w:rPr>
                <w:rFonts w:hint="eastAsia" w:ascii="方正小标宋简体" w:hAnsi="方正小标宋简体" w:eastAsia="方正小标宋简体" w:cs="方正小标宋简体"/>
                <w:color w:val="000000"/>
                <w:kern w:val="0"/>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480" w:lineRule="exact"/>
              <w:rPr>
                <w:rFonts w:ascii="仿宋_GB2312" w:hAnsi="宋体" w:eastAsia="仿宋_GB2312"/>
                <w:sz w:val="28"/>
                <w:szCs w:val="28"/>
              </w:rPr>
            </w:pPr>
          </w:p>
          <w:tbl>
            <w:tblPr>
              <w:tblStyle w:val="9"/>
              <w:tblW w:w="9568" w:type="dxa"/>
              <w:jc w:val="center"/>
              <w:tblLayout w:type="fixed"/>
              <w:tblCellMar>
                <w:top w:w="0" w:type="dxa"/>
                <w:left w:w="108" w:type="dxa"/>
                <w:bottom w:w="0" w:type="dxa"/>
                <w:right w:w="108" w:type="dxa"/>
              </w:tblCellMar>
            </w:tblPr>
            <w:tblGrid>
              <w:gridCol w:w="585"/>
              <w:gridCol w:w="975"/>
              <w:gridCol w:w="1105"/>
              <w:gridCol w:w="727"/>
              <w:gridCol w:w="1127"/>
              <w:gridCol w:w="365"/>
              <w:gridCol w:w="992"/>
              <w:gridCol w:w="851"/>
              <w:gridCol w:w="283"/>
              <w:gridCol w:w="284"/>
              <w:gridCol w:w="425"/>
              <w:gridCol w:w="142"/>
              <w:gridCol w:w="708"/>
              <w:gridCol w:w="999"/>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008" w:type="dxa"/>
                  <w:gridSpan w:val="1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11010622T000000459412-专项下达—事业单位基本岗位编外人员补贴</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3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北京市丰台区教育委员会</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558"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北京市丰台区卢沟桥中学</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3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刘志民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55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83219580-8105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9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9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5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5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69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87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2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根据</w:t>
                  </w:r>
                  <w:r>
                    <w:rPr>
                      <w:rFonts w:hint="eastAsia" w:ascii="仿宋_GB2312" w:hAnsi="宋体" w:eastAsia="仿宋_GB2312" w:cs="宋体"/>
                      <w:kern w:val="0"/>
                      <w:szCs w:val="21"/>
                    </w:rPr>
                    <w:t>《丰台教委所属事业单位基本岗位编外人员聘用管理办法（试行）》,缓解教师队伍结构性缺编等问题，以满足教育发展需求。</w:t>
                  </w:r>
                </w:p>
              </w:tc>
              <w:tc>
                <w:tcPr>
                  <w:tcW w:w="3692"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按照预算数据完成了支付。</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指标1：人数</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指标1：资格证书等</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达标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指标1：学年</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期</w:t>
                  </w:r>
                  <w:r>
                    <w:rPr>
                      <w:rFonts w:hint="eastAsia" w:ascii="仿宋_GB2312" w:hAnsi="宋体" w:eastAsia="仿宋_GB2312" w:cs="宋体"/>
                      <w:kern w:val="0"/>
                      <w:szCs w:val="21"/>
                    </w:rPr>
                    <w:t>间</w:t>
                  </w:r>
                  <w:r>
                    <w:rPr>
                      <w:rFonts w:ascii="仿宋_GB2312" w:hAnsi="宋体" w:eastAsia="仿宋_GB2312" w:cs="宋体"/>
                      <w:kern w:val="0"/>
                      <w:szCs w:val="21"/>
                    </w:rPr>
                    <w:t>内</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指标1：批复数</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达标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指标1：满足学校需求</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达标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指标1：市教委监控</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满意度</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达标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21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2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7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rPr>
                <w:rFonts w:ascii="仿宋_GB2312" w:hAnsi="宋体" w:eastAsia="仿宋_GB2312" w:cs="仿宋_GB2312"/>
                <w:color w:val="000000"/>
                <w:kern w:val="0"/>
                <w:sz w:val="28"/>
                <w:szCs w:val="28"/>
              </w:rPr>
            </w:pPr>
          </w:p>
          <w:p>
            <w:pPr>
              <w:widowControl/>
              <w:textAlignment w:val="center"/>
              <w:rPr>
                <w:rFonts w:ascii="仿宋_GB2312" w:hAnsi="宋体" w:eastAsia="仿宋_GB2312" w:cs="仿宋_GB2312"/>
                <w:color w:val="000000"/>
                <w:sz w:val="28"/>
                <w:szCs w:val="28"/>
              </w:rPr>
            </w:pPr>
          </w:p>
        </w:tc>
      </w:tr>
    </w:tbl>
    <w:p>
      <w:pPr>
        <w:spacing w:line="5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spacing w:line="480" w:lineRule="exact"/>
        <w:ind w:firstLine="5220" w:firstLineChars="1450"/>
        <w:rPr>
          <w:rFonts w:hint="eastAsia" w:ascii="方正小标宋简体" w:hAnsi="黑体" w:eastAsia="方正小标宋简体"/>
          <w:sz w:val="36"/>
          <w:szCs w:val="36"/>
        </w:rPr>
      </w:pPr>
    </w:p>
    <w:p>
      <w:pPr>
        <w:spacing w:line="480" w:lineRule="exact"/>
        <w:ind w:firstLine="5220" w:firstLineChars="1450"/>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tbl>
      <w:tblPr>
        <w:tblStyle w:val="9"/>
        <w:tblW w:w="10129" w:type="dxa"/>
        <w:jc w:val="center"/>
        <w:tblLayout w:type="fixed"/>
        <w:tblCellMar>
          <w:top w:w="0" w:type="dxa"/>
          <w:left w:w="108" w:type="dxa"/>
          <w:bottom w:w="0" w:type="dxa"/>
          <w:right w:w="108" w:type="dxa"/>
        </w:tblCellMar>
      </w:tblPr>
      <w:tblGrid>
        <w:gridCol w:w="585"/>
        <w:gridCol w:w="975"/>
        <w:gridCol w:w="1105"/>
        <w:gridCol w:w="727"/>
        <w:gridCol w:w="1127"/>
        <w:gridCol w:w="649"/>
        <w:gridCol w:w="1275"/>
        <w:gridCol w:w="1134"/>
        <w:gridCol w:w="706"/>
        <w:gridCol w:w="709"/>
        <w:gridCol w:w="142"/>
        <w:gridCol w:w="995"/>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569" w:type="dxa"/>
            <w:gridSpan w:val="10"/>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11010622T000000458954-专项下达—中小学实践活动</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8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北京市丰台区教育委员会</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5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北京市丰台区卢沟桥中学</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8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安跃</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5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83219580-8111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30.57</w:t>
            </w: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20.0544</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20.0544</w:t>
            </w:r>
          </w:p>
        </w:tc>
        <w:tc>
          <w:tcPr>
            <w:tcW w:w="70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30.57</w:t>
            </w: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20.0544</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20.0544</w:t>
            </w:r>
          </w:p>
        </w:tc>
        <w:tc>
          <w:tcPr>
            <w:tcW w:w="70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2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8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8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858"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落实中小学课程建设要求，丰富学校课程体系，为培养学生综合素质提供课程支持。</w:t>
            </w:r>
          </w:p>
        </w:tc>
        <w:tc>
          <w:tcPr>
            <w:tcW w:w="3686"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年内完成学校课程体系建设，组织了以学生社团、社会大课堂、开放性课程为主要内容的课程实施；提高了学生综合素质。经费采取统筹使用。</w:t>
            </w:r>
          </w:p>
        </w:tc>
      </w:tr>
      <w:tr>
        <w:tblPrEx>
          <w:tblCellMar>
            <w:top w:w="0" w:type="dxa"/>
            <w:left w:w="108" w:type="dxa"/>
            <w:bottom w:w="0" w:type="dxa"/>
            <w:right w:w="108" w:type="dxa"/>
          </w:tblCellMar>
        </w:tblPrEx>
        <w:trPr>
          <w:trHeight w:val="988"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指标1：社团数量</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指标2：足球队数量</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指标3：购买开放性课程数量</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3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指标4：购买耗材数量</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项目需求</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指标1：正常训练</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落实合同</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指标2：训练比赛</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检查</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指标3：课程方案</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符合方案需要</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指标4：符合需求</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接收检测</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指标1：完成课程</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年内</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指标1：预算控制</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不超预算</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指标1：课程目标</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学生素质提升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不适用</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指标1：师生评价</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满意度不低于</w:t>
            </w:r>
            <w:r>
              <w:rPr>
                <w:rFonts w:hint="eastAsia" w:ascii="仿宋_GB2312" w:hAnsi="宋体" w:eastAsia="仿宋_GB2312" w:cs="宋体"/>
                <w:kern w:val="0"/>
                <w:szCs w:val="21"/>
              </w:rPr>
              <w:t>85%</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50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57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580" w:lineRule="exact"/>
        <w:rPr>
          <w:rFonts w:ascii="仿宋_GB2312" w:hAnsi="仿宋_GB2312" w:eastAsia="仿宋_GB2312" w:cs="仿宋_GB2312"/>
          <w:color w:val="000000"/>
          <w:kern w:val="0"/>
          <w:sz w:val="28"/>
          <w:szCs w:val="28"/>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3652F"/>
    <w:multiLevelType w:val="singleLevel"/>
    <w:tmpl w:val="3203652F"/>
    <w:lvl w:ilvl="0" w:tentative="0">
      <w:start w:val="6"/>
      <w:numFmt w:val="chineseCounting"/>
      <w:suff w:val="nothing"/>
      <w:lvlText w:val="%1、"/>
      <w:lvlJc w:val="left"/>
      <w:rPr>
        <w:rFonts w:hint="eastAsia"/>
      </w:rPr>
    </w:lvl>
  </w:abstractNum>
  <w:abstractNum w:abstractNumId="1">
    <w:nsid w:val="47CE6C3E"/>
    <w:multiLevelType w:val="multilevel"/>
    <w:tmpl w:val="47CE6C3E"/>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B03"/>
    <w:rsid w:val="000040E6"/>
    <w:rsid w:val="00011D72"/>
    <w:rsid w:val="0001281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33A9"/>
    <w:rsid w:val="00077A9E"/>
    <w:rsid w:val="00077F4A"/>
    <w:rsid w:val="00077FE5"/>
    <w:rsid w:val="00080447"/>
    <w:rsid w:val="00085663"/>
    <w:rsid w:val="00095948"/>
    <w:rsid w:val="00095C26"/>
    <w:rsid w:val="00096504"/>
    <w:rsid w:val="00096B86"/>
    <w:rsid w:val="000A1770"/>
    <w:rsid w:val="000A283C"/>
    <w:rsid w:val="000B0F9D"/>
    <w:rsid w:val="000B15B7"/>
    <w:rsid w:val="000B68BF"/>
    <w:rsid w:val="000B70F1"/>
    <w:rsid w:val="000C4611"/>
    <w:rsid w:val="000D6854"/>
    <w:rsid w:val="000E0B26"/>
    <w:rsid w:val="000E3291"/>
    <w:rsid w:val="000E4572"/>
    <w:rsid w:val="000F08FE"/>
    <w:rsid w:val="000F2A48"/>
    <w:rsid w:val="000F49BE"/>
    <w:rsid w:val="00100246"/>
    <w:rsid w:val="00100D43"/>
    <w:rsid w:val="0010682D"/>
    <w:rsid w:val="001069DE"/>
    <w:rsid w:val="001073C6"/>
    <w:rsid w:val="00107DB5"/>
    <w:rsid w:val="0011483D"/>
    <w:rsid w:val="00115724"/>
    <w:rsid w:val="00130995"/>
    <w:rsid w:val="00131FF9"/>
    <w:rsid w:val="00132320"/>
    <w:rsid w:val="001369A7"/>
    <w:rsid w:val="001371E8"/>
    <w:rsid w:val="001428C5"/>
    <w:rsid w:val="001503D8"/>
    <w:rsid w:val="00157540"/>
    <w:rsid w:val="0016726C"/>
    <w:rsid w:val="0017111F"/>
    <w:rsid w:val="00172A27"/>
    <w:rsid w:val="00173CF6"/>
    <w:rsid w:val="00174671"/>
    <w:rsid w:val="00180DAD"/>
    <w:rsid w:val="0018370E"/>
    <w:rsid w:val="001852E1"/>
    <w:rsid w:val="00191568"/>
    <w:rsid w:val="00197126"/>
    <w:rsid w:val="001A4277"/>
    <w:rsid w:val="001A51AA"/>
    <w:rsid w:val="001A7D2E"/>
    <w:rsid w:val="001B1DF9"/>
    <w:rsid w:val="001B1E93"/>
    <w:rsid w:val="001B375E"/>
    <w:rsid w:val="001B4A46"/>
    <w:rsid w:val="001B5E87"/>
    <w:rsid w:val="001B5E91"/>
    <w:rsid w:val="001B7988"/>
    <w:rsid w:val="001C217E"/>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0F1"/>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B62CC"/>
    <w:rsid w:val="002C0443"/>
    <w:rsid w:val="002C12FB"/>
    <w:rsid w:val="002C16FC"/>
    <w:rsid w:val="002C24BC"/>
    <w:rsid w:val="002D03C6"/>
    <w:rsid w:val="002D0FDF"/>
    <w:rsid w:val="002D3955"/>
    <w:rsid w:val="002D68A9"/>
    <w:rsid w:val="002E06AE"/>
    <w:rsid w:val="002E4A74"/>
    <w:rsid w:val="002E4B75"/>
    <w:rsid w:val="002E68DD"/>
    <w:rsid w:val="002F17C2"/>
    <w:rsid w:val="002F32EE"/>
    <w:rsid w:val="002F4054"/>
    <w:rsid w:val="002F5574"/>
    <w:rsid w:val="00301D20"/>
    <w:rsid w:val="00302B19"/>
    <w:rsid w:val="003030FA"/>
    <w:rsid w:val="00303428"/>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0CC7"/>
    <w:rsid w:val="00365A24"/>
    <w:rsid w:val="003712DB"/>
    <w:rsid w:val="00372490"/>
    <w:rsid w:val="00373DDC"/>
    <w:rsid w:val="00380439"/>
    <w:rsid w:val="00382A86"/>
    <w:rsid w:val="00383BCC"/>
    <w:rsid w:val="00385243"/>
    <w:rsid w:val="003925D4"/>
    <w:rsid w:val="0039318C"/>
    <w:rsid w:val="00393366"/>
    <w:rsid w:val="003935E2"/>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1311"/>
    <w:rsid w:val="003D5746"/>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6C74"/>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2F26"/>
    <w:rsid w:val="0047460C"/>
    <w:rsid w:val="00474FF2"/>
    <w:rsid w:val="00480098"/>
    <w:rsid w:val="00484A93"/>
    <w:rsid w:val="00485E12"/>
    <w:rsid w:val="00485F19"/>
    <w:rsid w:val="004865DA"/>
    <w:rsid w:val="0048779C"/>
    <w:rsid w:val="00487AB7"/>
    <w:rsid w:val="00487ED0"/>
    <w:rsid w:val="0049682C"/>
    <w:rsid w:val="004A168E"/>
    <w:rsid w:val="004A4EC7"/>
    <w:rsid w:val="004B0003"/>
    <w:rsid w:val="004B0EA3"/>
    <w:rsid w:val="004C020A"/>
    <w:rsid w:val="004C03A3"/>
    <w:rsid w:val="004C44B8"/>
    <w:rsid w:val="004C7629"/>
    <w:rsid w:val="004D0D5D"/>
    <w:rsid w:val="004E27DD"/>
    <w:rsid w:val="004E3350"/>
    <w:rsid w:val="004E5292"/>
    <w:rsid w:val="004E57EF"/>
    <w:rsid w:val="004E6663"/>
    <w:rsid w:val="004F2C5B"/>
    <w:rsid w:val="004F641B"/>
    <w:rsid w:val="004F71F3"/>
    <w:rsid w:val="005052FA"/>
    <w:rsid w:val="005069E1"/>
    <w:rsid w:val="00507E59"/>
    <w:rsid w:val="005122B5"/>
    <w:rsid w:val="0051557E"/>
    <w:rsid w:val="0052381C"/>
    <w:rsid w:val="005346B3"/>
    <w:rsid w:val="0054051C"/>
    <w:rsid w:val="00542A35"/>
    <w:rsid w:val="00546A84"/>
    <w:rsid w:val="00547BE2"/>
    <w:rsid w:val="0055353D"/>
    <w:rsid w:val="0056187C"/>
    <w:rsid w:val="005629C3"/>
    <w:rsid w:val="00576B03"/>
    <w:rsid w:val="005778BD"/>
    <w:rsid w:val="00591655"/>
    <w:rsid w:val="00591BEC"/>
    <w:rsid w:val="005940EA"/>
    <w:rsid w:val="00594448"/>
    <w:rsid w:val="005A1D6F"/>
    <w:rsid w:val="005A4D82"/>
    <w:rsid w:val="005A52A6"/>
    <w:rsid w:val="005B0DEC"/>
    <w:rsid w:val="005B368E"/>
    <w:rsid w:val="005B6E69"/>
    <w:rsid w:val="005C0015"/>
    <w:rsid w:val="005C1E82"/>
    <w:rsid w:val="005C25BC"/>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3F9"/>
    <w:rsid w:val="006A374A"/>
    <w:rsid w:val="006A47A5"/>
    <w:rsid w:val="006A505E"/>
    <w:rsid w:val="006A513E"/>
    <w:rsid w:val="006A5265"/>
    <w:rsid w:val="006B0CB9"/>
    <w:rsid w:val="006B2609"/>
    <w:rsid w:val="006B2750"/>
    <w:rsid w:val="006B3678"/>
    <w:rsid w:val="006B7390"/>
    <w:rsid w:val="006C0084"/>
    <w:rsid w:val="006C107D"/>
    <w:rsid w:val="006C3600"/>
    <w:rsid w:val="006C4534"/>
    <w:rsid w:val="006C49F2"/>
    <w:rsid w:val="006C5205"/>
    <w:rsid w:val="006C75F6"/>
    <w:rsid w:val="006D3F53"/>
    <w:rsid w:val="006D4FE5"/>
    <w:rsid w:val="006D60AF"/>
    <w:rsid w:val="006E3231"/>
    <w:rsid w:val="006E3631"/>
    <w:rsid w:val="006E4301"/>
    <w:rsid w:val="006F021B"/>
    <w:rsid w:val="006F183F"/>
    <w:rsid w:val="00701651"/>
    <w:rsid w:val="00703579"/>
    <w:rsid w:val="007049BF"/>
    <w:rsid w:val="00704E79"/>
    <w:rsid w:val="00707A26"/>
    <w:rsid w:val="0071120F"/>
    <w:rsid w:val="00716380"/>
    <w:rsid w:val="00722165"/>
    <w:rsid w:val="0072247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0D66"/>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2162"/>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178C7"/>
    <w:rsid w:val="009351E9"/>
    <w:rsid w:val="00937490"/>
    <w:rsid w:val="00937862"/>
    <w:rsid w:val="00942279"/>
    <w:rsid w:val="009524EB"/>
    <w:rsid w:val="00953027"/>
    <w:rsid w:val="00957C3C"/>
    <w:rsid w:val="00957C4F"/>
    <w:rsid w:val="00962013"/>
    <w:rsid w:val="00963942"/>
    <w:rsid w:val="0096716C"/>
    <w:rsid w:val="009672B2"/>
    <w:rsid w:val="00971C66"/>
    <w:rsid w:val="00981623"/>
    <w:rsid w:val="0098419C"/>
    <w:rsid w:val="009843EF"/>
    <w:rsid w:val="009867F2"/>
    <w:rsid w:val="00991347"/>
    <w:rsid w:val="00996018"/>
    <w:rsid w:val="0099738E"/>
    <w:rsid w:val="009A493E"/>
    <w:rsid w:val="009A531F"/>
    <w:rsid w:val="009A6931"/>
    <w:rsid w:val="009B1F9A"/>
    <w:rsid w:val="009B1FA9"/>
    <w:rsid w:val="009B333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490"/>
    <w:rsid w:val="00A14C18"/>
    <w:rsid w:val="00A25898"/>
    <w:rsid w:val="00A3071D"/>
    <w:rsid w:val="00A3182E"/>
    <w:rsid w:val="00A31A89"/>
    <w:rsid w:val="00A32F06"/>
    <w:rsid w:val="00A34934"/>
    <w:rsid w:val="00A34EFE"/>
    <w:rsid w:val="00A36546"/>
    <w:rsid w:val="00A4069C"/>
    <w:rsid w:val="00A429CB"/>
    <w:rsid w:val="00A432A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4A4"/>
    <w:rsid w:val="00AA7A27"/>
    <w:rsid w:val="00AB3FB0"/>
    <w:rsid w:val="00AB465D"/>
    <w:rsid w:val="00AB5AEA"/>
    <w:rsid w:val="00AB6D48"/>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08A6"/>
    <w:rsid w:val="00B336E9"/>
    <w:rsid w:val="00B33AE5"/>
    <w:rsid w:val="00B35BE5"/>
    <w:rsid w:val="00B46965"/>
    <w:rsid w:val="00B54ED0"/>
    <w:rsid w:val="00B55D47"/>
    <w:rsid w:val="00B6204E"/>
    <w:rsid w:val="00B649EC"/>
    <w:rsid w:val="00B728DD"/>
    <w:rsid w:val="00B72D43"/>
    <w:rsid w:val="00B74121"/>
    <w:rsid w:val="00B8263D"/>
    <w:rsid w:val="00B85C1B"/>
    <w:rsid w:val="00B85FF0"/>
    <w:rsid w:val="00B86150"/>
    <w:rsid w:val="00B878F9"/>
    <w:rsid w:val="00B9044A"/>
    <w:rsid w:val="00B9497C"/>
    <w:rsid w:val="00B960F3"/>
    <w:rsid w:val="00B96A31"/>
    <w:rsid w:val="00B97B91"/>
    <w:rsid w:val="00BA05E6"/>
    <w:rsid w:val="00BA51B0"/>
    <w:rsid w:val="00BA6319"/>
    <w:rsid w:val="00BA65A8"/>
    <w:rsid w:val="00BB1910"/>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36913"/>
    <w:rsid w:val="00C403FB"/>
    <w:rsid w:val="00C4316E"/>
    <w:rsid w:val="00C441A2"/>
    <w:rsid w:val="00C5076B"/>
    <w:rsid w:val="00C512D4"/>
    <w:rsid w:val="00C51CF4"/>
    <w:rsid w:val="00C531E2"/>
    <w:rsid w:val="00C53204"/>
    <w:rsid w:val="00C57E34"/>
    <w:rsid w:val="00C60FE2"/>
    <w:rsid w:val="00C64659"/>
    <w:rsid w:val="00C662E9"/>
    <w:rsid w:val="00C66C2D"/>
    <w:rsid w:val="00C7190B"/>
    <w:rsid w:val="00C74272"/>
    <w:rsid w:val="00C76852"/>
    <w:rsid w:val="00C77210"/>
    <w:rsid w:val="00C777FA"/>
    <w:rsid w:val="00C77989"/>
    <w:rsid w:val="00C811F4"/>
    <w:rsid w:val="00C81E51"/>
    <w:rsid w:val="00C87B73"/>
    <w:rsid w:val="00C92444"/>
    <w:rsid w:val="00C92FBB"/>
    <w:rsid w:val="00C93327"/>
    <w:rsid w:val="00C976D9"/>
    <w:rsid w:val="00C97B4D"/>
    <w:rsid w:val="00CA5602"/>
    <w:rsid w:val="00CA5CA9"/>
    <w:rsid w:val="00CA78E2"/>
    <w:rsid w:val="00CB1BBE"/>
    <w:rsid w:val="00CB2A6C"/>
    <w:rsid w:val="00CB65DB"/>
    <w:rsid w:val="00CB6BD9"/>
    <w:rsid w:val="00CC293A"/>
    <w:rsid w:val="00CE19F6"/>
    <w:rsid w:val="00CF366B"/>
    <w:rsid w:val="00CF5D9D"/>
    <w:rsid w:val="00CF606C"/>
    <w:rsid w:val="00CF7423"/>
    <w:rsid w:val="00D001F5"/>
    <w:rsid w:val="00D03E80"/>
    <w:rsid w:val="00D1505F"/>
    <w:rsid w:val="00D15B9F"/>
    <w:rsid w:val="00D15DD6"/>
    <w:rsid w:val="00D168D6"/>
    <w:rsid w:val="00D25533"/>
    <w:rsid w:val="00D25548"/>
    <w:rsid w:val="00D2601F"/>
    <w:rsid w:val="00D27759"/>
    <w:rsid w:val="00D30028"/>
    <w:rsid w:val="00D325D3"/>
    <w:rsid w:val="00D408D6"/>
    <w:rsid w:val="00D511DD"/>
    <w:rsid w:val="00D55C2A"/>
    <w:rsid w:val="00D571C1"/>
    <w:rsid w:val="00D602F4"/>
    <w:rsid w:val="00D6457E"/>
    <w:rsid w:val="00D742E2"/>
    <w:rsid w:val="00D7580E"/>
    <w:rsid w:val="00D84F67"/>
    <w:rsid w:val="00D87DAF"/>
    <w:rsid w:val="00D9446D"/>
    <w:rsid w:val="00DA194F"/>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68C"/>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32F96"/>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4E9"/>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07C56"/>
    <w:rsid w:val="00F11DD8"/>
    <w:rsid w:val="00F12745"/>
    <w:rsid w:val="00F13766"/>
    <w:rsid w:val="00F20A77"/>
    <w:rsid w:val="00F22C60"/>
    <w:rsid w:val="00F231A4"/>
    <w:rsid w:val="00F23252"/>
    <w:rsid w:val="00F25544"/>
    <w:rsid w:val="00F27B2A"/>
    <w:rsid w:val="00F3015F"/>
    <w:rsid w:val="00F345D3"/>
    <w:rsid w:val="00F356ED"/>
    <w:rsid w:val="00F359B5"/>
    <w:rsid w:val="00F4144F"/>
    <w:rsid w:val="00F433F3"/>
    <w:rsid w:val="00F47F64"/>
    <w:rsid w:val="00F522D9"/>
    <w:rsid w:val="00F52F54"/>
    <w:rsid w:val="00F53584"/>
    <w:rsid w:val="00F61B24"/>
    <w:rsid w:val="00F62DE5"/>
    <w:rsid w:val="00F63F8A"/>
    <w:rsid w:val="00F65578"/>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37AA"/>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0FF7D2C"/>
    <w:rsid w:val="029A4EF2"/>
    <w:rsid w:val="06CE27EA"/>
    <w:rsid w:val="08AD6946"/>
    <w:rsid w:val="0AA11BF7"/>
    <w:rsid w:val="0AF05BE0"/>
    <w:rsid w:val="0EE45912"/>
    <w:rsid w:val="1015163E"/>
    <w:rsid w:val="174516BA"/>
    <w:rsid w:val="1ADC7681"/>
    <w:rsid w:val="1B5223B0"/>
    <w:rsid w:val="1C96CAB6"/>
    <w:rsid w:val="1D4E53DE"/>
    <w:rsid w:val="1DF3E524"/>
    <w:rsid w:val="2171385D"/>
    <w:rsid w:val="22846CE9"/>
    <w:rsid w:val="24E96F45"/>
    <w:rsid w:val="26C16531"/>
    <w:rsid w:val="27EF659B"/>
    <w:rsid w:val="2A3D3F9F"/>
    <w:rsid w:val="2A4E3146"/>
    <w:rsid w:val="2C006968"/>
    <w:rsid w:val="30222E89"/>
    <w:rsid w:val="32A059BD"/>
    <w:rsid w:val="354C2D22"/>
    <w:rsid w:val="361122FF"/>
    <w:rsid w:val="36DB4F6B"/>
    <w:rsid w:val="39761405"/>
    <w:rsid w:val="3CFFD38A"/>
    <w:rsid w:val="3DF7BC2D"/>
    <w:rsid w:val="3E845054"/>
    <w:rsid w:val="3FFD4E55"/>
    <w:rsid w:val="41DF3E38"/>
    <w:rsid w:val="45AD6371"/>
    <w:rsid w:val="45B26A53"/>
    <w:rsid w:val="464872F6"/>
    <w:rsid w:val="49DB7AF1"/>
    <w:rsid w:val="4BF21195"/>
    <w:rsid w:val="4CE278DA"/>
    <w:rsid w:val="4D3A4961"/>
    <w:rsid w:val="4E703C3C"/>
    <w:rsid w:val="50970E75"/>
    <w:rsid w:val="55F856ED"/>
    <w:rsid w:val="58B20680"/>
    <w:rsid w:val="5A360254"/>
    <w:rsid w:val="5A95283C"/>
    <w:rsid w:val="5B3A080F"/>
    <w:rsid w:val="5B8D1409"/>
    <w:rsid w:val="61494D8A"/>
    <w:rsid w:val="63E45886"/>
    <w:rsid w:val="66863091"/>
    <w:rsid w:val="6A55307A"/>
    <w:rsid w:val="6BD070F8"/>
    <w:rsid w:val="6BE618F4"/>
    <w:rsid w:val="6C0D7A15"/>
    <w:rsid w:val="6C1545D1"/>
    <w:rsid w:val="6DD51A12"/>
    <w:rsid w:val="6F20588B"/>
    <w:rsid w:val="744C2484"/>
    <w:rsid w:val="76EF6C9B"/>
    <w:rsid w:val="7C381FC1"/>
    <w:rsid w:val="7D08410F"/>
    <w:rsid w:val="D8FF64A3"/>
    <w:rsid w:val="E9BB220B"/>
    <w:rsid w:val="EF0F2CF3"/>
    <w:rsid w:val="F7FB4260"/>
    <w:rsid w:val="FAF98CF7"/>
    <w:rsid w:val="FEFF1A3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uiPriority w:val="0"/>
  </w:style>
  <w:style w:type="character" w:customStyle="1" w:styleId="13">
    <w:name w:val="页眉 Char"/>
    <w:link w:val="7"/>
    <w:uiPriority w:val="0"/>
    <w:rPr>
      <w:rFonts w:ascii="Calibri" w:hAnsi="Calibri" w:eastAsia="宋体"/>
      <w:kern w:val="2"/>
      <w:sz w:val="18"/>
      <w:szCs w:val="18"/>
      <w:lang w:val="en-US" w:eastAsia="zh-CN" w:bidi="ar-SA"/>
    </w:rPr>
  </w:style>
  <w:style w:type="character" w:customStyle="1" w:styleId="14">
    <w:name w:val="页脚 Char"/>
    <w:link w:val="6"/>
    <w:uiPriority w:val="0"/>
    <w:rPr>
      <w:rFonts w:eastAsia="宋体"/>
      <w:kern w:val="2"/>
      <w:sz w:val="18"/>
      <w:szCs w:val="18"/>
      <w:lang w:val="en-US" w:eastAsia="zh-CN" w:bidi="ar-SA"/>
    </w:rPr>
  </w:style>
  <w:style w:type="paragraph" w:customStyle="1" w:styleId="15">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16">
    <w:name w:val="Char"/>
    <w:basedOn w:val="1"/>
    <w:qFormat/>
    <w:uiPriority w:val="0"/>
    <w:rPr>
      <w:rFonts w:ascii="Tahoma" w:hAnsi="Tahoma"/>
      <w:sz w:val="24"/>
      <w:szCs w:val="20"/>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uiPriority w:val="0"/>
    <w:pPr>
      <w:widowControl/>
      <w:spacing w:after="160" w:line="240" w:lineRule="exact"/>
      <w:jc w:val="left"/>
    </w:pPr>
    <w:rPr>
      <w:szCs w:val="20"/>
    </w:rPr>
  </w:style>
  <w:style w:type="paragraph" w:customStyle="1" w:styleId="19">
    <w:name w:val="Char Char3 Char Char"/>
    <w:basedOn w:val="1"/>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F4723-F91C-4C81-94F6-BDE12D45B50A}">
  <ds:schemaRefs/>
</ds:datastoreItem>
</file>

<file path=docProps/app.xml><?xml version="1.0" encoding="utf-8"?>
<Properties xmlns="http://schemas.openxmlformats.org/officeDocument/2006/extended-properties" xmlns:vt="http://schemas.openxmlformats.org/officeDocument/2006/docPropsVTypes">
  <Template>Normal</Template>
  <Pages>26</Pages>
  <Words>1771</Words>
  <Characters>10097</Characters>
  <Lines>84</Lines>
  <Paragraphs>23</Paragraphs>
  <TotalTime>1</TotalTime>
  <ScaleCrop>false</ScaleCrop>
  <LinksUpToDate>false</LinksUpToDate>
  <CharactersWithSpaces>11845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2023-07-03T05:37:00Z</dcterms:created>
  <dc:creator>Administrator</dc:creator>
  <cp:lastModifiedBy>user</cp:lastModifiedBy>
  <cp:lastPrinted>2022-05-26T18:27:00Z</cp:lastPrinted>
  <dcterms:modified xsi:type="dcterms:W3CDTF">2023-08-04T01:53:35Z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