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autofit"/>
        <w:tblCellMar>
          <w:top w:w="0" w:type="dxa"/>
          <w:left w:w="0" w:type="dxa"/>
          <w:bottom w:w="0" w:type="dxa"/>
          <w:right w:w="0" w:type="dxa"/>
        </w:tblCellMar>
      </w:tblPr>
      <w:tblGrid>
        <w:gridCol w:w="712"/>
        <w:gridCol w:w="2957"/>
        <w:gridCol w:w="4667"/>
      </w:tblGrid>
      <w:tr>
        <w:tblPrEx>
          <w:tblCellMar>
            <w:top w:w="0" w:type="dxa"/>
            <w:left w:w="0" w:type="dxa"/>
            <w:bottom w:w="0" w:type="dxa"/>
            <w:right w:w="0" w:type="dxa"/>
          </w:tblCellMar>
        </w:tblPrEx>
        <w:trPr>
          <w:trHeight w:val="900" w:hRule="atLeast"/>
        </w:trPr>
        <w:tc>
          <w:tcPr>
            <w:tcW w:w="5000" w:type="pct"/>
            <w:gridSpan w:val="3"/>
            <w:tcBorders>
              <w:top w:val="nil"/>
              <w:left w:val="nil"/>
              <w:bottom w:val="nil"/>
              <w:right w:val="nil"/>
            </w:tcBorders>
            <w:noWrap/>
            <w:tcMar>
              <w:top w:w="0" w:type="dxa"/>
              <w:left w:w="15" w:type="dxa"/>
              <w:bottom w:w="0" w:type="dxa"/>
              <w:right w:w="15" w:type="dxa"/>
            </w:tcMar>
            <w:vAlign w:val="center"/>
          </w:tcPr>
          <w:p>
            <w:pPr>
              <w:widowControl/>
              <w:jc w:val="center"/>
              <w:rPr>
                <w:rFonts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部门整体支出绩效目标申报表</w:t>
            </w:r>
          </w:p>
        </w:tc>
      </w:tr>
      <w:tr>
        <w:tblPrEx>
          <w:tblCellMar>
            <w:top w:w="0" w:type="dxa"/>
            <w:left w:w="0" w:type="dxa"/>
            <w:bottom w:w="0" w:type="dxa"/>
            <w:right w:w="0" w:type="dxa"/>
          </w:tblCellMar>
        </w:tblPrEx>
        <w:trPr>
          <w:trHeight w:val="435" w:hRule="atLeast"/>
        </w:trPr>
        <w:tc>
          <w:tcPr>
            <w:tcW w:w="5000" w:type="pct"/>
            <w:gridSpan w:val="3"/>
            <w:tcBorders>
              <w:top w:val="nil"/>
              <w:left w:val="nil"/>
              <w:bottom w:val="single" w:color="000000" w:sz="4" w:space="0"/>
              <w:right w:val="nil"/>
            </w:tcBorders>
            <w:noWrap/>
            <w:tcMar>
              <w:top w:w="0" w:type="dxa"/>
              <w:left w:w="15" w:type="dxa"/>
              <w:bottom w:w="0" w:type="dxa"/>
              <w:right w:w="15"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(2021年度)</w:t>
            </w:r>
          </w:p>
        </w:tc>
      </w:tr>
      <w:tr>
        <w:tblPrEx>
          <w:tblCellMar>
            <w:top w:w="0" w:type="dxa"/>
            <w:left w:w="0" w:type="dxa"/>
            <w:bottom w:w="0" w:type="dxa"/>
            <w:right w:w="0" w:type="dxa"/>
          </w:tblCellMar>
        </w:tblPrEx>
        <w:trPr>
          <w:trHeight w:val="720" w:hRule="atLeast"/>
        </w:trPr>
        <w:tc>
          <w:tcPr>
            <w:tcW w:w="1813" w:type="pct"/>
            <w:tcBorders>
              <w:top w:val="single" w:color="000000" w:sz="4" w:space="0"/>
              <w:left w:val="single" w:color="000000" w:sz="4" w:space="0"/>
              <w:bottom w:val="nil"/>
              <w:right w:val="nil"/>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部门（单位）名称</w:t>
            </w:r>
          </w:p>
        </w:tc>
        <w:tc>
          <w:tcPr>
            <w:tcW w:w="3187" w:type="pct"/>
            <w:gridSpan w:val="2"/>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北京市丰台区卢沟桥乡人民政府</w:t>
            </w:r>
          </w:p>
        </w:tc>
      </w:tr>
      <w:tr>
        <w:tblPrEx>
          <w:tblCellMar>
            <w:top w:w="0" w:type="dxa"/>
            <w:left w:w="0" w:type="dxa"/>
            <w:bottom w:w="0" w:type="dxa"/>
            <w:right w:w="0" w:type="dxa"/>
          </w:tblCellMar>
        </w:tblPrEx>
        <w:trPr>
          <w:trHeight w:val="480" w:hRule="atLeast"/>
        </w:trPr>
        <w:tc>
          <w:tcPr>
            <w:tcW w:w="1813" w:type="pct"/>
            <w:vMerge w:val="restar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部门（单位）总体资金情况（元）</w:t>
            </w:r>
          </w:p>
        </w:tc>
        <w:tc>
          <w:tcPr>
            <w:tcW w:w="1320"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资金总额：</w:t>
            </w:r>
          </w:p>
        </w:tc>
        <w:tc>
          <w:tcPr>
            <w:tcW w:w="1867"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203881302.22</w:t>
            </w:r>
          </w:p>
        </w:tc>
      </w:tr>
      <w:tr>
        <w:tblPrEx>
          <w:tblCellMar>
            <w:top w:w="0" w:type="dxa"/>
            <w:left w:w="0" w:type="dxa"/>
            <w:bottom w:w="0" w:type="dxa"/>
            <w:right w:w="0" w:type="dxa"/>
          </w:tblCellMar>
        </w:tblPrEx>
        <w:trPr>
          <w:trHeight w:val="525" w:hRule="atLeast"/>
        </w:trPr>
        <w:tc>
          <w:tcPr>
            <w:tcW w:w="18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16"/>
                <w:szCs w:val="16"/>
              </w:rPr>
            </w:pPr>
          </w:p>
        </w:tc>
        <w:tc>
          <w:tcPr>
            <w:tcW w:w="1320"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基本支出：</w:t>
            </w:r>
          </w:p>
        </w:tc>
        <w:tc>
          <w:tcPr>
            <w:tcW w:w="1867"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49677225</w:t>
            </w:r>
          </w:p>
        </w:tc>
      </w:tr>
      <w:tr>
        <w:tblPrEx>
          <w:tblCellMar>
            <w:top w:w="0" w:type="dxa"/>
            <w:left w:w="0" w:type="dxa"/>
            <w:bottom w:w="0" w:type="dxa"/>
            <w:right w:w="0" w:type="dxa"/>
          </w:tblCellMar>
        </w:tblPrEx>
        <w:trPr>
          <w:trHeight w:val="480" w:hRule="atLeast"/>
        </w:trPr>
        <w:tc>
          <w:tcPr>
            <w:tcW w:w="18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16"/>
                <w:szCs w:val="16"/>
              </w:rPr>
            </w:pPr>
          </w:p>
        </w:tc>
        <w:tc>
          <w:tcPr>
            <w:tcW w:w="1320"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项目支出：</w:t>
            </w:r>
          </w:p>
        </w:tc>
        <w:tc>
          <w:tcPr>
            <w:tcW w:w="1867"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154204077.22</w:t>
            </w:r>
            <w:bookmarkStart w:id="0" w:name="_GoBack"/>
            <w:bookmarkEnd w:id="0"/>
          </w:p>
        </w:tc>
      </w:tr>
      <w:tr>
        <w:tblPrEx>
          <w:tblCellMar>
            <w:top w:w="0" w:type="dxa"/>
            <w:left w:w="0" w:type="dxa"/>
            <w:bottom w:w="0" w:type="dxa"/>
            <w:right w:w="0" w:type="dxa"/>
          </w:tblCellMar>
        </w:tblPrEx>
        <w:trPr>
          <w:trHeight w:val="4815" w:hRule="atLeast"/>
        </w:trPr>
        <w:tc>
          <w:tcPr>
            <w:tcW w:w="1813" w:type="pct"/>
            <w:tcBorders>
              <w:top w:val="single" w:color="000000" w:sz="4" w:space="0"/>
              <w:left w:val="single" w:color="000000" w:sz="4" w:space="0"/>
              <w:bottom w:val="nil"/>
              <w:right w:val="nil"/>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部门（单位）绩效目标</w:t>
            </w:r>
          </w:p>
        </w:tc>
        <w:tc>
          <w:tcPr>
            <w:tcW w:w="3187" w:type="pct"/>
            <w:gridSpan w:val="2"/>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突出民生保障，持续增进人民满意度、幸福感。提升社会保障水平。将促进就业作为工作重点，不断拓宽群众就业渠道，切实增加群众收入。持续做好养老服务工作，贯彻落实居家养老服务条例，加快养老服务设施建设，不断完善养老服务体系。优先启动配套教育用地建设，鼓励引进公办优质中小学和幼儿园，提升乡域教育质量。</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不断改善生态环境。实施蓝天保卫战三年行动计划，完善大气环境精细化监管体系，配合区级单位完成清煤降氮、治污减排、清洁降尘、重型柴油车监管工作，在整治扬尘和裸地、推进餐饮企业油烟净化设施升级改造方面加大工作推进力度，完成年度主要污染物总量减排目标，持续改善空气质量。</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持续优化营商环境。积极贯彻落实市区有关优化营商环境的政策规定，提升政务服务水平，进一步缩短办理时限。</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不断强化政治建设。坚持党的领导，牢固树立“四个意识”，坚定“四个自信”，坚决做到“两个维护”，坚决贯彻党中央、国务院、市委市政府和区委、区政府及乡党委各项决策部署，努力以实际行动推动习近平新时代中国特色社会主义思想在京华大地落地生根，进一步形成生动实践。</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深入推进疏整促。严控新增，严管存量。持续做好留白增绿工作，实现“散乱污”企业、群租房、无证餐饮、违规地下空间动态清零。</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经济实现速效双增。积极引进“高精尖”产业，实现疏解与产业转型的双提升。加快新建便民网点，连锁化率提升3%，持续改造提升万丰餐饮街、靛厂商业街的休憩、文化和景观设施，积极构建功能齐全生活性服务区。加快建设社区综合商业服务中心，通过建设“微生活”、“云社区”、提升物业管理服务水平等方式，为居民生活提供优质便利服务。</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突出安全稳定，持续做好重点活动服务保障工作</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突出政府建设，。提升政府服务效能。切实增强履职本领，不断拓宽工作思路，强化干部素质，做好预算与决算公开，严肃财经纪律，强化审计监督，确保权力运行公开与透明。</w:t>
            </w:r>
          </w:p>
        </w:tc>
      </w:tr>
      <w:tr>
        <w:tblPrEx>
          <w:tblCellMar>
            <w:top w:w="0" w:type="dxa"/>
            <w:left w:w="0" w:type="dxa"/>
            <w:bottom w:w="0" w:type="dxa"/>
            <w:right w:w="0" w:type="dxa"/>
          </w:tblCellMar>
        </w:tblPrEx>
        <w:trPr>
          <w:trHeight w:val="450" w:hRule="atLeast"/>
        </w:trPr>
        <w:tc>
          <w:tcPr>
            <w:tcW w:w="1813" w:type="pct"/>
            <w:vMerge w:val="restar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绩效指标</w:t>
            </w:r>
          </w:p>
        </w:tc>
        <w:tc>
          <w:tcPr>
            <w:tcW w:w="1320"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指标名称</w:t>
            </w:r>
          </w:p>
        </w:tc>
        <w:tc>
          <w:tcPr>
            <w:tcW w:w="1867"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指标内容和指标值</w:t>
            </w:r>
          </w:p>
        </w:tc>
      </w:tr>
      <w:tr>
        <w:tblPrEx>
          <w:tblCellMar>
            <w:top w:w="0" w:type="dxa"/>
            <w:left w:w="0" w:type="dxa"/>
            <w:bottom w:w="0" w:type="dxa"/>
            <w:right w:w="0" w:type="dxa"/>
          </w:tblCellMar>
        </w:tblPrEx>
        <w:trPr>
          <w:trHeight w:val="915" w:hRule="atLeast"/>
        </w:trPr>
        <w:tc>
          <w:tcPr>
            <w:tcW w:w="18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16"/>
                <w:szCs w:val="16"/>
              </w:rPr>
            </w:pPr>
          </w:p>
        </w:tc>
        <w:tc>
          <w:tcPr>
            <w:tcW w:w="1320"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产出数量指标</w:t>
            </w:r>
          </w:p>
        </w:tc>
        <w:tc>
          <w:tcPr>
            <w:tcW w:w="1867"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基本支出含人员支出和公用支出，人员基本支出包括（工资、社保、住房公积金、住房补贴、退休费、抚恤金等）；公用经费支出含（工会经费、会议费、培训费、维修费等）；项目支出含（体制资金项目支出和专项资金项目支出）</w:t>
            </w:r>
          </w:p>
        </w:tc>
      </w:tr>
      <w:tr>
        <w:tblPrEx>
          <w:tblCellMar>
            <w:top w:w="0" w:type="dxa"/>
            <w:left w:w="0" w:type="dxa"/>
            <w:bottom w:w="0" w:type="dxa"/>
            <w:right w:w="0" w:type="dxa"/>
          </w:tblCellMar>
        </w:tblPrEx>
        <w:trPr>
          <w:trHeight w:val="855" w:hRule="atLeast"/>
        </w:trPr>
        <w:tc>
          <w:tcPr>
            <w:tcW w:w="18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16"/>
                <w:szCs w:val="16"/>
              </w:rPr>
            </w:pPr>
          </w:p>
        </w:tc>
        <w:tc>
          <w:tcPr>
            <w:tcW w:w="1320"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产出质量指标</w:t>
            </w:r>
          </w:p>
        </w:tc>
        <w:tc>
          <w:tcPr>
            <w:tcW w:w="1867"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保证单位运转有序，人员工资及基本福利发放到位。严格专项资金预算管理，专款专用，按项目科学、高效使用资金。</w:t>
            </w:r>
          </w:p>
        </w:tc>
      </w:tr>
      <w:tr>
        <w:tblPrEx>
          <w:tblCellMar>
            <w:top w:w="0" w:type="dxa"/>
            <w:left w:w="0" w:type="dxa"/>
            <w:bottom w:w="0" w:type="dxa"/>
            <w:right w:w="0" w:type="dxa"/>
          </w:tblCellMar>
        </w:tblPrEx>
        <w:trPr>
          <w:trHeight w:val="915" w:hRule="atLeast"/>
        </w:trPr>
        <w:tc>
          <w:tcPr>
            <w:tcW w:w="18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16"/>
                <w:szCs w:val="16"/>
              </w:rPr>
            </w:pPr>
          </w:p>
        </w:tc>
        <w:tc>
          <w:tcPr>
            <w:tcW w:w="1320"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产出进度指标</w:t>
            </w:r>
          </w:p>
        </w:tc>
        <w:tc>
          <w:tcPr>
            <w:tcW w:w="1867"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按照区人力社保局工资科安排，每月做好人员工资发放任务。严格按照区财政局相关要求，根据单位运转需求，开展公用经费支出。各项目资金严格按照区财政局进度支出要求及合同要求，完成相关支出。</w:t>
            </w:r>
          </w:p>
        </w:tc>
      </w:tr>
      <w:tr>
        <w:tblPrEx>
          <w:tblCellMar>
            <w:top w:w="0" w:type="dxa"/>
            <w:left w:w="0" w:type="dxa"/>
            <w:bottom w:w="0" w:type="dxa"/>
            <w:right w:w="0" w:type="dxa"/>
          </w:tblCellMar>
        </w:tblPrEx>
        <w:trPr>
          <w:trHeight w:val="855" w:hRule="atLeast"/>
        </w:trPr>
        <w:tc>
          <w:tcPr>
            <w:tcW w:w="18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16"/>
                <w:szCs w:val="16"/>
              </w:rPr>
            </w:pPr>
          </w:p>
        </w:tc>
        <w:tc>
          <w:tcPr>
            <w:tcW w:w="1320"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产出成本指标</w:t>
            </w:r>
          </w:p>
        </w:tc>
        <w:tc>
          <w:tcPr>
            <w:tcW w:w="1867"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按照预算下达金额严格进行支出</w:t>
            </w:r>
          </w:p>
        </w:tc>
      </w:tr>
      <w:tr>
        <w:tblPrEx>
          <w:tblCellMar>
            <w:top w:w="0" w:type="dxa"/>
            <w:left w:w="0" w:type="dxa"/>
            <w:bottom w:w="0" w:type="dxa"/>
            <w:right w:w="0" w:type="dxa"/>
          </w:tblCellMar>
        </w:tblPrEx>
        <w:trPr>
          <w:trHeight w:val="915" w:hRule="atLeast"/>
        </w:trPr>
        <w:tc>
          <w:tcPr>
            <w:tcW w:w="18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16"/>
                <w:szCs w:val="16"/>
              </w:rPr>
            </w:pPr>
          </w:p>
        </w:tc>
        <w:tc>
          <w:tcPr>
            <w:tcW w:w="1320"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社会效益指标</w:t>
            </w:r>
          </w:p>
        </w:tc>
        <w:tc>
          <w:tcPr>
            <w:tcW w:w="1867"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促进地区各项社会事业的发展，努力提升乡村公共服务短板和基础设施建设，持续加强生态环境保护，全力打好蓝天保卫战，持续增进民生福祉，切实服务人民群众。</w:t>
            </w:r>
          </w:p>
        </w:tc>
      </w:tr>
      <w:tr>
        <w:tblPrEx>
          <w:tblCellMar>
            <w:top w:w="0" w:type="dxa"/>
            <w:left w:w="0" w:type="dxa"/>
            <w:bottom w:w="0" w:type="dxa"/>
            <w:right w:w="0" w:type="dxa"/>
          </w:tblCellMar>
        </w:tblPrEx>
        <w:trPr>
          <w:trHeight w:val="855" w:hRule="atLeast"/>
        </w:trPr>
        <w:tc>
          <w:tcPr>
            <w:tcW w:w="18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16"/>
                <w:szCs w:val="16"/>
              </w:rPr>
            </w:pPr>
          </w:p>
        </w:tc>
        <w:tc>
          <w:tcPr>
            <w:tcW w:w="1320"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服务群众满意度指标</w:t>
            </w:r>
          </w:p>
        </w:tc>
        <w:tc>
          <w:tcPr>
            <w:tcW w:w="1867" w:type="pct"/>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群众安全感满意度与上一年持平</w:t>
            </w:r>
          </w:p>
        </w:tc>
      </w:tr>
      <w:tr>
        <w:tblPrEx>
          <w:tblCellMar>
            <w:top w:w="0" w:type="dxa"/>
            <w:left w:w="0" w:type="dxa"/>
            <w:bottom w:w="0" w:type="dxa"/>
            <w:right w:w="0" w:type="dxa"/>
          </w:tblCellMar>
        </w:tblPrEx>
        <w:trPr>
          <w:trHeight w:val="870" w:hRule="atLeast"/>
        </w:trPr>
        <w:tc>
          <w:tcPr>
            <w:tcW w:w="1813" w:type="pct"/>
            <w:tcBorders>
              <w:top w:val="single" w:color="000000" w:sz="4" w:space="0"/>
              <w:left w:val="single" w:color="000000" w:sz="4" w:space="0"/>
              <w:bottom w:val="single" w:color="000000" w:sz="4" w:space="0"/>
              <w:right w:val="nil"/>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其他说明的问题</w:t>
            </w:r>
          </w:p>
        </w:tc>
        <w:tc>
          <w:tcPr>
            <w:tcW w:w="3187" w:type="pct"/>
            <w:gridSpan w:val="2"/>
            <w:tcBorders>
              <w:top w:val="single" w:color="000000" w:sz="4" w:space="0"/>
              <w:left w:val="single" w:color="000000" w:sz="4" w:space="0"/>
              <w:bottom w:val="single" w:color="000000" w:sz="4" w:space="0"/>
              <w:right w:val="single" w:color="000000" w:sz="4" w:space="0"/>
            </w:tcBorders>
            <w:noWrap/>
            <w:tcMar>
              <w:top w:w="0" w:type="dxa"/>
              <w:left w:w="15" w:type="dxa"/>
              <w:bottom w:w="0" w:type="dxa"/>
              <w:right w:w="15" w:type="dxa"/>
            </w:tcMar>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无</w:t>
            </w:r>
          </w:p>
        </w:tc>
      </w:tr>
    </w:tbl>
    <w:p>
      <w:pPr>
        <w:rPr>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3c809e3b-79c1-4008-9f1b-6dec81814358"/>
  </w:docVars>
  <w:rsids>
    <w:rsidRoot w:val="00B63B26"/>
    <w:rsid w:val="00267436"/>
    <w:rsid w:val="008F334F"/>
    <w:rsid w:val="00B63B26"/>
    <w:rsid w:val="794B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201</Words>
  <Characters>1150</Characters>
  <Lines>9</Lines>
  <Paragraphs>2</Paragraphs>
  <TotalTime>1</TotalTime>
  <ScaleCrop>false</ScaleCrop>
  <LinksUpToDate>false</LinksUpToDate>
  <CharactersWithSpaces>1349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2022-09-09T05:12:00Z</dcterms:created>
  <dc:creator>admin</dc:creator>
  <cp:lastModifiedBy>血月舞殇</cp:lastModifiedBy>
  <dcterms:modified xsi:type="dcterms:W3CDTF">2025-03-20T07:49:59Z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D41CE5E12662466480ED9F761DB545AA</vt:lpwstr>
  </property>
</Properties>
</file>