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北京市丰台区节约用水办公室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2021年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“三公”经费</w:t>
      </w:r>
      <w:r>
        <w:rPr>
          <w:rFonts w:hint="eastAsia" w:ascii="方正小标宋简体" w:eastAsia="方正小标宋简体"/>
          <w:sz w:val="44"/>
          <w:szCs w:val="44"/>
        </w:rPr>
        <w:t>预算财政拨款情况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的说明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eastAsia="zh-CN"/>
        </w:rPr>
        <w:t>“三公”经费</w:t>
      </w:r>
      <w:r>
        <w:rPr>
          <w:rFonts w:hint="eastAsia" w:ascii="黑体" w:hAnsi="黑体" w:eastAsia="黑体"/>
          <w:sz w:val="32"/>
          <w:szCs w:val="32"/>
        </w:rPr>
        <w:t>的单位范围</w:t>
      </w:r>
    </w:p>
    <w:p>
      <w:pPr>
        <w:spacing w:line="60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北京市丰台区节约用水办公室因公出国（境）费用、公务接待费、公务用车购置和运行维护费开支单位包括0个所属单位。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  <w:lang w:eastAsia="zh-CN"/>
        </w:rPr>
        <w:t>“三公”经费</w:t>
      </w:r>
      <w:r>
        <w:rPr>
          <w:rFonts w:hint="eastAsia" w:ascii="黑体" w:hAnsi="黑体" w:eastAsia="黑体"/>
          <w:sz w:val="32"/>
          <w:szCs w:val="32"/>
        </w:rPr>
        <w:t>预算财政拨款情况说明</w:t>
      </w:r>
    </w:p>
    <w:p>
      <w:pPr>
        <w:spacing w:line="60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2021年</w:t>
      </w: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  <w:lang w:eastAsia="zh-CN"/>
        </w:rPr>
        <w:t>“三公”经费</w:t>
      </w:r>
      <w:r>
        <w:rPr>
          <w:rFonts w:hint="eastAsia" w:ascii="仿宋_GB2312" w:hAnsi="黑体" w:eastAsia="仿宋_GB2312"/>
          <w:sz w:val="32"/>
          <w:szCs w:val="32"/>
        </w:rPr>
        <w:t>财政拨款预算3.80万元，其中：</w:t>
      </w:r>
    </w:p>
    <w:p>
      <w:pPr>
        <w:spacing w:line="600" w:lineRule="exact"/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（一）因公出国（境）费用</w:t>
      </w:r>
    </w:p>
    <w:p>
      <w:pPr>
        <w:spacing w:line="60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2021年预算数0.00万元。</w:t>
      </w:r>
    </w:p>
    <w:p>
      <w:pPr>
        <w:spacing w:line="600" w:lineRule="exact"/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（二）公务接待费</w:t>
      </w:r>
    </w:p>
    <w:p>
      <w:pPr>
        <w:spacing w:line="60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2021年预算数0.2万元，主要用于按照规定开支的各类公务接待支出。2020年预算数0.22万元，同比下降9.09%，变动原因为公务接待支出减少。</w:t>
      </w:r>
    </w:p>
    <w:p>
      <w:pPr>
        <w:spacing w:line="600" w:lineRule="exact"/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（三）公务用车购置和运行维护费</w:t>
      </w:r>
    </w:p>
    <w:p>
      <w:pPr>
        <w:spacing w:line="60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2021年预算数3.60万元，同比增减无变动，其中：公务用车购置费2021年预算数0.00万元，同比增减无变动；公务用车运行维护费2021年预算数3.60万元，同比增减无变动。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三、其他事项说明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wZmZjOTc5NTQ5YTFkN2NhZTc2MzE3OWJhYjZhMTYifQ=="/>
    <w:docVar w:name="KSO_WPS_MARK_KEY" w:val="1e799dfe-3db9-448a-8c91-96bf6f162fd3"/>
  </w:docVars>
  <w:rsids>
    <w:rsidRoot w:val="00C012D3"/>
    <w:rsid w:val="00041AA0"/>
    <w:rsid w:val="002909BC"/>
    <w:rsid w:val="00512C13"/>
    <w:rsid w:val="005D04B7"/>
    <w:rsid w:val="007E35AF"/>
    <w:rsid w:val="00C012D3"/>
    <w:rsid w:val="00E534F6"/>
    <w:rsid w:val="35D8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320</Words>
  <Characters>368</Characters>
  <Lines>2</Lines>
  <Paragraphs>1</Paragraphs>
  <TotalTime>5</TotalTime>
  <ScaleCrop>false</ScaleCrop>
  <LinksUpToDate>false</LinksUpToDate>
  <CharactersWithSpaces>368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2022-09-09T06:42:00Z</dcterms:created>
  <dc:creator>China</dc:creator>
  <cp:lastModifiedBy>血月舞殇</cp:lastModifiedBy>
  <dcterms:modified xsi:type="dcterms:W3CDTF">2025-03-18T04:37:22Z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82911D928E3E4B8B83601595BF070512</vt:lpwstr>
  </property>
</Properties>
</file>