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center"/>
        <w:rPr>
          <w:rFonts w:hint="eastAsia" w:ascii="黑体" w:eastAsia="黑体"/>
          <w:sz w:val="72"/>
          <w:szCs w:val="72"/>
        </w:rPr>
      </w:pPr>
    </w:p>
    <w:p>
      <w:pPr>
        <w:pStyle w:val="2"/>
        <w:keepNext w:val="0"/>
        <w:keepLines w:val="0"/>
        <w:pageBreakBefore w:val="0"/>
        <w:kinsoku/>
        <w:wordWrap/>
        <w:overflowPunct/>
        <w:topLinePunct w:val="0"/>
        <w:bidi w:val="0"/>
        <w:snapToGrid/>
        <w:spacing w:line="560" w:lineRule="exact"/>
        <w:ind w:firstLine="420"/>
        <w:rPr>
          <w:rFonts w:hint="eastAsia"/>
        </w:rPr>
      </w:pPr>
    </w:p>
    <w:p>
      <w:pPr>
        <w:keepNext w:val="0"/>
        <w:keepLines w:val="0"/>
        <w:pageBreakBefore w:val="0"/>
        <w:kinsoku/>
        <w:wordWrap/>
        <w:overflowPunct/>
        <w:topLinePunct w:val="0"/>
        <w:bidi w:val="0"/>
        <w:snapToGrid/>
        <w:spacing w:line="560" w:lineRule="exact"/>
        <w:jc w:val="center"/>
        <w:rPr>
          <w:rFonts w:ascii="黑体" w:eastAsia="黑体"/>
          <w:sz w:val="72"/>
          <w:szCs w:val="72"/>
        </w:rPr>
      </w:pPr>
    </w:p>
    <w:p>
      <w:pPr>
        <w:keepNext w:val="0"/>
        <w:keepLines w:val="0"/>
        <w:pageBreakBefore w:val="0"/>
        <w:kinsoku/>
        <w:wordWrap/>
        <w:overflowPunct/>
        <w:topLinePunct w:val="0"/>
        <w:bidi w:val="0"/>
        <w:snapToGrid/>
        <w:spacing w:line="560" w:lineRule="exact"/>
        <w:jc w:val="center"/>
        <w:rPr>
          <w:rFonts w:hint="eastAsia" w:ascii="黑体" w:eastAsia="黑体"/>
          <w:sz w:val="72"/>
          <w:szCs w:val="7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eastAsia="黑体"/>
          <w:sz w:val="72"/>
          <w:szCs w:val="72"/>
          <w:lang w:eastAsia="zh-CN"/>
        </w:rPr>
      </w:pPr>
      <w:r>
        <w:rPr>
          <w:rFonts w:hint="eastAsia" w:ascii="黑体" w:eastAsia="黑体"/>
          <w:sz w:val="72"/>
          <w:szCs w:val="72"/>
          <w:lang w:eastAsia="zh-CN"/>
        </w:rPr>
        <w:t>北京市丰台区人民政府办公室</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eastAsia="黑体"/>
          <w:sz w:val="52"/>
          <w:szCs w:val="52"/>
        </w:rPr>
      </w:pPr>
      <w:r>
        <w:rPr>
          <w:rFonts w:hint="eastAsia" w:ascii="黑体" w:eastAsia="黑体"/>
          <w:sz w:val="72"/>
          <w:szCs w:val="72"/>
        </w:rPr>
        <w:t>202</w:t>
      </w:r>
      <w:r>
        <w:rPr>
          <w:rFonts w:ascii="黑体" w:eastAsia="黑体"/>
          <w:sz w:val="72"/>
          <w:szCs w:val="72"/>
        </w:rPr>
        <w:t>1</w:t>
      </w:r>
      <w:r>
        <w:rPr>
          <w:rFonts w:hint="eastAsia" w:ascii="黑体" w:eastAsia="黑体"/>
          <w:sz w:val="72"/>
          <w:szCs w:val="72"/>
        </w:rPr>
        <w:t>年度部门决算（草案</w:t>
      </w:r>
      <w:r>
        <w:rPr>
          <w:rFonts w:ascii="黑体" w:eastAsia="黑体"/>
          <w:sz w:val="72"/>
          <w:szCs w:val="72"/>
        </w:rPr>
        <w:t>）</w:t>
      </w:r>
    </w:p>
    <w:p>
      <w:pPr>
        <w:keepNext w:val="0"/>
        <w:keepLines w:val="0"/>
        <w:pageBreakBefore w:val="0"/>
        <w:kinsoku/>
        <w:wordWrap/>
        <w:overflowPunct/>
        <w:topLinePunct w:val="0"/>
        <w:bidi w:val="0"/>
        <w:snapToGrid/>
        <w:spacing w:line="560" w:lineRule="exact"/>
        <w:jc w:val="center"/>
        <w:rPr>
          <w:rFonts w:ascii="黑体" w:eastAsia="黑体"/>
          <w:sz w:val="52"/>
          <w:szCs w:val="52"/>
        </w:rPr>
      </w:pPr>
    </w:p>
    <w:p>
      <w:pPr>
        <w:keepNext w:val="0"/>
        <w:keepLines w:val="0"/>
        <w:pageBreakBefore w:val="0"/>
        <w:kinsoku/>
        <w:wordWrap/>
        <w:overflowPunct/>
        <w:topLinePunct w:val="0"/>
        <w:bidi w:val="0"/>
        <w:snapToGrid/>
        <w:spacing w:line="560" w:lineRule="exact"/>
        <w:jc w:val="center"/>
        <w:rPr>
          <w:rFonts w:ascii="黑体" w:eastAsia="黑体"/>
          <w:sz w:val="52"/>
          <w:szCs w:val="52"/>
        </w:rPr>
      </w:pPr>
    </w:p>
    <w:p>
      <w:pPr>
        <w:pStyle w:val="2"/>
        <w:keepNext w:val="0"/>
        <w:keepLines w:val="0"/>
        <w:pageBreakBefore w:val="0"/>
        <w:kinsoku/>
        <w:wordWrap/>
        <w:overflowPunct/>
        <w:topLinePunct w:val="0"/>
        <w:bidi w:val="0"/>
        <w:snapToGrid/>
        <w:spacing w:line="560" w:lineRule="exact"/>
        <w:ind w:firstLine="1040"/>
        <w:rPr>
          <w:rFonts w:ascii="黑体" w:eastAsia="黑体"/>
          <w:sz w:val="52"/>
          <w:szCs w:val="52"/>
        </w:rPr>
      </w:pPr>
    </w:p>
    <w:p>
      <w:pPr>
        <w:pStyle w:val="2"/>
        <w:keepNext w:val="0"/>
        <w:keepLines w:val="0"/>
        <w:pageBreakBefore w:val="0"/>
        <w:kinsoku/>
        <w:wordWrap/>
        <w:overflowPunct/>
        <w:topLinePunct w:val="0"/>
        <w:bidi w:val="0"/>
        <w:snapToGrid/>
        <w:spacing w:line="560" w:lineRule="exact"/>
        <w:ind w:firstLine="1040"/>
        <w:rPr>
          <w:rFonts w:ascii="黑体" w:eastAsia="黑体"/>
          <w:sz w:val="52"/>
          <w:szCs w:val="52"/>
        </w:rPr>
      </w:pPr>
    </w:p>
    <w:p>
      <w:pPr>
        <w:pStyle w:val="2"/>
        <w:keepNext w:val="0"/>
        <w:keepLines w:val="0"/>
        <w:pageBreakBefore w:val="0"/>
        <w:kinsoku/>
        <w:wordWrap/>
        <w:overflowPunct/>
        <w:topLinePunct w:val="0"/>
        <w:bidi w:val="0"/>
        <w:snapToGrid/>
        <w:spacing w:line="560" w:lineRule="exact"/>
        <w:ind w:firstLine="1040"/>
        <w:rPr>
          <w:rFonts w:ascii="黑体" w:eastAsia="黑体"/>
          <w:sz w:val="52"/>
          <w:szCs w:val="52"/>
        </w:rPr>
      </w:pPr>
    </w:p>
    <w:p>
      <w:pPr>
        <w:pStyle w:val="2"/>
        <w:keepNext w:val="0"/>
        <w:keepLines w:val="0"/>
        <w:pageBreakBefore w:val="0"/>
        <w:kinsoku/>
        <w:wordWrap/>
        <w:overflowPunct/>
        <w:topLinePunct w:val="0"/>
        <w:bidi w:val="0"/>
        <w:snapToGrid/>
        <w:spacing w:line="560" w:lineRule="exact"/>
        <w:ind w:firstLine="1040"/>
        <w:rPr>
          <w:rFonts w:ascii="黑体" w:eastAsia="黑体"/>
          <w:sz w:val="52"/>
          <w:szCs w:val="52"/>
        </w:rPr>
      </w:pPr>
    </w:p>
    <w:p>
      <w:pPr>
        <w:pStyle w:val="2"/>
        <w:keepNext w:val="0"/>
        <w:keepLines w:val="0"/>
        <w:pageBreakBefore w:val="0"/>
        <w:kinsoku/>
        <w:wordWrap/>
        <w:overflowPunct/>
        <w:topLinePunct w:val="0"/>
        <w:bidi w:val="0"/>
        <w:snapToGrid/>
        <w:spacing w:line="560" w:lineRule="exact"/>
        <w:ind w:firstLine="1040"/>
        <w:rPr>
          <w:rFonts w:ascii="黑体" w:eastAsia="黑体"/>
          <w:sz w:val="52"/>
          <w:szCs w:val="52"/>
        </w:rPr>
      </w:pPr>
    </w:p>
    <w:p>
      <w:pPr>
        <w:pStyle w:val="2"/>
        <w:keepNext w:val="0"/>
        <w:keepLines w:val="0"/>
        <w:pageBreakBefore w:val="0"/>
        <w:kinsoku/>
        <w:wordWrap/>
        <w:overflowPunct/>
        <w:topLinePunct w:val="0"/>
        <w:bidi w:val="0"/>
        <w:snapToGrid/>
        <w:spacing w:line="560" w:lineRule="exact"/>
        <w:ind w:firstLine="1040"/>
        <w:rPr>
          <w:rFonts w:ascii="黑体" w:eastAsia="黑体"/>
          <w:sz w:val="52"/>
          <w:szCs w:val="52"/>
        </w:rPr>
      </w:pPr>
    </w:p>
    <w:p>
      <w:pPr>
        <w:keepNext w:val="0"/>
        <w:keepLines w:val="0"/>
        <w:pageBreakBefore w:val="0"/>
        <w:kinsoku/>
        <w:wordWrap/>
        <w:overflowPunct/>
        <w:topLinePunct w:val="0"/>
        <w:bidi w:val="0"/>
        <w:snapToGrid/>
        <w:spacing w:line="560" w:lineRule="exact"/>
        <w:jc w:val="center"/>
        <w:rPr>
          <w:rFonts w:ascii="黑体" w:eastAsia="黑体"/>
          <w:sz w:val="52"/>
          <w:szCs w:val="52"/>
        </w:rPr>
      </w:pPr>
    </w:p>
    <w:p>
      <w:pPr>
        <w:keepNext w:val="0"/>
        <w:keepLines w:val="0"/>
        <w:pageBreakBefore w:val="0"/>
        <w:kinsoku/>
        <w:wordWrap/>
        <w:overflowPunct/>
        <w:topLinePunct w:val="0"/>
        <w:bidi w:val="0"/>
        <w:snapToGrid/>
        <w:spacing w:line="560" w:lineRule="exact"/>
        <w:ind w:firstLine="645"/>
        <w:jc w:val="center"/>
        <w:rPr>
          <w:rFonts w:hint="eastAsia" w:ascii="宋体" w:hAnsi="宋体" w:cs="宋体"/>
          <w:b/>
          <w:bCs/>
          <w:kern w:val="0"/>
          <w:sz w:val="36"/>
          <w:szCs w:val="36"/>
        </w:rPr>
      </w:pPr>
      <w:r>
        <w:rPr>
          <w:rFonts w:hint="eastAsia" w:ascii="宋体" w:hAnsi="宋体" w:cs="宋体"/>
          <w:b/>
          <w:bCs/>
          <w:kern w:val="0"/>
          <w:sz w:val="44"/>
          <w:szCs w:val="36"/>
        </w:rPr>
        <w:t>目    录</w:t>
      </w:r>
    </w:p>
    <w:p>
      <w:pPr>
        <w:keepNext w:val="0"/>
        <w:keepLines w:val="0"/>
        <w:pageBreakBefore w:val="0"/>
        <w:tabs>
          <w:tab w:val="center" w:pos="6979"/>
        </w:tabs>
        <w:kinsoku/>
        <w:wordWrap/>
        <w:overflowPunct/>
        <w:topLinePunct w:val="0"/>
        <w:bidi w:val="0"/>
        <w:snapToGrid/>
        <w:spacing w:line="56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w:t>
      </w:r>
      <w:r>
        <w:rPr>
          <w:rFonts w:ascii="宋体" w:hAnsi="宋体" w:cs="宋体"/>
          <w:bCs/>
          <w:spacing w:val="40"/>
          <w:kern w:val="0"/>
          <w:sz w:val="32"/>
          <w:szCs w:val="32"/>
        </w:rPr>
        <w:t>1</w:t>
      </w:r>
      <w:r>
        <w:rPr>
          <w:rFonts w:hint="eastAsia" w:ascii="宋体" w:hAnsi="宋体" w:cs="宋体"/>
          <w:bCs/>
          <w:spacing w:val="40"/>
          <w:kern w:val="0"/>
          <w:sz w:val="32"/>
          <w:szCs w:val="32"/>
        </w:rPr>
        <w:t>年度部门决算报表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keepNext w:val="0"/>
        <w:keepLines w:val="0"/>
        <w:pageBreakBefore w:val="0"/>
        <w:tabs>
          <w:tab w:val="center" w:pos="6979"/>
        </w:tabs>
        <w:kinsoku/>
        <w:wordWrap/>
        <w:overflowPunct/>
        <w:topLinePunct w:val="0"/>
        <w:bidi w:val="0"/>
        <w:snapToGrid/>
        <w:spacing w:line="56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keepNext w:val="0"/>
        <w:keepLines w:val="0"/>
        <w:pageBreakBefore w:val="0"/>
        <w:tabs>
          <w:tab w:val="center" w:pos="6979"/>
        </w:tabs>
        <w:kinsoku/>
        <w:wordWrap/>
        <w:overflowPunct/>
        <w:topLinePunct w:val="0"/>
        <w:bidi w:val="0"/>
        <w:snapToGrid/>
        <w:spacing w:line="56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年度部门决算说明</w:t>
      </w:r>
    </w:p>
    <w:p>
      <w:pPr>
        <w:keepNext w:val="0"/>
        <w:keepLines w:val="0"/>
        <w:pageBreakBefore w:val="0"/>
        <w:tabs>
          <w:tab w:val="center" w:pos="6979"/>
        </w:tabs>
        <w:kinsoku/>
        <w:wordWrap/>
        <w:overflowPunct/>
        <w:topLinePunct w:val="0"/>
        <w:bidi w:val="0"/>
        <w:snapToGrid/>
        <w:spacing w:line="56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w:t>
      </w:r>
      <w:r>
        <w:rPr>
          <w:rFonts w:hint="eastAsia" w:ascii="宋体" w:hAnsi="宋体" w:cs="宋体"/>
          <w:spacing w:val="40"/>
          <w:kern w:val="0"/>
          <w:sz w:val="32"/>
          <w:szCs w:val="32"/>
        </w:rPr>
        <w:t>其他重要事项的情况说明</w:t>
      </w:r>
    </w:p>
    <w:p>
      <w:pPr>
        <w:keepNext w:val="0"/>
        <w:keepLines w:val="0"/>
        <w:pageBreakBefore w:val="0"/>
        <w:tabs>
          <w:tab w:val="center" w:pos="6979"/>
        </w:tabs>
        <w:kinsoku/>
        <w:wordWrap/>
        <w:overflowPunct/>
        <w:topLinePunct w:val="0"/>
        <w:bidi w:val="0"/>
        <w:snapToGrid/>
        <w:spacing w:line="560" w:lineRule="exact"/>
        <w:ind w:firstLine="1600" w:firstLineChars="400"/>
        <w:jc w:val="left"/>
        <w:rPr>
          <w:rFonts w:hint="eastAsia" w:ascii="宋体" w:hAnsi="宋体" w:cs="宋体"/>
          <w:spacing w:val="40"/>
          <w:kern w:val="0"/>
          <w:sz w:val="36"/>
          <w:szCs w:val="32"/>
        </w:rPr>
      </w:pPr>
      <w:r>
        <w:rPr>
          <w:rFonts w:hint="eastAsia" w:ascii="宋体" w:hAnsi="宋体" w:cs="宋体"/>
          <w:spacing w:val="40"/>
          <w:kern w:val="0"/>
          <w:sz w:val="32"/>
          <w:szCs w:val="32"/>
        </w:rPr>
        <w:t>第四部分 202</w:t>
      </w:r>
      <w:r>
        <w:rPr>
          <w:rFonts w:ascii="宋体" w:hAnsi="宋体" w:cs="宋体"/>
          <w:spacing w:val="40"/>
          <w:kern w:val="0"/>
          <w:sz w:val="32"/>
          <w:szCs w:val="32"/>
        </w:rPr>
        <w:t>1</w:t>
      </w:r>
      <w:r>
        <w:rPr>
          <w:rFonts w:hint="eastAsia" w:ascii="宋体" w:hAnsi="宋体" w:cs="宋体"/>
          <w:spacing w:val="40"/>
          <w:kern w:val="0"/>
          <w:sz w:val="32"/>
          <w:szCs w:val="32"/>
        </w:rPr>
        <w:t>年度部门绩效评价情况</w:t>
      </w:r>
    </w:p>
    <w:p>
      <w:pPr>
        <w:keepNext w:val="0"/>
        <w:keepLines w:val="0"/>
        <w:pageBreakBefore w:val="0"/>
        <w:tabs>
          <w:tab w:val="center" w:pos="6979"/>
        </w:tabs>
        <w:kinsoku/>
        <w:wordWrap/>
        <w:overflowPunct/>
        <w:topLinePunct w:val="0"/>
        <w:bidi w:val="0"/>
        <w:snapToGrid/>
        <w:spacing w:line="560" w:lineRule="exact"/>
        <w:jc w:val="center"/>
        <w:rPr>
          <w:rFonts w:ascii="宋体" w:hAnsi="宋体" w:cs="宋体"/>
          <w:b/>
          <w:bCs/>
          <w:spacing w:val="40"/>
          <w:kern w:val="0"/>
          <w:sz w:val="44"/>
          <w:szCs w:val="44"/>
        </w:rPr>
      </w:pPr>
      <w:r>
        <w:rPr>
          <w:rFonts w:hint="eastAsia" w:ascii="宋体" w:hAnsi="宋体" w:cs="宋体"/>
          <w:b/>
          <w:bCs/>
          <w:spacing w:val="40"/>
          <w:kern w:val="0"/>
          <w:sz w:val="32"/>
          <w:szCs w:val="32"/>
        </w:rPr>
        <w:t>第一部分 2021年度部门决算报表</w:t>
      </w:r>
    </w:p>
    <w:p>
      <w:pPr>
        <w:keepNext w:val="0"/>
        <w:keepLines w:val="0"/>
        <w:pageBreakBefore w:val="0"/>
        <w:tabs>
          <w:tab w:val="center" w:pos="6979"/>
        </w:tabs>
        <w:kinsoku/>
        <w:wordWrap/>
        <w:overflowPunct/>
        <w:topLinePunct w:val="0"/>
        <w:bidi w:val="0"/>
        <w:snapToGrid/>
        <w:spacing w:line="560" w:lineRule="exact"/>
        <w:ind w:firstLine="560" w:firstLineChars="200"/>
        <w:rPr>
          <w:rFonts w:hint="eastAsia" w:ascii="仿宋_GB2312" w:hAnsi="宋体" w:eastAsia="仿宋_GB2312" w:cs="宋体"/>
          <w:bCs/>
          <w:spacing w:val="40"/>
          <w:kern w:val="0"/>
          <w:sz w:val="32"/>
          <w:szCs w:val="32"/>
        </w:rPr>
      </w:pPr>
      <w:r>
        <w:rPr>
          <w:rFonts w:hint="eastAsia" w:ascii="仿宋_GB2312" w:eastAsia="仿宋_GB2312"/>
          <w:kern w:val="0"/>
          <w:sz w:val="28"/>
          <w:szCs w:val="28"/>
          <w:lang w:eastAsia="zh-CN"/>
        </w:rPr>
        <w:t>北京市丰台区人民政府办公室</w:t>
      </w:r>
      <w:r>
        <w:rPr>
          <w:rFonts w:hint="eastAsia" w:ascii="仿宋_GB2312" w:eastAsia="仿宋_GB2312"/>
          <w:kern w:val="0"/>
          <w:sz w:val="28"/>
          <w:szCs w:val="28"/>
        </w:rPr>
        <w:t>2021年度部门决算报表详见附件。</w:t>
      </w:r>
      <w:r>
        <w:rPr>
          <w:rFonts w:hint="eastAsia" w:ascii="仿宋_GB2312" w:hAnsi="宋体" w:eastAsia="仿宋_GB2312" w:cs="宋体"/>
          <w:bCs/>
          <w:spacing w:val="40"/>
          <w:kern w:val="0"/>
          <w:sz w:val="32"/>
          <w:szCs w:val="32"/>
        </w:rPr>
        <w:t>。</w:t>
      </w:r>
    </w:p>
    <w:p>
      <w:pPr>
        <w:keepNext w:val="0"/>
        <w:keepLines w:val="0"/>
        <w:pageBreakBefore w:val="0"/>
        <w:tabs>
          <w:tab w:val="center" w:pos="6979"/>
        </w:tabs>
        <w:kinsoku/>
        <w:wordWrap/>
        <w:overflowPunct/>
        <w:topLinePunct w:val="0"/>
        <w:bidi w:val="0"/>
        <w:snapToGrid/>
        <w:spacing w:line="560" w:lineRule="exact"/>
        <w:jc w:val="center"/>
        <w:rPr>
          <w:rFonts w:hint="eastAsia"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年度部门决算说明</w:t>
      </w:r>
    </w:p>
    <w:p>
      <w:pPr>
        <w:keepNext w:val="0"/>
        <w:keepLines w:val="0"/>
        <w:pageBreakBefore w:val="0"/>
        <w:tabs>
          <w:tab w:val="center" w:pos="6979"/>
        </w:tabs>
        <w:kinsoku/>
        <w:wordWrap/>
        <w:overflowPunct/>
        <w:topLinePunct w:val="0"/>
        <w:bidi w:val="0"/>
        <w:snapToGrid/>
        <w:spacing w:line="560" w:lineRule="exact"/>
        <w:ind w:firstLine="548" w:firstLineChars="196"/>
        <w:rPr>
          <w:rFonts w:hint="eastAsia" w:ascii="黑体" w:eastAsia="黑体"/>
          <w:b/>
          <w:sz w:val="28"/>
          <w:szCs w:val="28"/>
        </w:rPr>
      </w:pPr>
      <w:r>
        <w:rPr>
          <w:rFonts w:hint="eastAsia" w:ascii="黑体" w:eastAsia="黑体"/>
          <w:b/>
          <w:sz w:val="28"/>
          <w:szCs w:val="28"/>
        </w:rPr>
        <w:t>一、</w:t>
      </w:r>
      <w:r>
        <w:rPr>
          <w:rFonts w:hint="eastAsia" w:ascii="黑体" w:eastAsia="黑体"/>
          <w:b/>
          <w:sz w:val="28"/>
          <w:szCs w:val="28"/>
          <w:lang w:eastAsia="zh-CN"/>
        </w:rPr>
        <w:t>北京市丰台区人民政府办公室</w:t>
      </w:r>
      <w:r>
        <w:rPr>
          <w:rFonts w:hint="eastAsia" w:ascii="仿宋_GB2312" w:eastAsia="仿宋_GB2312"/>
          <w:sz w:val="28"/>
          <w:szCs w:val="28"/>
        </w:rPr>
        <w:t>（比照</w:t>
      </w:r>
      <w:r>
        <w:rPr>
          <w:rFonts w:ascii="仿宋_GB2312" w:eastAsia="仿宋_GB2312"/>
          <w:sz w:val="28"/>
          <w:szCs w:val="28"/>
        </w:rPr>
        <w:t>预算公开</w:t>
      </w:r>
      <w:r>
        <w:rPr>
          <w:rFonts w:hint="eastAsia" w:ascii="仿宋_GB2312" w:eastAsia="仿宋_GB2312"/>
          <w:sz w:val="28"/>
          <w:szCs w:val="28"/>
        </w:rPr>
        <w:t>的内容</w:t>
      </w:r>
      <w:r>
        <w:rPr>
          <w:rFonts w:ascii="仿宋_GB2312" w:eastAsia="仿宋_GB2312"/>
          <w:sz w:val="28"/>
          <w:szCs w:val="28"/>
        </w:rPr>
        <w:t>格式）</w:t>
      </w:r>
    </w:p>
    <w:p>
      <w:pPr>
        <w:keepNext w:val="0"/>
        <w:keepLines w:val="0"/>
        <w:pageBreakBefore w:val="0"/>
        <w:tabs>
          <w:tab w:val="center" w:pos="6979"/>
        </w:tabs>
        <w:kinsoku/>
        <w:wordWrap/>
        <w:overflowPunct/>
        <w:topLinePunct w:val="0"/>
        <w:bidi w:val="0"/>
        <w:snapToGrid/>
        <w:spacing w:line="560" w:lineRule="exact"/>
        <w:ind w:firstLine="420" w:firstLineChars="150"/>
        <w:rPr>
          <w:rFonts w:ascii="仿宋_GB2312" w:eastAsia="仿宋_GB2312"/>
          <w:sz w:val="28"/>
          <w:szCs w:val="28"/>
        </w:rPr>
      </w:pPr>
      <w:r>
        <w:rPr>
          <w:rFonts w:hint="eastAsia" w:ascii="仿宋_GB2312" w:eastAsia="仿宋_GB2312"/>
          <w:sz w:val="28"/>
          <w:szCs w:val="28"/>
        </w:rPr>
        <w:t>（一）机构</w:t>
      </w:r>
      <w:r>
        <w:rPr>
          <w:rFonts w:ascii="仿宋_GB2312" w:eastAsia="仿宋_GB2312"/>
          <w:sz w:val="28"/>
          <w:szCs w:val="28"/>
        </w:rPr>
        <w:t>设置、</w:t>
      </w:r>
      <w:r>
        <w:rPr>
          <w:rFonts w:hint="eastAsia" w:ascii="仿宋_GB2312" w:eastAsia="仿宋_GB2312"/>
          <w:sz w:val="28"/>
          <w:szCs w:val="28"/>
        </w:rPr>
        <w:t>职责（需公开</w:t>
      </w:r>
      <w:r>
        <w:rPr>
          <w:rFonts w:ascii="仿宋_GB2312" w:eastAsia="仿宋_GB2312"/>
          <w:sz w:val="28"/>
          <w:szCs w:val="28"/>
        </w:rPr>
        <w:t>内设机构数量</w:t>
      </w:r>
      <w:r>
        <w:rPr>
          <w:rFonts w:hint="eastAsia" w:ascii="仿宋_GB2312" w:eastAsia="仿宋_GB2312"/>
          <w:sz w:val="28"/>
          <w:szCs w:val="28"/>
        </w:rPr>
        <w:t>和</w:t>
      </w:r>
      <w:r>
        <w:rPr>
          <w:rFonts w:ascii="仿宋_GB2312" w:eastAsia="仿宋_GB2312"/>
          <w:sz w:val="28"/>
          <w:szCs w:val="28"/>
        </w:rPr>
        <w:t>下属单位</w:t>
      </w:r>
      <w:r>
        <w:rPr>
          <w:rFonts w:hint="eastAsia" w:ascii="仿宋_GB2312" w:eastAsia="仿宋_GB2312"/>
          <w:sz w:val="28"/>
          <w:szCs w:val="28"/>
        </w:rPr>
        <w:t>数量</w:t>
      </w:r>
      <w:r>
        <w:rPr>
          <w:rFonts w:ascii="仿宋_GB2312" w:eastAsia="仿宋_GB2312"/>
          <w:sz w:val="28"/>
          <w:szCs w:val="28"/>
        </w:rPr>
        <w:t>及名称）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420"/>
        <w:jc w:val="both"/>
        <w:rPr>
          <w:rFonts w:ascii="仿宋_GB2312" w:hAnsi="Times New Roman" w:eastAsia="仿宋_GB2312" w:cs="Times New Roman"/>
          <w:b w:val="0"/>
          <w:kern w:val="2"/>
          <w:sz w:val="28"/>
          <w:szCs w:val="28"/>
          <w:lang w:val="en-US" w:eastAsia="zh-CN" w:bidi="ar-SA"/>
        </w:rPr>
      </w:pPr>
      <w:r>
        <w:rPr>
          <w:rFonts w:hint="eastAsia" w:ascii="仿宋_GB2312" w:hAnsi="Times New Roman" w:eastAsia="仿宋_GB2312" w:cs="Times New Roman"/>
          <w:b w:val="0"/>
          <w:kern w:val="2"/>
          <w:sz w:val="28"/>
          <w:szCs w:val="28"/>
          <w:lang w:val="en-US" w:eastAsia="zh-CN" w:bidi="ar-SA"/>
        </w:rPr>
        <w:t>北京市丰台区人民政府办公室职能主要为：1.协助区政府领导同志组织起草、审核以区政府或区政府办公室名义发布的公文。2.研究区政府各部门、各街道（地区）乡镇以及其他机构请示（商洽）区政府的事项，提出审核意见，报请区政府领导同志审批；承办市政府、市政府办公厅文件。3.负责区政府会议的会务组织工作4.负责区政府总值班工作，协助安排区政府领导同志参加重要政务活动。负责组织区政府领导同志的调研工作。5.负责市政府督查事项的协调组织落实。负责区政府重大决策、重要部署、重要会议确定议定事项、领导同志批示指示和交办事项的督促检查、统筹协调和反馈工作。6.负责市政府对本区绩效管理、绩效考评工作的组织实施。负责区级行政机关、直属事业单位和街道（地区）办事处、乡镇政府绩效管理、绩效考评工作。7.负责为领导同志提供重要信息及社会舆情。8.负责联系人大、政协有关工作。9.负责中央市属在区单位的综合协调服务工作。10.完成区委区政府交办的其他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420"/>
        <w:jc w:val="both"/>
        <w:rPr>
          <w:rFonts w:hint="eastAsia" w:ascii="仿宋_GB2312" w:hAnsi="Times New Roman" w:eastAsia="仿宋_GB2312" w:cs="Times New Roman"/>
          <w:b w:val="0"/>
          <w:kern w:val="2"/>
          <w:sz w:val="28"/>
          <w:szCs w:val="28"/>
          <w:lang w:val="en-US" w:eastAsia="zh-CN" w:bidi="ar-SA"/>
        </w:rPr>
      </w:pPr>
      <w:r>
        <w:rPr>
          <w:rFonts w:hint="eastAsia" w:ascii="仿宋_GB2312" w:hAnsi="Times New Roman" w:eastAsia="仿宋_GB2312" w:cs="Times New Roman"/>
          <w:b w:val="0"/>
          <w:kern w:val="2"/>
          <w:sz w:val="28"/>
          <w:szCs w:val="28"/>
          <w:lang w:val="en-US" w:eastAsia="zh-CN" w:bidi="ar-SA"/>
        </w:rPr>
        <w:t>内设科室13个。</w:t>
      </w:r>
    </w:p>
    <w:p>
      <w:pPr>
        <w:keepNext w:val="0"/>
        <w:keepLines w:val="0"/>
        <w:pageBreakBefore w:val="0"/>
        <w:tabs>
          <w:tab w:val="center" w:pos="6979"/>
        </w:tabs>
        <w:kinsoku/>
        <w:wordWrap/>
        <w:overflowPunct/>
        <w:topLinePunct w:val="0"/>
        <w:bidi w:val="0"/>
        <w:snapToGrid/>
        <w:spacing w:line="56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keepNext w:val="0"/>
        <w:keepLines w:val="0"/>
        <w:pageBreakBefore w:val="0"/>
        <w:tabs>
          <w:tab w:val="center" w:pos="6979"/>
        </w:tabs>
        <w:kinsoku/>
        <w:wordWrap/>
        <w:overflowPunct/>
        <w:topLinePunct w:val="0"/>
        <w:bidi w:val="0"/>
        <w:snapToGrid/>
        <w:spacing w:line="560" w:lineRule="exact"/>
        <w:ind w:firstLine="570"/>
        <w:rPr>
          <w:rFonts w:hint="eastAsia" w:ascii="仿宋_GB2312" w:eastAsia="仿宋_GB2312"/>
          <w:sz w:val="28"/>
          <w:szCs w:val="28"/>
        </w:rPr>
      </w:pPr>
      <w:r>
        <w:rPr>
          <w:rFonts w:hint="eastAsia" w:ascii="仿宋_GB2312" w:eastAsia="仿宋_GB2312"/>
          <w:sz w:val="28"/>
          <w:szCs w:val="28"/>
        </w:rPr>
        <w:t>共有行政编制56人，实际</w:t>
      </w:r>
      <w:r>
        <w:rPr>
          <w:rFonts w:hint="eastAsia" w:ascii="仿宋_GB2312" w:eastAsia="仿宋_GB2312"/>
          <w:sz w:val="28"/>
          <w:szCs w:val="28"/>
          <w:lang w:val="en-US" w:eastAsia="zh-CN"/>
        </w:rPr>
        <w:t>50</w:t>
      </w:r>
      <w:r>
        <w:rPr>
          <w:rFonts w:hint="eastAsia" w:ascii="仿宋_GB2312" w:eastAsia="仿宋_GB2312"/>
          <w:sz w:val="28"/>
          <w:szCs w:val="28"/>
        </w:rPr>
        <w:t>人；事业编制0人，实际0人；离退休人员22人。</w:t>
      </w:r>
    </w:p>
    <w:p>
      <w:pPr>
        <w:keepNext w:val="0"/>
        <w:keepLines w:val="0"/>
        <w:pageBreakBefore w:val="0"/>
        <w:tabs>
          <w:tab w:val="center" w:pos="6979"/>
        </w:tabs>
        <w:kinsoku/>
        <w:wordWrap/>
        <w:overflowPunct/>
        <w:topLinePunct w:val="0"/>
        <w:bidi w:val="0"/>
        <w:snapToGrid/>
        <w:spacing w:line="560" w:lineRule="exact"/>
        <w:rPr>
          <w:rFonts w:hint="eastAsia"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bookmarkStart w:id="1" w:name="_GoBack"/>
      <w:bookmarkEnd w:id="1"/>
    </w:p>
    <w:p>
      <w:pPr>
        <w:keepNext w:val="0"/>
        <w:keepLines w:val="0"/>
        <w:pageBreakBefore w:val="0"/>
        <w:tabs>
          <w:tab w:val="center" w:pos="6979"/>
        </w:tabs>
        <w:kinsoku/>
        <w:wordWrap/>
        <w:overflowPunct/>
        <w:topLinePunct w:val="0"/>
        <w:bidi w:val="0"/>
        <w:snapToGrid/>
        <w:spacing w:line="560" w:lineRule="exact"/>
        <w:ind w:firstLine="57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1897.81</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38.38</w:t>
      </w:r>
      <w:r>
        <w:rPr>
          <w:rFonts w:hint="eastAsia" w:ascii="仿宋_GB2312" w:eastAsia="仿宋_GB2312"/>
          <w:sz w:val="28"/>
          <w:szCs w:val="28"/>
        </w:rPr>
        <w:t>万元，增长</w:t>
      </w:r>
      <w:r>
        <w:rPr>
          <w:rFonts w:hint="eastAsia" w:ascii="仿宋_GB2312" w:eastAsia="仿宋_GB2312"/>
          <w:sz w:val="28"/>
          <w:szCs w:val="28"/>
          <w:lang w:val="en-US" w:eastAsia="zh-CN"/>
        </w:rPr>
        <w:t>2.06</w:t>
      </w:r>
      <w:r>
        <w:rPr>
          <w:rFonts w:hint="eastAsia" w:ascii="仿宋_GB2312" w:eastAsia="仿宋_GB2312"/>
          <w:sz w:val="28"/>
          <w:szCs w:val="28"/>
        </w:rPr>
        <w:t>%。</w:t>
      </w:r>
    </w:p>
    <w:p>
      <w:pPr>
        <w:keepNext w:val="0"/>
        <w:keepLines w:val="0"/>
        <w:pageBreakBefore w:val="0"/>
        <w:tabs>
          <w:tab w:val="center" w:pos="6979"/>
        </w:tabs>
        <w:kinsoku/>
        <w:wordWrap/>
        <w:overflowPunct/>
        <w:topLinePunct w:val="0"/>
        <w:bidi w:val="0"/>
        <w:snapToGrid/>
        <w:spacing w:line="56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keepNext w:val="0"/>
        <w:keepLines w:val="0"/>
        <w:pageBreakBefore w:val="0"/>
        <w:tabs>
          <w:tab w:val="center" w:pos="6979"/>
        </w:tabs>
        <w:kinsoku/>
        <w:wordWrap/>
        <w:overflowPunct/>
        <w:topLinePunct w:val="0"/>
        <w:bidi w:val="0"/>
        <w:snapToGrid/>
        <w:spacing w:line="560" w:lineRule="exact"/>
        <w:ind w:firstLine="570"/>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年度本年收入合计</w:t>
      </w:r>
      <w:r>
        <w:rPr>
          <w:rFonts w:hint="eastAsia" w:ascii="仿宋_GB2312" w:eastAsia="仿宋_GB2312"/>
          <w:sz w:val="28"/>
          <w:szCs w:val="28"/>
          <w:lang w:val="en-US" w:eastAsia="zh-CN"/>
        </w:rPr>
        <w:t>1739.49</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62.1</w:t>
      </w:r>
      <w:r>
        <w:rPr>
          <w:rFonts w:hint="eastAsia" w:ascii="仿宋_GB2312" w:eastAsia="仿宋_GB2312"/>
          <w:sz w:val="28"/>
          <w:szCs w:val="28"/>
        </w:rPr>
        <w:t>万元，下降</w:t>
      </w:r>
      <w:r>
        <w:rPr>
          <w:rFonts w:hint="eastAsia" w:ascii="仿宋_GB2312" w:eastAsia="仿宋_GB2312"/>
          <w:sz w:val="28"/>
          <w:szCs w:val="28"/>
          <w:lang w:val="en-US" w:eastAsia="zh-CN"/>
        </w:rPr>
        <w:t>3.45</w:t>
      </w:r>
      <w:r>
        <w:rPr>
          <w:rFonts w:hint="eastAsia" w:ascii="仿宋_GB2312" w:eastAsia="仿宋_GB2312"/>
          <w:sz w:val="28"/>
          <w:szCs w:val="28"/>
        </w:rPr>
        <w:t>%，其中：财政拨款收入</w:t>
      </w:r>
      <w:r>
        <w:rPr>
          <w:rFonts w:hint="eastAsia" w:ascii="仿宋_GB2312" w:eastAsia="仿宋_GB2312"/>
          <w:sz w:val="28"/>
          <w:szCs w:val="28"/>
          <w:lang w:val="en-US" w:eastAsia="zh-CN"/>
        </w:rPr>
        <w:t>1738.95</w:t>
      </w:r>
      <w:r>
        <w:rPr>
          <w:rFonts w:hint="eastAsia" w:ascii="仿宋_GB2312" w:eastAsia="仿宋_GB2312"/>
          <w:sz w:val="28"/>
          <w:szCs w:val="28"/>
        </w:rPr>
        <w:t>万元，占收入合计的</w:t>
      </w:r>
      <w:r>
        <w:rPr>
          <w:rFonts w:hint="eastAsia" w:ascii="仿宋_GB2312" w:eastAsia="仿宋_GB2312"/>
          <w:sz w:val="28"/>
          <w:szCs w:val="28"/>
          <w:lang w:val="en-US" w:eastAsia="zh-CN"/>
        </w:rPr>
        <w:t>99.97</w:t>
      </w:r>
      <w:r>
        <w:rPr>
          <w:rFonts w:hint="eastAsia" w:ascii="仿宋_GB2312" w:eastAsia="仿宋_GB2312"/>
          <w:sz w:val="28"/>
          <w:szCs w:val="28"/>
        </w:rPr>
        <w:t>%；上级补助收入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%；事业收入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%；经营收入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%；附属单位上缴收入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%；其他收入</w:t>
      </w:r>
      <w:r>
        <w:rPr>
          <w:rFonts w:hint="eastAsia" w:ascii="仿宋_GB2312" w:eastAsia="仿宋_GB2312"/>
          <w:sz w:val="28"/>
          <w:szCs w:val="28"/>
          <w:lang w:val="en-US" w:eastAsia="zh-CN"/>
        </w:rPr>
        <w:t>0.54</w:t>
      </w:r>
      <w:r>
        <w:rPr>
          <w:rFonts w:hint="eastAsia" w:ascii="仿宋_GB2312" w:eastAsia="仿宋_GB2312"/>
          <w:sz w:val="28"/>
          <w:szCs w:val="28"/>
        </w:rPr>
        <w:t>万元，占收入合计的</w:t>
      </w:r>
      <w:r>
        <w:rPr>
          <w:rFonts w:hint="eastAsia" w:ascii="仿宋_GB2312" w:eastAsia="仿宋_GB2312"/>
          <w:sz w:val="28"/>
          <w:szCs w:val="28"/>
          <w:lang w:val="en-US" w:eastAsia="zh-CN"/>
        </w:rPr>
        <w:t>0.03</w:t>
      </w:r>
      <w:r>
        <w:rPr>
          <w:rFonts w:hint="eastAsia" w:ascii="仿宋_GB2312" w:eastAsia="仿宋_GB2312"/>
          <w:sz w:val="28"/>
          <w:szCs w:val="28"/>
        </w:rPr>
        <w:t>%。</w:t>
      </w:r>
    </w:p>
    <w:p>
      <w:pPr>
        <w:keepNext w:val="0"/>
        <w:keepLines w:val="0"/>
        <w:pageBreakBefore w:val="0"/>
        <w:tabs>
          <w:tab w:val="center" w:pos="6979"/>
        </w:tabs>
        <w:kinsoku/>
        <w:wordWrap/>
        <w:overflowPunct/>
        <w:topLinePunct w:val="0"/>
        <w:bidi w:val="0"/>
        <w:snapToGrid/>
        <w:spacing w:line="56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keepNext w:val="0"/>
        <w:keepLines w:val="0"/>
        <w:pageBreakBefore w:val="0"/>
        <w:tabs>
          <w:tab w:val="center" w:pos="6979"/>
        </w:tabs>
        <w:kinsoku/>
        <w:wordWrap/>
        <w:overflowPunct/>
        <w:topLinePunct w:val="0"/>
        <w:bidi w:val="0"/>
        <w:snapToGrid/>
        <w:spacing w:line="560" w:lineRule="exact"/>
        <w:ind w:firstLine="57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年度本年支出合计</w:t>
      </w:r>
      <w:r>
        <w:rPr>
          <w:rFonts w:hint="eastAsia" w:ascii="仿宋_GB2312" w:eastAsia="仿宋_GB2312"/>
          <w:sz w:val="28"/>
          <w:szCs w:val="28"/>
          <w:lang w:val="en-US" w:eastAsia="zh-CN"/>
        </w:rPr>
        <w:t>1832.73</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52.64</w:t>
      </w:r>
      <w:r>
        <w:rPr>
          <w:rFonts w:hint="eastAsia" w:ascii="仿宋_GB2312" w:eastAsia="仿宋_GB2312"/>
          <w:sz w:val="28"/>
          <w:szCs w:val="28"/>
        </w:rPr>
        <w:t>万元，增长</w:t>
      </w:r>
      <w:r>
        <w:rPr>
          <w:rFonts w:hint="eastAsia" w:ascii="仿宋_GB2312" w:eastAsia="仿宋_GB2312"/>
          <w:sz w:val="28"/>
          <w:szCs w:val="28"/>
          <w:lang w:val="en-US" w:eastAsia="zh-CN"/>
        </w:rPr>
        <w:t>2.96</w:t>
      </w:r>
      <w:r>
        <w:rPr>
          <w:rFonts w:hint="eastAsia" w:ascii="仿宋_GB2312" w:eastAsia="仿宋_GB2312"/>
          <w:sz w:val="28"/>
          <w:szCs w:val="28"/>
        </w:rPr>
        <w:t>%，其中：基本支出</w:t>
      </w:r>
      <w:r>
        <w:rPr>
          <w:rFonts w:hint="eastAsia" w:ascii="仿宋_GB2312" w:eastAsia="仿宋_GB2312"/>
          <w:sz w:val="28"/>
          <w:szCs w:val="28"/>
          <w:lang w:val="en-US" w:eastAsia="zh-CN"/>
        </w:rPr>
        <w:t>1583.69</w:t>
      </w:r>
      <w:r>
        <w:rPr>
          <w:rFonts w:hint="eastAsia" w:ascii="仿宋_GB2312" w:eastAsia="仿宋_GB2312"/>
          <w:sz w:val="28"/>
          <w:szCs w:val="28"/>
        </w:rPr>
        <w:t>万元，占支出合计的</w:t>
      </w:r>
      <w:r>
        <w:rPr>
          <w:rFonts w:hint="eastAsia" w:ascii="仿宋_GB2312" w:eastAsia="仿宋_GB2312"/>
          <w:sz w:val="28"/>
          <w:szCs w:val="28"/>
          <w:lang w:val="en-US" w:eastAsia="zh-CN"/>
        </w:rPr>
        <w:t>86.41</w:t>
      </w:r>
      <w:r>
        <w:rPr>
          <w:rFonts w:hint="eastAsia" w:ascii="仿宋_GB2312" w:eastAsia="仿宋_GB2312"/>
          <w:sz w:val="28"/>
          <w:szCs w:val="28"/>
        </w:rPr>
        <w:t>%；项目支出</w:t>
      </w:r>
      <w:r>
        <w:rPr>
          <w:rFonts w:hint="eastAsia" w:ascii="仿宋_GB2312" w:eastAsia="仿宋_GB2312"/>
          <w:sz w:val="28"/>
          <w:szCs w:val="28"/>
          <w:lang w:val="en-US" w:eastAsia="zh-CN"/>
        </w:rPr>
        <w:t>249.04</w:t>
      </w:r>
      <w:r>
        <w:rPr>
          <w:rFonts w:hint="eastAsia" w:ascii="仿宋_GB2312" w:eastAsia="仿宋_GB2312"/>
          <w:sz w:val="28"/>
          <w:szCs w:val="28"/>
        </w:rPr>
        <w:t>万元，占支出合计的</w:t>
      </w:r>
      <w:r>
        <w:rPr>
          <w:rFonts w:hint="eastAsia" w:ascii="仿宋_GB2312" w:eastAsia="仿宋_GB2312"/>
          <w:sz w:val="28"/>
          <w:szCs w:val="28"/>
          <w:lang w:val="en-US" w:eastAsia="zh-CN"/>
        </w:rPr>
        <w:t>13.59</w:t>
      </w:r>
      <w:r>
        <w:rPr>
          <w:rFonts w:hint="eastAsia" w:ascii="仿宋_GB2312" w:eastAsia="仿宋_GB2312"/>
          <w:sz w:val="28"/>
          <w:szCs w:val="28"/>
        </w:rPr>
        <w:t>%;上缴上级支出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%；经营支出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w:t>
      </w:r>
    </w:p>
    <w:p>
      <w:pPr>
        <w:keepNext w:val="0"/>
        <w:keepLines w:val="0"/>
        <w:pageBreakBefore w:val="0"/>
        <w:tabs>
          <w:tab w:val="center" w:pos="6979"/>
        </w:tabs>
        <w:kinsoku/>
        <w:wordWrap/>
        <w:overflowPunct/>
        <w:topLinePunct w:val="0"/>
        <w:bidi w:val="0"/>
        <w:snapToGrid/>
        <w:spacing w:line="560" w:lineRule="exact"/>
        <w:ind w:firstLine="548" w:firstLineChars="196"/>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keepNext w:val="0"/>
        <w:keepLines w:val="0"/>
        <w:pageBreakBefore w:val="0"/>
        <w:tabs>
          <w:tab w:val="center" w:pos="6979"/>
        </w:tabs>
        <w:kinsoku/>
        <w:wordWrap/>
        <w:overflowPunct/>
        <w:topLinePunct w:val="0"/>
        <w:bidi w:val="0"/>
        <w:snapToGrid/>
        <w:spacing w:line="560" w:lineRule="exact"/>
        <w:ind w:firstLine="57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年度财政拨款收、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1862.45</w:t>
      </w:r>
      <w:r>
        <w:rPr>
          <w:rFonts w:hint="eastAsia" w:ascii="仿宋_GB2312" w:eastAsia="仿宋_GB2312"/>
          <w:sz w:val="28"/>
          <w:szCs w:val="28"/>
        </w:rPr>
        <w:t>万元，比上年</w:t>
      </w:r>
      <w:r>
        <w:rPr>
          <w:rFonts w:ascii="仿宋_GB2312" w:eastAsia="仿宋_GB2312"/>
          <w:sz w:val="28"/>
          <w:szCs w:val="28"/>
        </w:rPr>
        <w:t>增加</w:t>
      </w:r>
      <w:r>
        <w:rPr>
          <w:rFonts w:hint="eastAsia" w:ascii="仿宋_GB2312" w:eastAsia="仿宋_GB2312"/>
          <w:sz w:val="28"/>
          <w:szCs w:val="28"/>
          <w:lang w:val="en-US" w:eastAsia="zh-CN"/>
        </w:rPr>
        <w:t>38.77</w:t>
      </w:r>
      <w:r>
        <w:rPr>
          <w:rFonts w:hint="eastAsia" w:ascii="仿宋_GB2312" w:eastAsia="仿宋_GB2312"/>
          <w:sz w:val="28"/>
          <w:szCs w:val="28"/>
        </w:rPr>
        <w:t>万元，增长</w:t>
      </w:r>
      <w:r>
        <w:rPr>
          <w:rFonts w:hint="eastAsia" w:ascii="仿宋_GB2312" w:eastAsia="仿宋_GB2312"/>
          <w:sz w:val="28"/>
          <w:szCs w:val="28"/>
          <w:lang w:val="en-US" w:eastAsia="zh-CN"/>
        </w:rPr>
        <w:t>2.13</w:t>
      </w:r>
      <w:r>
        <w:rPr>
          <w:rFonts w:hint="eastAsia" w:ascii="仿宋_GB2312" w:eastAsia="仿宋_GB2312"/>
          <w:sz w:val="28"/>
          <w:szCs w:val="28"/>
        </w:rPr>
        <w:t>%。主要原因：</w:t>
      </w:r>
      <w:r>
        <w:rPr>
          <w:rFonts w:hint="eastAsia" w:ascii="仿宋_GB2312" w:eastAsia="仿宋_GB2312"/>
          <w:sz w:val="28"/>
          <w:szCs w:val="28"/>
          <w:lang w:eastAsia="zh-CN"/>
        </w:rPr>
        <w:t>实有人数增加</w:t>
      </w:r>
      <w:r>
        <w:rPr>
          <w:rFonts w:hint="eastAsia" w:ascii="仿宋_GB2312" w:eastAsia="仿宋_GB2312"/>
          <w:sz w:val="28"/>
          <w:szCs w:val="28"/>
        </w:rPr>
        <w:t>。</w:t>
      </w:r>
    </w:p>
    <w:p>
      <w:pPr>
        <w:keepNext w:val="0"/>
        <w:keepLines w:val="0"/>
        <w:pageBreakBefore w:val="0"/>
        <w:tabs>
          <w:tab w:val="center" w:pos="6979"/>
        </w:tabs>
        <w:kinsoku/>
        <w:wordWrap/>
        <w:overflowPunct/>
        <w:topLinePunct w:val="0"/>
        <w:bidi w:val="0"/>
        <w:snapToGrid/>
        <w:spacing w:line="560" w:lineRule="exact"/>
        <w:ind w:firstLine="548" w:firstLineChars="196"/>
        <w:rPr>
          <w:rFonts w:hint="eastAsia" w:ascii="黑体" w:eastAsia="黑体"/>
          <w:b/>
          <w:sz w:val="28"/>
          <w:szCs w:val="28"/>
        </w:rPr>
      </w:pPr>
      <w:r>
        <w:rPr>
          <w:rFonts w:hint="eastAsia" w:ascii="黑体" w:eastAsia="黑体"/>
          <w:b/>
          <w:sz w:val="28"/>
          <w:szCs w:val="28"/>
        </w:rPr>
        <w:t>四、一般公共预算财政拨款支出决算情况说明</w:t>
      </w:r>
    </w:p>
    <w:p>
      <w:pPr>
        <w:keepNext w:val="0"/>
        <w:keepLines w:val="0"/>
        <w:pageBreakBefore w:val="0"/>
        <w:kinsoku/>
        <w:wordWrap/>
        <w:overflowPunct/>
        <w:topLinePunct w:val="0"/>
        <w:autoSpaceDE w:val="0"/>
        <w:autoSpaceDN w:val="0"/>
        <w:bidi w:val="0"/>
        <w:adjustRightInd w:val="0"/>
        <w:snapToGrid/>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keepNext w:val="0"/>
        <w:keepLines w:val="0"/>
        <w:pageBreakBefore w:val="0"/>
        <w:tabs>
          <w:tab w:val="center" w:pos="6979"/>
        </w:tabs>
        <w:kinsoku/>
        <w:wordWrap/>
        <w:overflowPunct/>
        <w:topLinePunct w:val="0"/>
        <w:bidi w:val="0"/>
        <w:snapToGrid/>
        <w:spacing w:line="560" w:lineRule="exact"/>
        <w:ind w:firstLine="560" w:firstLineChars="200"/>
        <w:rPr>
          <w:rFonts w:hint="eastAsia"/>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年度一般公共预算财政拨款支出</w:t>
      </w:r>
      <w:r>
        <w:rPr>
          <w:rFonts w:hint="eastAsia" w:ascii="仿宋_GB2312" w:eastAsia="仿宋_GB2312"/>
          <w:sz w:val="28"/>
          <w:szCs w:val="28"/>
          <w:lang w:val="en-US" w:eastAsia="zh-CN"/>
        </w:rPr>
        <w:t>1832.47</w:t>
      </w:r>
      <w:r>
        <w:rPr>
          <w:rFonts w:hint="eastAsia" w:ascii="仿宋_GB2312" w:eastAsia="仿宋_GB2312"/>
          <w:sz w:val="28"/>
          <w:szCs w:val="28"/>
        </w:rPr>
        <w:t>万元，主要用于以下方面（按大类）：一般公共服务支出</w:t>
      </w:r>
      <w:r>
        <w:rPr>
          <w:rFonts w:hint="eastAsia" w:ascii="仿宋_GB2312" w:eastAsia="仿宋_GB2312"/>
          <w:sz w:val="28"/>
          <w:szCs w:val="28"/>
          <w:lang w:val="en-US" w:eastAsia="zh-CN"/>
        </w:rPr>
        <w:t>1402.01</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76.51</w:t>
      </w:r>
      <w:r>
        <w:rPr>
          <w:rFonts w:hint="eastAsia" w:ascii="仿宋_GB2312" w:eastAsia="仿宋_GB2312"/>
          <w:sz w:val="28"/>
          <w:szCs w:val="28"/>
        </w:rPr>
        <w:t>%；社会保障和就业支出</w:t>
      </w:r>
      <w:r>
        <w:rPr>
          <w:rFonts w:hint="eastAsia" w:ascii="仿宋_GB2312" w:eastAsia="仿宋_GB2312"/>
          <w:sz w:val="28"/>
          <w:szCs w:val="28"/>
          <w:lang w:val="en-US" w:eastAsia="zh-CN"/>
        </w:rPr>
        <w:t>189.82</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10.36</w:t>
      </w:r>
      <w:r>
        <w:rPr>
          <w:rFonts w:hint="eastAsia" w:ascii="仿宋_GB2312" w:eastAsia="仿宋_GB2312"/>
          <w:sz w:val="28"/>
          <w:szCs w:val="28"/>
        </w:rPr>
        <w:t>%；住房保障支出</w:t>
      </w:r>
      <w:r>
        <w:rPr>
          <w:rFonts w:hint="eastAsia" w:ascii="仿宋_GB2312" w:eastAsia="仿宋_GB2312"/>
          <w:sz w:val="28"/>
          <w:szCs w:val="28"/>
          <w:lang w:val="en-US" w:eastAsia="zh-CN"/>
        </w:rPr>
        <w:t>240.64</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13.13</w:t>
      </w:r>
      <w:r>
        <w:rPr>
          <w:rFonts w:hint="eastAsia" w:ascii="仿宋_GB2312" w:eastAsia="仿宋_GB2312"/>
          <w:sz w:val="28"/>
          <w:szCs w:val="28"/>
        </w:rPr>
        <w:t>%。</w:t>
      </w:r>
    </w:p>
    <w:p>
      <w:pPr>
        <w:keepNext w:val="0"/>
        <w:keepLines w:val="0"/>
        <w:pageBreakBefore w:val="0"/>
        <w:kinsoku/>
        <w:wordWrap/>
        <w:overflowPunct/>
        <w:topLinePunct w:val="0"/>
        <w:autoSpaceDE w:val="0"/>
        <w:autoSpaceDN w:val="0"/>
        <w:bidi w:val="0"/>
        <w:adjustRightInd w:val="0"/>
        <w:snapToGrid/>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1、“一般公共服务支出”（类）202</w:t>
      </w:r>
      <w:r>
        <w:rPr>
          <w:rFonts w:hint="eastAsia" w:ascii="仿宋_GB2312" w:eastAsia="仿宋_GB2312"/>
          <w:sz w:val="28"/>
          <w:szCs w:val="28"/>
          <w:lang w:val="en-US" w:eastAsia="zh-CN"/>
        </w:rPr>
        <w:t>1</w:t>
      </w:r>
      <w:r>
        <w:rPr>
          <w:rFonts w:hint="eastAsia" w:ascii="仿宋_GB2312" w:eastAsia="仿宋_GB2312"/>
          <w:sz w:val="28"/>
          <w:szCs w:val="28"/>
        </w:rPr>
        <w:t>年度决算</w:t>
      </w:r>
      <w:r>
        <w:rPr>
          <w:rFonts w:hint="eastAsia" w:ascii="仿宋_GB2312" w:eastAsia="仿宋_GB2312"/>
          <w:sz w:val="28"/>
          <w:szCs w:val="28"/>
          <w:lang w:val="en-US" w:eastAsia="zh-CN"/>
        </w:rPr>
        <w:t>1402.01</w:t>
      </w:r>
      <w:r>
        <w:rPr>
          <w:rFonts w:hint="eastAsia" w:ascii="仿宋_GB2312" w:eastAsia="仿宋_GB2312"/>
          <w:sz w:val="28"/>
          <w:szCs w:val="28"/>
        </w:rPr>
        <w:t>万元，比202</w:t>
      </w:r>
      <w:r>
        <w:rPr>
          <w:rFonts w:hint="eastAsia" w:ascii="仿宋_GB2312" w:eastAsia="仿宋_GB2312"/>
          <w:sz w:val="28"/>
          <w:szCs w:val="28"/>
          <w:lang w:val="en-US" w:eastAsia="zh-CN"/>
        </w:rPr>
        <w:t>1</w:t>
      </w:r>
      <w:r>
        <w:rPr>
          <w:rFonts w:hint="eastAsia" w:ascii="仿宋_GB2312" w:eastAsia="仿宋_GB2312"/>
          <w:sz w:val="28"/>
          <w:szCs w:val="28"/>
        </w:rPr>
        <w:t>年年初预算减少</w:t>
      </w:r>
      <w:r>
        <w:rPr>
          <w:rFonts w:hint="eastAsia" w:ascii="仿宋_GB2312" w:eastAsia="仿宋_GB2312"/>
          <w:sz w:val="28"/>
          <w:szCs w:val="28"/>
          <w:lang w:val="en-US" w:eastAsia="zh-CN"/>
        </w:rPr>
        <w:t>144.05</w:t>
      </w:r>
      <w:r>
        <w:rPr>
          <w:rFonts w:hint="eastAsia" w:ascii="仿宋_GB2312" w:eastAsia="仿宋_GB2312"/>
          <w:sz w:val="28"/>
          <w:szCs w:val="28"/>
        </w:rPr>
        <w:t>万元，下降</w:t>
      </w:r>
      <w:r>
        <w:rPr>
          <w:rFonts w:hint="eastAsia" w:ascii="仿宋_GB2312" w:eastAsia="仿宋_GB2312"/>
          <w:sz w:val="28"/>
          <w:szCs w:val="28"/>
          <w:lang w:val="en-US" w:eastAsia="zh-CN"/>
        </w:rPr>
        <w:t>9.32</w:t>
      </w:r>
      <w:r>
        <w:rPr>
          <w:rFonts w:hint="eastAsia" w:ascii="仿宋_GB2312" w:eastAsia="仿宋_GB2312"/>
          <w:sz w:val="28"/>
          <w:szCs w:val="28"/>
        </w:rPr>
        <w:t>%。其中：</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“政府办公厅（室）及相关机构事务”202</w:t>
      </w:r>
      <w:r>
        <w:rPr>
          <w:rFonts w:hint="eastAsia" w:ascii="仿宋_GB2312" w:eastAsia="仿宋_GB2312"/>
          <w:sz w:val="28"/>
          <w:szCs w:val="28"/>
          <w:lang w:val="en-US" w:eastAsia="zh-CN"/>
        </w:rPr>
        <w:t>1</w:t>
      </w:r>
      <w:r>
        <w:rPr>
          <w:rFonts w:hint="eastAsia" w:ascii="仿宋_GB2312" w:eastAsia="仿宋_GB2312"/>
          <w:sz w:val="28"/>
          <w:szCs w:val="28"/>
        </w:rPr>
        <w:t>年度决算</w:t>
      </w:r>
      <w:r>
        <w:rPr>
          <w:rFonts w:hint="eastAsia" w:ascii="仿宋_GB2312" w:eastAsia="仿宋_GB2312"/>
          <w:sz w:val="28"/>
          <w:szCs w:val="28"/>
          <w:lang w:val="en-US" w:eastAsia="zh-CN"/>
        </w:rPr>
        <w:t>1399.89</w:t>
      </w:r>
      <w:r>
        <w:rPr>
          <w:rFonts w:hint="eastAsia" w:ascii="仿宋_GB2312" w:eastAsia="仿宋_GB2312"/>
          <w:sz w:val="28"/>
          <w:szCs w:val="28"/>
        </w:rPr>
        <w:t>万元，比202</w:t>
      </w:r>
      <w:r>
        <w:rPr>
          <w:rFonts w:hint="eastAsia" w:ascii="仿宋_GB2312" w:eastAsia="仿宋_GB2312"/>
          <w:sz w:val="28"/>
          <w:szCs w:val="28"/>
          <w:lang w:val="en-US" w:eastAsia="zh-CN"/>
        </w:rPr>
        <w:t>1</w:t>
      </w:r>
      <w:r>
        <w:rPr>
          <w:rFonts w:hint="eastAsia" w:ascii="仿宋_GB2312" w:eastAsia="仿宋_GB2312"/>
          <w:sz w:val="28"/>
          <w:szCs w:val="28"/>
        </w:rPr>
        <w:t>年年初预算减少</w:t>
      </w:r>
      <w:r>
        <w:rPr>
          <w:rFonts w:hint="eastAsia" w:ascii="仿宋_GB2312" w:eastAsia="仿宋_GB2312"/>
          <w:sz w:val="28"/>
          <w:szCs w:val="28"/>
          <w:lang w:val="en-US" w:eastAsia="zh-CN"/>
        </w:rPr>
        <w:t>65.1</w:t>
      </w:r>
      <w:r>
        <w:rPr>
          <w:rFonts w:hint="eastAsia" w:ascii="仿宋_GB2312" w:eastAsia="仿宋_GB2312"/>
          <w:sz w:val="28"/>
          <w:szCs w:val="28"/>
        </w:rPr>
        <w:t>万元，减少</w:t>
      </w:r>
      <w:r>
        <w:rPr>
          <w:rFonts w:hint="eastAsia" w:ascii="仿宋_GB2312" w:eastAsia="仿宋_GB2312"/>
          <w:sz w:val="28"/>
          <w:szCs w:val="28"/>
          <w:lang w:val="en-US" w:eastAsia="zh-CN"/>
        </w:rPr>
        <w:t>4.44</w:t>
      </w:r>
      <w:r>
        <w:rPr>
          <w:rFonts w:hint="eastAsia" w:ascii="仿宋_GB2312" w:eastAsia="仿宋_GB2312"/>
          <w:sz w:val="28"/>
          <w:szCs w:val="28"/>
        </w:rPr>
        <w:t>%。主要原因：</w:t>
      </w:r>
      <w:r>
        <w:rPr>
          <w:rFonts w:hint="eastAsia" w:ascii="仿宋_GB2312" w:eastAsia="仿宋_GB2312"/>
          <w:sz w:val="28"/>
          <w:szCs w:val="28"/>
          <w:lang w:eastAsia="zh-CN"/>
        </w:rPr>
        <w:t>项目减少</w:t>
      </w:r>
      <w:r>
        <w:rPr>
          <w:rFonts w:hint="eastAsia" w:ascii="仿宋_GB2312" w:eastAsia="仿宋_GB2312"/>
          <w:sz w:val="28"/>
          <w:szCs w:val="28"/>
        </w:rPr>
        <w:t>。</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“组织事务”202</w:t>
      </w:r>
      <w:r>
        <w:rPr>
          <w:rFonts w:hint="eastAsia" w:ascii="仿宋_GB2312" w:eastAsia="仿宋_GB2312"/>
          <w:sz w:val="28"/>
          <w:szCs w:val="28"/>
          <w:lang w:val="en-US" w:eastAsia="zh-CN"/>
        </w:rPr>
        <w:t>1</w:t>
      </w:r>
      <w:r>
        <w:rPr>
          <w:rFonts w:hint="eastAsia" w:ascii="仿宋_GB2312" w:eastAsia="仿宋_GB2312"/>
          <w:sz w:val="28"/>
          <w:szCs w:val="28"/>
        </w:rPr>
        <w:t>年度决算2.1</w:t>
      </w:r>
      <w:r>
        <w:rPr>
          <w:rFonts w:hint="eastAsia" w:ascii="仿宋_GB2312" w:eastAsia="仿宋_GB2312"/>
          <w:sz w:val="28"/>
          <w:szCs w:val="28"/>
          <w:lang w:val="en-US" w:eastAsia="zh-CN"/>
        </w:rPr>
        <w:t>2</w:t>
      </w:r>
      <w:r>
        <w:rPr>
          <w:rFonts w:hint="eastAsia" w:ascii="仿宋_GB2312" w:eastAsia="仿宋_GB2312"/>
          <w:sz w:val="28"/>
          <w:szCs w:val="28"/>
        </w:rPr>
        <w:t>万元，比202</w:t>
      </w:r>
      <w:r>
        <w:rPr>
          <w:rFonts w:hint="eastAsia" w:ascii="仿宋_GB2312" w:eastAsia="仿宋_GB2312"/>
          <w:sz w:val="28"/>
          <w:szCs w:val="28"/>
          <w:lang w:val="en-US" w:eastAsia="zh-CN"/>
        </w:rPr>
        <w:t>1</w:t>
      </w:r>
      <w:r>
        <w:rPr>
          <w:rFonts w:hint="eastAsia" w:ascii="仿宋_GB2312" w:eastAsia="仿宋_GB2312"/>
          <w:sz w:val="28"/>
          <w:szCs w:val="28"/>
        </w:rPr>
        <w:t>年年初预算增加2.1</w:t>
      </w:r>
      <w:r>
        <w:rPr>
          <w:rFonts w:hint="eastAsia" w:ascii="仿宋_GB2312" w:eastAsia="仿宋_GB2312"/>
          <w:sz w:val="28"/>
          <w:szCs w:val="28"/>
          <w:lang w:val="en-US" w:eastAsia="zh-CN"/>
        </w:rPr>
        <w:t>2</w:t>
      </w:r>
      <w:r>
        <w:rPr>
          <w:rFonts w:hint="eastAsia" w:ascii="仿宋_GB2312" w:eastAsia="仿宋_GB2312"/>
          <w:sz w:val="28"/>
          <w:szCs w:val="28"/>
        </w:rPr>
        <w:t>万元，增加100%。主要原因：使用的是上年结转结余资金。</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2、“教育支出”202</w:t>
      </w:r>
      <w:r>
        <w:rPr>
          <w:rFonts w:hint="eastAsia" w:ascii="仿宋_GB2312" w:eastAsia="仿宋_GB2312"/>
          <w:sz w:val="28"/>
          <w:szCs w:val="28"/>
          <w:lang w:val="en-US" w:eastAsia="zh-CN"/>
        </w:rPr>
        <w:t>1</w:t>
      </w:r>
      <w:r>
        <w:rPr>
          <w:rFonts w:hint="eastAsia" w:ascii="仿宋_GB2312" w:eastAsia="仿宋_GB2312"/>
          <w:sz w:val="28"/>
          <w:szCs w:val="28"/>
        </w:rPr>
        <w:t>年度决算0万元，比202</w:t>
      </w:r>
      <w:r>
        <w:rPr>
          <w:rFonts w:hint="eastAsia" w:ascii="仿宋_GB2312" w:eastAsia="仿宋_GB2312"/>
          <w:sz w:val="28"/>
          <w:szCs w:val="28"/>
          <w:lang w:val="en-US" w:eastAsia="zh-CN"/>
        </w:rPr>
        <w:t>1</w:t>
      </w:r>
      <w:r>
        <w:rPr>
          <w:rFonts w:hint="eastAsia" w:ascii="仿宋_GB2312" w:eastAsia="仿宋_GB2312"/>
          <w:sz w:val="28"/>
          <w:szCs w:val="28"/>
        </w:rPr>
        <w:t>年年初预算减少</w:t>
      </w:r>
      <w:r>
        <w:rPr>
          <w:rFonts w:hint="eastAsia" w:ascii="仿宋_GB2312" w:eastAsia="仿宋_GB2312"/>
          <w:sz w:val="28"/>
          <w:szCs w:val="28"/>
          <w:lang w:val="en-US" w:eastAsia="zh-CN"/>
        </w:rPr>
        <w:t>2.03</w:t>
      </w:r>
      <w:r>
        <w:rPr>
          <w:rFonts w:hint="eastAsia" w:ascii="仿宋_GB2312" w:eastAsia="仿宋_GB2312"/>
          <w:sz w:val="28"/>
          <w:szCs w:val="28"/>
        </w:rPr>
        <w:t>万元，减少100%。主要原因：疫情原因没有外聘老师开展培训。</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3、“社会保障和就业支出”（类）202</w:t>
      </w:r>
      <w:r>
        <w:rPr>
          <w:rFonts w:hint="eastAsia" w:ascii="仿宋_GB2312" w:eastAsia="仿宋_GB2312"/>
          <w:sz w:val="28"/>
          <w:szCs w:val="28"/>
          <w:lang w:val="en-US" w:eastAsia="zh-CN"/>
        </w:rPr>
        <w:t>1</w:t>
      </w:r>
      <w:r>
        <w:rPr>
          <w:rFonts w:hint="eastAsia" w:ascii="仿宋_GB2312" w:eastAsia="仿宋_GB2312"/>
          <w:sz w:val="28"/>
          <w:szCs w:val="28"/>
        </w:rPr>
        <w:t>年度决算</w:t>
      </w:r>
      <w:r>
        <w:rPr>
          <w:rFonts w:hint="eastAsia" w:ascii="仿宋_GB2312" w:eastAsia="仿宋_GB2312"/>
          <w:sz w:val="28"/>
          <w:szCs w:val="28"/>
          <w:lang w:val="en-US" w:eastAsia="zh-CN"/>
        </w:rPr>
        <w:t>189.82</w:t>
      </w:r>
      <w:r>
        <w:rPr>
          <w:rFonts w:hint="eastAsia" w:ascii="仿宋_GB2312" w:eastAsia="仿宋_GB2312"/>
          <w:sz w:val="28"/>
          <w:szCs w:val="28"/>
        </w:rPr>
        <w:t>万元，比202</w:t>
      </w:r>
      <w:r>
        <w:rPr>
          <w:rFonts w:hint="eastAsia" w:ascii="仿宋_GB2312" w:eastAsia="仿宋_GB2312"/>
          <w:sz w:val="28"/>
          <w:szCs w:val="28"/>
          <w:lang w:val="en-US" w:eastAsia="zh-CN"/>
        </w:rPr>
        <w:t>1</w:t>
      </w:r>
      <w:r>
        <w:rPr>
          <w:rFonts w:hint="eastAsia" w:ascii="仿宋_GB2312" w:eastAsia="仿宋_GB2312"/>
          <w:sz w:val="28"/>
          <w:szCs w:val="28"/>
        </w:rPr>
        <w:t>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9.43</w:t>
      </w:r>
      <w:r>
        <w:rPr>
          <w:rFonts w:hint="eastAsia" w:ascii="仿宋_GB2312" w:eastAsia="仿宋_GB2312"/>
          <w:sz w:val="28"/>
          <w:szCs w:val="28"/>
        </w:rPr>
        <w:t>万元，</w:t>
      </w:r>
      <w:r>
        <w:rPr>
          <w:rFonts w:hint="eastAsia" w:ascii="仿宋_GB2312" w:eastAsia="仿宋_GB2312"/>
          <w:sz w:val="28"/>
          <w:szCs w:val="28"/>
          <w:lang w:eastAsia="zh-CN"/>
        </w:rPr>
        <w:t>增加</w:t>
      </w:r>
      <w:r>
        <w:rPr>
          <w:rFonts w:hint="eastAsia" w:ascii="仿宋_GB2312" w:eastAsia="仿宋_GB2312"/>
          <w:sz w:val="28"/>
          <w:szCs w:val="28"/>
          <w:lang w:val="en-US" w:eastAsia="zh-CN"/>
        </w:rPr>
        <w:t>5.23</w:t>
      </w:r>
      <w:r>
        <w:rPr>
          <w:rFonts w:hint="eastAsia" w:ascii="仿宋_GB2312" w:eastAsia="仿宋_GB2312"/>
          <w:sz w:val="28"/>
          <w:szCs w:val="28"/>
        </w:rPr>
        <w:t>%。主要原因：实有人数</w:t>
      </w:r>
      <w:r>
        <w:rPr>
          <w:rFonts w:hint="eastAsia" w:ascii="仿宋_GB2312" w:eastAsia="仿宋_GB2312"/>
          <w:sz w:val="28"/>
          <w:szCs w:val="28"/>
          <w:lang w:eastAsia="zh-CN"/>
        </w:rPr>
        <w:t>增加</w:t>
      </w:r>
      <w:r>
        <w:rPr>
          <w:rFonts w:hint="eastAsia" w:ascii="仿宋_GB2312" w:eastAsia="仿宋_GB2312"/>
          <w:sz w:val="28"/>
          <w:szCs w:val="28"/>
        </w:rPr>
        <w:t>。</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4、“住房保障支出”（类）202</w:t>
      </w:r>
      <w:r>
        <w:rPr>
          <w:rFonts w:hint="eastAsia" w:ascii="仿宋_GB2312" w:eastAsia="仿宋_GB2312"/>
          <w:sz w:val="28"/>
          <w:szCs w:val="28"/>
          <w:lang w:val="en-US" w:eastAsia="zh-CN"/>
        </w:rPr>
        <w:t>1</w:t>
      </w:r>
      <w:r>
        <w:rPr>
          <w:rFonts w:hint="eastAsia" w:ascii="仿宋_GB2312" w:eastAsia="仿宋_GB2312"/>
          <w:sz w:val="28"/>
          <w:szCs w:val="28"/>
        </w:rPr>
        <w:t>年度决算</w:t>
      </w:r>
      <w:r>
        <w:rPr>
          <w:rFonts w:hint="eastAsia" w:ascii="仿宋_GB2312" w:eastAsia="仿宋_GB2312"/>
          <w:sz w:val="28"/>
          <w:szCs w:val="28"/>
          <w:lang w:val="en-US" w:eastAsia="zh-CN"/>
        </w:rPr>
        <w:t>240.64</w:t>
      </w:r>
      <w:r>
        <w:rPr>
          <w:rFonts w:hint="eastAsia" w:ascii="仿宋_GB2312" w:eastAsia="仿宋_GB2312"/>
          <w:sz w:val="28"/>
          <w:szCs w:val="28"/>
        </w:rPr>
        <w:t>万元，比202</w:t>
      </w:r>
      <w:r>
        <w:rPr>
          <w:rFonts w:hint="eastAsia" w:ascii="仿宋_GB2312" w:eastAsia="仿宋_GB2312"/>
          <w:sz w:val="28"/>
          <w:szCs w:val="28"/>
          <w:lang w:val="en-US" w:eastAsia="zh-CN"/>
        </w:rPr>
        <w:t>1</w:t>
      </w:r>
      <w:r>
        <w:rPr>
          <w:rFonts w:hint="eastAsia" w:ascii="仿宋_GB2312" w:eastAsia="仿宋_GB2312"/>
          <w:sz w:val="28"/>
          <w:szCs w:val="28"/>
        </w:rPr>
        <w:t>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8.15</w:t>
      </w:r>
      <w:r>
        <w:rPr>
          <w:rFonts w:hint="eastAsia" w:ascii="仿宋_GB2312" w:eastAsia="仿宋_GB2312"/>
          <w:sz w:val="28"/>
          <w:szCs w:val="28"/>
        </w:rPr>
        <w:t>万元，</w:t>
      </w:r>
      <w:r>
        <w:rPr>
          <w:rFonts w:hint="eastAsia" w:ascii="仿宋_GB2312" w:eastAsia="仿宋_GB2312"/>
          <w:sz w:val="28"/>
          <w:szCs w:val="28"/>
          <w:lang w:eastAsia="zh-CN"/>
        </w:rPr>
        <w:t>增加</w:t>
      </w:r>
      <w:r>
        <w:rPr>
          <w:rFonts w:hint="eastAsia" w:ascii="仿宋_GB2312" w:eastAsia="仿宋_GB2312"/>
          <w:sz w:val="28"/>
          <w:szCs w:val="28"/>
          <w:lang w:val="en-US" w:eastAsia="zh-CN"/>
        </w:rPr>
        <w:t>3.51</w:t>
      </w:r>
      <w:r>
        <w:rPr>
          <w:rFonts w:hint="eastAsia" w:ascii="仿宋_GB2312" w:eastAsia="仿宋_GB2312"/>
          <w:sz w:val="28"/>
          <w:szCs w:val="28"/>
        </w:rPr>
        <w:t>%。主要原因：实有人数</w:t>
      </w:r>
      <w:r>
        <w:rPr>
          <w:rFonts w:hint="eastAsia" w:ascii="仿宋_GB2312" w:eastAsia="仿宋_GB2312"/>
          <w:sz w:val="28"/>
          <w:szCs w:val="28"/>
          <w:lang w:eastAsia="zh-CN"/>
        </w:rPr>
        <w:t>增加</w:t>
      </w:r>
      <w:r>
        <w:rPr>
          <w:rFonts w:hint="eastAsia" w:ascii="仿宋_GB2312" w:eastAsia="仿宋_GB2312"/>
          <w:sz w:val="28"/>
          <w:szCs w:val="28"/>
        </w:rPr>
        <w:t>。</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黑体" w:eastAsia="黑体"/>
          <w:b/>
          <w:sz w:val="28"/>
          <w:szCs w:val="28"/>
        </w:rPr>
        <w:t>五、政府性基金预算财政拨款支出决算情况说明</w:t>
      </w:r>
    </w:p>
    <w:p>
      <w:pPr>
        <w:keepNext w:val="0"/>
        <w:keepLines w:val="0"/>
        <w:pageBreakBefore w:val="0"/>
        <w:kinsoku/>
        <w:wordWrap/>
        <w:overflowPunct/>
        <w:topLinePunct w:val="0"/>
        <w:bidi w:val="0"/>
        <w:snapToGrid/>
        <w:spacing w:line="560" w:lineRule="exact"/>
        <w:ind w:firstLine="560" w:firstLineChars="200"/>
        <w:rPr>
          <w:rFonts w:ascii="仿宋_GB2312" w:eastAsia="仿宋_GB2312"/>
          <w:sz w:val="28"/>
          <w:szCs w:val="28"/>
        </w:rPr>
      </w:pPr>
      <w:r>
        <w:rPr>
          <w:rFonts w:hint="eastAsia" w:ascii="仿宋_GB2312" w:eastAsia="仿宋_GB2312"/>
          <w:sz w:val="28"/>
          <w:szCs w:val="28"/>
        </w:rPr>
        <w:t>本年度无此项支出”</w:t>
      </w:r>
    </w:p>
    <w:p>
      <w:pPr>
        <w:keepNext w:val="0"/>
        <w:keepLines w:val="0"/>
        <w:pageBreakBefore w:val="0"/>
        <w:kinsoku/>
        <w:wordWrap/>
        <w:overflowPunct/>
        <w:topLinePunct w:val="0"/>
        <w:bidi w:val="0"/>
        <w:snapToGrid/>
        <w:spacing w:line="560" w:lineRule="exact"/>
        <w:ind w:firstLine="548" w:firstLineChars="196"/>
        <w:rPr>
          <w:rFonts w:hint="eastAsia" w:ascii="黑体" w:eastAsia="黑体"/>
          <w:sz w:val="28"/>
          <w:szCs w:val="28"/>
        </w:rPr>
      </w:pPr>
      <w:r>
        <w:rPr>
          <w:rFonts w:hint="eastAsia" w:ascii="黑体" w:eastAsia="黑体"/>
          <w:b/>
          <w:sz w:val="28"/>
          <w:szCs w:val="28"/>
        </w:rPr>
        <w:t>六、财政拨款基本支出决算情况说明</w:t>
      </w:r>
    </w:p>
    <w:p>
      <w:pPr>
        <w:keepNext w:val="0"/>
        <w:keepLines w:val="0"/>
        <w:pageBreakBefore w:val="0"/>
        <w:tabs>
          <w:tab w:val="center" w:pos="6979"/>
        </w:tabs>
        <w:kinsoku/>
        <w:wordWrap/>
        <w:overflowPunct/>
        <w:topLinePunct w:val="0"/>
        <w:bidi w:val="0"/>
        <w:snapToGrid/>
        <w:spacing w:line="560" w:lineRule="exact"/>
        <w:ind w:firstLine="548" w:firstLineChars="196"/>
        <w:rPr>
          <w:rFonts w:hint="eastAsia" w:ascii="宋体" w:hAnsi="宋体"/>
          <w:b/>
          <w:spacing w:val="40"/>
          <w:sz w:val="32"/>
          <w:szCs w:val="32"/>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年使用一般公共预算财政拨款安排基本支出</w:t>
      </w:r>
      <w:r>
        <w:rPr>
          <w:rFonts w:hint="eastAsia" w:ascii="仿宋_GB2312" w:eastAsia="仿宋_GB2312"/>
          <w:sz w:val="28"/>
          <w:szCs w:val="28"/>
          <w:lang w:val="en-US" w:eastAsia="zh-CN"/>
        </w:rPr>
        <w:t>1583.68</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keepNext w:val="0"/>
        <w:keepLines w:val="0"/>
        <w:pageBreakBefore w:val="0"/>
        <w:tabs>
          <w:tab w:val="center" w:pos="6979"/>
        </w:tabs>
        <w:kinsoku/>
        <w:wordWrap/>
        <w:overflowPunct/>
        <w:topLinePunct w:val="0"/>
        <w:bidi w:val="0"/>
        <w:snapToGrid/>
        <w:spacing w:line="560" w:lineRule="exact"/>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w:t>
      </w:r>
      <w:r>
        <w:rPr>
          <w:rFonts w:hint="eastAsia" w:ascii="宋体" w:hAnsi="宋体" w:cs="宋体"/>
          <w:b/>
          <w:spacing w:val="40"/>
          <w:kern w:val="0"/>
          <w:sz w:val="32"/>
          <w:szCs w:val="32"/>
        </w:rPr>
        <w:t>其他重要事项的情况说明</w:t>
      </w:r>
    </w:p>
    <w:p>
      <w:pPr>
        <w:keepNext w:val="0"/>
        <w:keepLines w:val="0"/>
        <w:pageBreakBefore w:val="0"/>
        <w:kinsoku/>
        <w:wordWrap/>
        <w:overflowPunct/>
        <w:topLinePunct w:val="0"/>
        <w:bidi w:val="0"/>
        <w:snapToGrid/>
        <w:spacing w:line="560" w:lineRule="exact"/>
        <w:ind w:firstLine="560" w:firstLineChars="200"/>
        <w:rPr>
          <w:rFonts w:hint="eastAsia" w:ascii="黑体" w:eastAsia="黑体"/>
          <w:sz w:val="28"/>
          <w:szCs w:val="28"/>
        </w:rPr>
      </w:pPr>
      <w:r>
        <w:rPr>
          <w:rFonts w:hint="eastAsia" w:ascii="黑体" w:eastAsia="黑体"/>
          <w:sz w:val="28"/>
          <w:szCs w:val="28"/>
        </w:rPr>
        <w:t>一、“三公”经费财政拨款决算情况</w:t>
      </w:r>
    </w:p>
    <w:p>
      <w:pPr>
        <w:keepNext w:val="0"/>
        <w:keepLines w:val="0"/>
        <w:pageBreakBefore w:val="0"/>
        <w:kinsoku/>
        <w:wordWrap/>
        <w:overflowPunct/>
        <w:topLinePunct w:val="0"/>
        <w:bidi w:val="0"/>
        <w:snapToGrid/>
        <w:spacing w:line="560" w:lineRule="exact"/>
        <w:ind w:firstLine="600"/>
        <w:rPr>
          <w:rFonts w:hint="eastAsia" w:ascii="仿宋_GB2312" w:eastAsia="仿宋_GB2312"/>
          <w:sz w:val="28"/>
          <w:szCs w:val="28"/>
        </w:rPr>
      </w:pPr>
      <w:r>
        <w:rPr>
          <w:rFonts w:hint="eastAsia" w:ascii="仿宋_GB2312" w:eastAsia="仿宋_GB2312"/>
          <w:sz w:val="28"/>
          <w:szCs w:val="28"/>
        </w:rPr>
        <w:t>“三公”经费包括本部门所属</w:t>
      </w:r>
      <w:r>
        <w:rPr>
          <w:rFonts w:hint="eastAsia" w:ascii="仿宋_GB2312" w:eastAsia="仿宋_GB2312"/>
          <w:bCs/>
          <w:sz w:val="28"/>
          <w:szCs w:val="28"/>
          <w:lang w:val="en-US" w:eastAsia="zh-CN"/>
        </w:rPr>
        <w:t>1</w:t>
      </w:r>
      <w:r>
        <w:rPr>
          <w:rFonts w:hint="eastAsia" w:ascii="仿宋_GB2312" w:eastAsia="仿宋_GB2312"/>
          <w:sz w:val="28"/>
          <w:szCs w:val="28"/>
        </w:rPr>
        <w:t>个行政单位。202</w:t>
      </w:r>
      <w:r>
        <w:rPr>
          <w:rFonts w:ascii="仿宋_GB2312" w:eastAsia="仿宋_GB2312"/>
          <w:sz w:val="28"/>
          <w:szCs w:val="28"/>
        </w:rPr>
        <w:t>1</w:t>
      </w:r>
      <w:r>
        <w:rPr>
          <w:rFonts w:hint="eastAsia" w:ascii="仿宋_GB2312" w:eastAsia="仿宋_GB2312"/>
          <w:sz w:val="28"/>
          <w:szCs w:val="28"/>
        </w:rPr>
        <w:t>年“三公”经费财政拨款决算数</w:t>
      </w:r>
      <w:r>
        <w:rPr>
          <w:rFonts w:hint="eastAsia" w:ascii="仿宋_GB2312" w:eastAsia="仿宋_GB2312"/>
          <w:sz w:val="28"/>
          <w:szCs w:val="28"/>
          <w:lang w:val="en-US" w:eastAsia="zh-CN"/>
        </w:rPr>
        <w:t>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年“三公”经费财政拨款年初预算</w:t>
      </w:r>
      <w:r>
        <w:rPr>
          <w:rFonts w:hint="eastAsia" w:ascii="仿宋_GB2312" w:eastAsia="仿宋_GB2312"/>
          <w:sz w:val="28"/>
          <w:szCs w:val="28"/>
          <w:lang w:val="en-US" w:eastAsia="zh-CN"/>
        </w:rPr>
        <w:t>0</w:t>
      </w:r>
      <w:r>
        <w:rPr>
          <w:rFonts w:hint="eastAsia" w:ascii="仿宋_GB2312" w:eastAsia="仿宋_GB2312"/>
          <w:sz w:val="28"/>
          <w:szCs w:val="28"/>
        </w:rPr>
        <w:t>万元增加（减少）</w:t>
      </w:r>
      <w:r>
        <w:rPr>
          <w:rFonts w:hint="eastAsia" w:ascii="仿宋_GB2312" w:eastAsia="仿宋_GB2312"/>
          <w:sz w:val="28"/>
          <w:szCs w:val="28"/>
          <w:lang w:val="en-US" w:eastAsia="zh-CN"/>
        </w:rPr>
        <w:t>0</w:t>
      </w:r>
      <w:r>
        <w:rPr>
          <w:rFonts w:hint="eastAsia" w:ascii="仿宋_GB2312" w:eastAsia="仿宋_GB2312"/>
          <w:sz w:val="28"/>
          <w:szCs w:val="28"/>
        </w:rPr>
        <w:t>万元。其中：</w:t>
      </w:r>
    </w:p>
    <w:p>
      <w:pPr>
        <w:keepNext w:val="0"/>
        <w:keepLines w:val="0"/>
        <w:pageBreakBefore w:val="0"/>
        <w:kinsoku/>
        <w:wordWrap/>
        <w:overflowPunct/>
        <w:topLinePunct w:val="0"/>
        <w:bidi w:val="0"/>
        <w:snapToGrid/>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0</w:t>
      </w:r>
      <w:r>
        <w:rPr>
          <w:rFonts w:hint="eastAsia" w:ascii="仿宋_GB2312" w:eastAsia="仿宋_GB2312"/>
          <w:sz w:val="28"/>
          <w:szCs w:val="28"/>
        </w:rPr>
        <w:t>万元。</w:t>
      </w:r>
    </w:p>
    <w:p>
      <w:pPr>
        <w:keepNext w:val="0"/>
        <w:keepLines w:val="0"/>
        <w:pageBreakBefore w:val="0"/>
        <w:kinsoku/>
        <w:wordWrap/>
        <w:overflowPunct/>
        <w:topLinePunct w:val="0"/>
        <w:bidi w:val="0"/>
        <w:snapToGrid/>
        <w:spacing w:line="560" w:lineRule="exact"/>
        <w:ind w:firstLine="600"/>
        <w:rPr>
          <w:rFonts w:hint="eastAsia" w:ascii="仿宋_GB2312" w:eastAsia="仿宋_GB2312"/>
          <w:sz w:val="28"/>
          <w:szCs w:val="28"/>
        </w:rPr>
      </w:pPr>
      <w:r>
        <w:rPr>
          <w:rFonts w:hint="eastAsia" w:ascii="仿宋_GB2312" w:eastAsia="仿宋_GB2312"/>
          <w:sz w:val="28"/>
          <w:szCs w:val="28"/>
        </w:rPr>
        <w:t>2.公务接待费。202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0</w:t>
      </w:r>
      <w:r>
        <w:rPr>
          <w:rFonts w:hint="eastAsia" w:ascii="仿宋_GB2312" w:eastAsia="仿宋_GB2312"/>
          <w:sz w:val="28"/>
          <w:szCs w:val="28"/>
        </w:rPr>
        <w:t>万元。</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3.公务用车购置及运行维护费。202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0</w:t>
      </w:r>
      <w:r>
        <w:rPr>
          <w:rFonts w:hint="eastAsia" w:ascii="仿宋_GB2312" w:eastAsia="仿宋_GB2312"/>
          <w:sz w:val="28"/>
          <w:szCs w:val="28"/>
        </w:rPr>
        <w:t>万元。202</w:t>
      </w:r>
      <w:r>
        <w:rPr>
          <w:rFonts w:ascii="仿宋_GB2312" w:eastAsia="仿宋_GB2312"/>
          <w:sz w:val="28"/>
          <w:szCs w:val="28"/>
        </w:rPr>
        <w:t>1</w:t>
      </w:r>
      <w:r>
        <w:rPr>
          <w:rFonts w:hint="eastAsia" w:ascii="仿宋_GB2312" w:eastAsia="仿宋_GB2312"/>
          <w:sz w:val="28"/>
          <w:szCs w:val="28"/>
        </w:rPr>
        <w:t>年公务用车保有量</w:t>
      </w:r>
      <w:r>
        <w:rPr>
          <w:rFonts w:hint="eastAsia" w:ascii="仿宋_GB2312" w:eastAsia="仿宋_GB2312"/>
          <w:sz w:val="28"/>
          <w:szCs w:val="28"/>
          <w:lang w:val="en-US" w:eastAsia="zh-CN"/>
        </w:rPr>
        <w:t>0</w:t>
      </w:r>
      <w:r>
        <w:rPr>
          <w:rFonts w:hint="eastAsia" w:ascii="仿宋_GB2312" w:eastAsia="仿宋_GB2312"/>
          <w:sz w:val="28"/>
          <w:szCs w:val="28"/>
        </w:rPr>
        <w:t>辆，车均运行维护费</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此项支出由机关事务管理服务中心统一核算，并由其公开。</w:t>
      </w:r>
    </w:p>
    <w:p>
      <w:pPr>
        <w:keepNext w:val="0"/>
        <w:keepLines w:val="0"/>
        <w:pageBreakBefore w:val="0"/>
        <w:tabs>
          <w:tab w:val="center" w:pos="6979"/>
        </w:tabs>
        <w:kinsoku/>
        <w:wordWrap/>
        <w:overflowPunct/>
        <w:topLinePunct w:val="0"/>
        <w:bidi w:val="0"/>
        <w:snapToGrid/>
        <w:spacing w:line="560" w:lineRule="exact"/>
        <w:ind w:firstLine="554" w:firstLineChars="198"/>
        <w:rPr>
          <w:rFonts w:hint="eastAsia" w:ascii="黑体" w:eastAsia="黑体"/>
          <w:sz w:val="28"/>
          <w:szCs w:val="28"/>
        </w:rPr>
      </w:pPr>
      <w:r>
        <w:rPr>
          <w:rFonts w:hint="eastAsia" w:ascii="黑体" w:eastAsia="黑体"/>
          <w:sz w:val="28"/>
          <w:szCs w:val="28"/>
        </w:rPr>
        <w:t>二、机关运行经费支出情况</w:t>
      </w:r>
    </w:p>
    <w:p>
      <w:pPr>
        <w:keepNext w:val="0"/>
        <w:keepLines w:val="0"/>
        <w:pageBreakBefore w:val="0"/>
        <w:kinsoku/>
        <w:wordWrap/>
        <w:overflowPunct/>
        <w:topLinePunct w:val="0"/>
        <w:bidi w:val="0"/>
        <w:snapToGrid/>
        <w:spacing w:line="560" w:lineRule="exact"/>
        <w:ind w:firstLine="537" w:firstLineChars="192"/>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年使用一般公共预算财政拨款安排的基本支出中的日常公用经费支出，合计</w:t>
      </w:r>
      <w:r>
        <w:rPr>
          <w:rFonts w:hint="eastAsia" w:ascii="仿宋_GB2312" w:eastAsia="仿宋_GB2312"/>
          <w:sz w:val="28"/>
          <w:szCs w:val="28"/>
          <w:lang w:val="en-US" w:eastAsia="zh-CN"/>
        </w:rPr>
        <w:t>138.53</w:t>
      </w:r>
      <w:r>
        <w:rPr>
          <w:rFonts w:hint="eastAsia" w:ascii="仿宋_GB2312" w:eastAsia="仿宋_GB2312"/>
          <w:sz w:val="28"/>
          <w:szCs w:val="28"/>
        </w:rPr>
        <w:t>万元，比上年增加</w:t>
      </w:r>
      <w:r>
        <w:rPr>
          <w:rFonts w:hint="eastAsia" w:ascii="仿宋_GB2312" w:eastAsia="仿宋_GB2312"/>
          <w:sz w:val="28"/>
          <w:szCs w:val="28"/>
          <w:lang w:val="en-US" w:eastAsia="zh-CN"/>
        </w:rPr>
        <w:t>47.76</w:t>
      </w:r>
      <w:r>
        <w:rPr>
          <w:rFonts w:hint="eastAsia" w:ascii="仿宋_GB2312" w:eastAsia="仿宋_GB2312"/>
          <w:sz w:val="28"/>
          <w:szCs w:val="28"/>
        </w:rPr>
        <w:t>万元，增加原因：</w:t>
      </w:r>
      <w:r>
        <w:rPr>
          <w:rFonts w:hint="eastAsia" w:ascii="仿宋_GB2312" w:eastAsia="仿宋_GB2312"/>
          <w:sz w:val="28"/>
          <w:szCs w:val="28"/>
          <w:lang w:eastAsia="zh-CN"/>
        </w:rPr>
        <w:t>实有人数增加</w:t>
      </w:r>
      <w:r>
        <w:rPr>
          <w:rFonts w:hint="eastAsia" w:ascii="仿宋_GB2312" w:eastAsia="仿宋_GB2312"/>
          <w:sz w:val="28"/>
          <w:szCs w:val="28"/>
        </w:rPr>
        <w:t>。</w:t>
      </w:r>
    </w:p>
    <w:p>
      <w:pPr>
        <w:keepNext w:val="0"/>
        <w:keepLines w:val="0"/>
        <w:pageBreakBefore w:val="0"/>
        <w:kinsoku/>
        <w:wordWrap/>
        <w:overflowPunct/>
        <w:topLinePunct w:val="0"/>
        <w:bidi w:val="0"/>
        <w:snapToGrid/>
        <w:spacing w:line="560" w:lineRule="exact"/>
        <w:ind w:left="540"/>
        <w:rPr>
          <w:rFonts w:hint="eastAsia" w:ascii="黑体" w:eastAsia="黑体"/>
          <w:sz w:val="28"/>
          <w:szCs w:val="28"/>
        </w:rPr>
      </w:pPr>
      <w:r>
        <w:rPr>
          <w:rFonts w:hint="eastAsia" w:ascii="黑体" w:eastAsia="黑体"/>
          <w:sz w:val="28"/>
          <w:szCs w:val="28"/>
        </w:rPr>
        <w:t>三、政府采购支出情况</w:t>
      </w:r>
    </w:p>
    <w:p>
      <w:pPr>
        <w:keepNext w:val="0"/>
        <w:keepLines w:val="0"/>
        <w:pageBreakBefore w:val="0"/>
        <w:kinsoku/>
        <w:wordWrap/>
        <w:overflowPunct/>
        <w:topLinePunct w:val="0"/>
        <w:bidi w:val="0"/>
        <w:snapToGrid/>
        <w:spacing w:line="560" w:lineRule="exact"/>
        <w:ind w:firstLine="537" w:firstLineChars="192"/>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年政府采购支出总额</w:t>
      </w:r>
      <w:r>
        <w:rPr>
          <w:rFonts w:hint="eastAsia" w:ascii="仿宋_GB2312" w:eastAsia="仿宋_GB2312"/>
          <w:sz w:val="28"/>
          <w:szCs w:val="28"/>
          <w:lang w:val="en-US" w:eastAsia="zh-CN"/>
        </w:rPr>
        <w:t>15.48</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14.27</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w:t>
      </w:r>
      <w:r>
        <w:rPr>
          <w:rFonts w:hint="eastAsia" w:ascii="仿宋_GB2312" w:eastAsia="仿宋_GB2312"/>
          <w:sz w:val="28"/>
          <w:szCs w:val="28"/>
        </w:rPr>
        <w:t>万元，政府采购服务支出</w:t>
      </w:r>
      <w:r>
        <w:rPr>
          <w:rFonts w:hint="eastAsia" w:ascii="仿宋_GB2312" w:eastAsia="仿宋_GB2312"/>
          <w:sz w:val="28"/>
          <w:szCs w:val="28"/>
          <w:lang w:val="en-US" w:eastAsia="zh-CN"/>
        </w:rPr>
        <w:t>1.21</w:t>
      </w:r>
      <w:r>
        <w:rPr>
          <w:rFonts w:hint="eastAsia" w:ascii="仿宋_GB2312" w:eastAsia="仿宋_GB2312"/>
          <w:sz w:val="28"/>
          <w:szCs w:val="28"/>
        </w:rPr>
        <w:t>万元。授予中小企业合同金额</w:t>
      </w:r>
      <w:r>
        <w:rPr>
          <w:rFonts w:hint="eastAsia" w:ascii="仿宋_GB2312" w:eastAsia="仿宋_GB2312"/>
          <w:sz w:val="28"/>
          <w:szCs w:val="28"/>
          <w:lang w:val="en-US" w:eastAsia="zh-CN"/>
        </w:rPr>
        <w:t>0</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0</w:t>
      </w:r>
      <w:r>
        <w:rPr>
          <w:rFonts w:hint="eastAsia" w:ascii="仿宋_GB2312" w:eastAsia="仿宋_GB2312"/>
          <w:sz w:val="28"/>
          <w:szCs w:val="28"/>
        </w:rPr>
        <w:t>%，其中：授予小微企业合同金额</w:t>
      </w:r>
      <w:r>
        <w:rPr>
          <w:rFonts w:hint="eastAsia" w:ascii="仿宋_GB2312" w:eastAsia="仿宋_GB2312"/>
          <w:sz w:val="28"/>
          <w:szCs w:val="28"/>
          <w:lang w:val="en-US" w:eastAsia="zh-CN"/>
        </w:rPr>
        <w:t>45.23</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100</w:t>
      </w:r>
      <w:r>
        <w:rPr>
          <w:rFonts w:hint="eastAsia" w:ascii="仿宋_GB2312" w:eastAsia="仿宋_GB2312"/>
          <w:sz w:val="28"/>
          <w:szCs w:val="28"/>
        </w:rPr>
        <w:t>%。</w:t>
      </w:r>
    </w:p>
    <w:p>
      <w:pPr>
        <w:keepNext w:val="0"/>
        <w:keepLines w:val="0"/>
        <w:pageBreakBefore w:val="0"/>
        <w:kinsoku/>
        <w:wordWrap/>
        <w:overflowPunct/>
        <w:topLinePunct w:val="0"/>
        <w:bidi w:val="0"/>
        <w:snapToGrid/>
        <w:spacing w:line="560" w:lineRule="exact"/>
        <w:ind w:firstLine="560" w:firstLineChars="200"/>
        <w:rPr>
          <w:rFonts w:hint="eastAsia" w:ascii="黑体" w:eastAsia="黑体"/>
          <w:sz w:val="28"/>
          <w:szCs w:val="28"/>
        </w:rPr>
      </w:pPr>
      <w:r>
        <w:rPr>
          <w:rFonts w:hint="eastAsia" w:ascii="黑体" w:eastAsia="黑体"/>
          <w:sz w:val="28"/>
          <w:szCs w:val="28"/>
        </w:rPr>
        <w:t>四、国有资产占用情况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420"/>
        <w:jc w:val="both"/>
        <w:rPr>
          <w:rFonts w:hint="eastAsia" w:ascii="仿宋_GB2312" w:hAnsi="Times New Roman" w:eastAsia="仿宋_GB2312" w:cs="Times New Roman"/>
          <w:b w:val="0"/>
          <w:kern w:val="2"/>
          <w:sz w:val="28"/>
          <w:szCs w:val="28"/>
          <w:lang w:val="en-US" w:eastAsia="zh-CN" w:bidi="ar-SA"/>
        </w:rPr>
      </w:pPr>
      <w:r>
        <w:rPr>
          <w:rFonts w:hint="eastAsia" w:ascii="仿宋_GB2312" w:hAnsi="Times New Roman" w:eastAsia="仿宋_GB2312" w:cs="Times New Roman"/>
          <w:b w:val="0"/>
          <w:kern w:val="2"/>
          <w:sz w:val="28"/>
          <w:szCs w:val="28"/>
          <w:lang w:val="en-US" w:eastAsia="zh-CN" w:bidi="ar-SA"/>
        </w:rPr>
        <w:t>2021年车辆0台，0万元；单位价值50万元以上的通用设备0台（套），单位价值100万元以上的专用设备0台（套）。我单位在政府办公区办公，此项支出由机关事务管理服务中心统一核算。</w:t>
      </w:r>
    </w:p>
    <w:p>
      <w:pPr>
        <w:keepNext w:val="0"/>
        <w:keepLines w:val="0"/>
        <w:pageBreakBefore w:val="0"/>
        <w:kinsoku/>
        <w:wordWrap/>
        <w:overflowPunct/>
        <w:topLinePunct w:val="0"/>
        <w:bidi w:val="0"/>
        <w:snapToGrid/>
        <w:spacing w:line="560" w:lineRule="exact"/>
        <w:ind w:firstLine="560" w:firstLineChars="200"/>
        <w:rPr>
          <w:rFonts w:hint="eastAsia"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keepNext w:val="0"/>
        <w:keepLines w:val="0"/>
        <w:pageBreakBefore w:val="0"/>
        <w:kinsoku/>
        <w:wordWrap/>
        <w:overflowPunct/>
        <w:topLinePunct w:val="0"/>
        <w:bidi w:val="0"/>
        <w:snapToGrid/>
        <w:spacing w:line="560" w:lineRule="exact"/>
        <w:ind w:firstLine="420" w:firstLineChars="150"/>
        <w:rPr>
          <w:rFonts w:hint="eastAsia" w:ascii="仿宋_GB2312" w:eastAsia="仿宋_GB2312"/>
          <w:sz w:val="28"/>
          <w:szCs w:val="28"/>
          <w:lang w:eastAsia="zh-CN"/>
        </w:rPr>
      </w:pPr>
      <w:r>
        <w:rPr>
          <w:rFonts w:hint="eastAsia" w:ascii="仿宋_GB2312" w:eastAsia="仿宋_GB2312"/>
          <w:sz w:val="28"/>
          <w:szCs w:val="28"/>
        </w:rPr>
        <w:t>本年度无此项</w:t>
      </w:r>
      <w:r>
        <w:rPr>
          <w:rFonts w:ascii="仿宋_GB2312" w:eastAsia="仿宋_GB2312"/>
          <w:sz w:val="28"/>
          <w:szCs w:val="28"/>
        </w:rPr>
        <w:t>经费</w:t>
      </w:r>
      <w:r>
        <w:rPr>
          <w:rFonts w:hint="eastAsia" w:ascii="仿宋_GB2312" w:eastAsia="仿宋_GB2312"/>
          <w:sz w:val="28"/>
          <w:szCs w:val="28"/>
          <w:lang w:eastAsia="zh-CN"/>
        </w:rPr>
        <w:t>。</w:t>
      </w:r>
    </w:p>
    <w:p>
      <w:pPr>
        <w:keepNext w:val="0"/>
        <w:keepLines w:val="0"/>
        <w:pageBreakBefore w:val="0"/>
        <w:kinsoku/>
        <w:wordWrap/>
        <w:overflowPunct/>
        <w:topLinePunct w:val="0"/>
        <w:bidi w:val="0"/>
        <w:snapToGrid/>
        <w:spacing w:line="560" w:lineRule="exact"/>
        <w:ind w:firstLine="537" w:firstLineChars="192"/>
        <w:rPr>
          <w:rFonts w:ascii="黑体" w:eastAsia="黑体"/>
          <w:sz w:val="28"/>
          <w:szCs w:val="28"/>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keepNext w:val="0"/>
        <w:keepLines w:val="0"/>
        <w:pageBreakBefore w:val="0"/>
        <w:kinsoku/>
        <w:wordWrap/>
        <w:overflowPunct/>
        <w:topLinePunct w:val="0"/>
        <w:bidi w:val="0"/>
        <w:snapToGrid/>
        <w:spacing w:line="560" w:lineRule="exact"/>
        <w:ind w:firstLine="537" w:firstLineChars="192"/>
        <w:rPr>
          <w:rFonts w:hint="eastAsia" w:ascii="仿宋_GB2312" w:eastAsia="仿宋_GB2312"/>
          <w:sz w:val="28"/>
          <w:szCs w:val="28"/>
        </w:rPr>
      </w:pPr>
      <w:r>
        <w:rPr>
          <w:rFonts w:ascii="仿宋_GB2312" w:eastAsia="仿宋_GB2312"/>
          <w:sz w:val="28"/>
          <w:szCs w:val="28"/>
        </w:rPr>
        <w:t>2021年政府购买服务决算</w:t>
      </w:r>
      <w:r>
        <w:rPr>
          <w:rFonts w:hint="eastAsia" w:ascii="仿宋_GB2312" w:eastAsia="仿宋_GB2312"/>
          <w:sz w:val="28"/>
          <w:szCs w:val="28"/>
          <w:lang w:val="en-US" w:eastAsia="zh-CN"/>
        </w:rPr>
        <w:t>229.24</w:t>
      </w:r>
      <w:r>
        <w:rPr>
          <w:rFonts w:hint="eastAsia" w:ascii="仿宋_GB2312" w:eastAsia="仿宋_GB2312"/>
          <w:sz w:val="28"/>
          <w:szCs w:val="28"/>
        </w:rPr>
        <w:t>万元。</w:t>
      </w:r>
    </w:p>
    <w:p>
      <w:pPr>
        <w:keepNext w:val="0"/>
        <w:keepLines w:val="0"/>
        <w:pageBreakBefore w:val="0"/>
        <w:kinsoku/>
        <w:wordWrap/>
        <w:overflowPunct/>
        <w:topLinePunct w:val="0"/>
        <w:bidi w:val="0"/>
        <w:snapToGrid/>
        <w:spacing w:line="560" w:lineRule="exact"/>
        <w:ind w:firstLine="560" w:firstLineChars="200"/>
        <w:jc w:val="left"/>
        <w:rPr>
          <w:rFonts w:hint="eastAsia"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1.基本支出：指为保障机构正常运转、完成日常工作任务而发生的人员支出和公用支出。</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2.项目支出：指在基本支出之外为完成特定行政任务或事业发展目标所发生的支出。</w:t>
      </w:r>
    </w:p>
    <w:p>
      <w:pPr>
        <w:keepNext w:val="0"/>
        <w:keepLines w:val="0"/>
        <w:pageBreakBefore w:val="0"/>
        <w:kinsoku/>
        <w:wordWrap/>
        <w:overflowPunct/>
        <w:topLinePunct w:val="0"/>
        <w:bidi w:val="0"/>
        <w:snapToGrid/>
        <w:spacing w:line="560" w:lineRule="exact"/>
        <w:ind w:firstLine="560" w:firstLineChars="200"/>
        <w:rPr>
          <w:rFonts w:hint="eastAsia" w:ascii="仿宋_GB2312" w:hAnsi="宋体" w:eastAsia="仿宋_GB2312"/>
          <w:sz w:val="28"/>
          <w:szCs w:val="28"/>
        </w:rPr>
      </w:pPr>
      <w:r>
        <w:rPr>
          <w:rFonts w:hint="eastAsia" w:ascii="仿宋_GB2312" w:eastAsia="仿宋_GB2312"/>
          <w:sz w:val="28"/>
          <w:szCs w:val="28"/>
        </w:rPr>
        <w:t>3.“三公”经费：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keepNext w:val="0"/>
        <w:keepLines w:val="0"/>
        <w:pageBreakBefore w:val="0"/>
        <w:kinsoku/>
        <w:wordWrap/>
        <w:overflowPunct/>
        <w:topLinePunct w:val="0"/>
        <w:bidi w:val="0"/>
        <w:snapToGrid/>
        <w:spacing w:line="560" w:lineRule="exact"/>
        <w:ind w:firstLine="560" w:firstLineChars="200"/>
        <w:rPr>
          <w:rFonts w:hint="eastAsia" w:ascii="仿宋_GB2312" w:hAnsi="宋体" w:eastAsia="仿宋_GB2312"/>
          <w:sz w:val="28"/>
          <w:szCs w:val="28"/>
        </w:rPr>
      </w:pPr>
      <w:r>
        <w:rPr>
          <w:rFonts w:hint="eastAsia" w:ascii="仿宋_GB2312" w:eastAsia="仿宋_GB2312"/>
          <w:sz w:val="28"/>
          <w:szCs w:val="28"/>
        </w:rPr>
        <w:t>4</w:t>
      </w:r>
      <w:r>
        <w:rPr>
          <w:rFonts w:ascii="仿宋_GB2312" w:eastAsia="仿宋_GB2312"/>
          <w:sz w:val="28"/>
          <w:szCs w:val="28"/>
        </w:rPr>
        <w:t>.</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60" w:lineRule="exact"/>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keepNext w:val="0"/>
        <w:keepLines w:val="0"/>
        <w:pageBreakBefore w:val="0"/>
        <w:kinsoku/>
        <w:wordWrap/>
        <w:overflowPunct/>
        <w:topLinePunct w:val="0"/>
        <w:bidi w:val="0"/>
        <w:snapToGrid/>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6</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keepNext w:val="0"/>
        <w:keepLines w:val="0"/>
        <w:pageBreakBefore w:val="0"/>
        <w:kinsoku/>
        <w:wordWrap/>
        <w:overflowPunct/>
        <w:topLinePunct w:val="0"/>
        <w:bidi w:val="0"/>
        <w:snapToGrid/>
        <w:spacing w:line="560" w:lineRule="exact"/>
        <w:ind w:firstLine="640" w:firstLineChars="200"/>
        <w:jc w:val="center"/>
        <w:rPr>
          <w:rFonts w:hint="eastAsia" w:ascii="黑体" w:eastAsia="黑体"/>
          <w:sz w:val="32"/>
          <w:szCs w:val="32"/>
        </w:rPr>
      </w:pPr>
      <w:r>
        <w:rPr>
          <w:rFonts w:hint="eastAsia" w:ascii="黑体" w:eastAsia="黑体"/>
          <w:sz w:val="32"/>
          <w:szCs w:val="32"/>
        </w:rPr>
        <w:t>第四部分  2021年度部门绩效评价情况</w:t>
      </w:r>
    </w:p>
    <w:p>
      <w:pPr>
        <w:keepNext w:val="0"/>
        <w:keepLines w:val="0"/>
        <w:pageBreakBefore w:val="0"/>
        <w:kinsoku/>
        <w:wordWrap/>
        <w:overflowPunct/>
        <w:topLinePunct w:val="0"/>
        <w:bidi w:val="0"/>
        <w:snapToGrid/>
        <w:spacing w:line="560" w:lineRule="exact"/>
        <w:ind w:firstLine="560" w:firstLineChars="200"/>
        <w:rPr>
          <w:rFonts w:hint="eastAsia" w:ascii="黑体" w:eastAsia="黑体"/>
          <w:sz w:val="28"/>
          <w:szCs w:val="28"/>
        </w:rPr>
      </w:pPr>
    </w:p>
    <w:p>
      <w:pPr>
        <w:keepNext w:val="0"/>
        <w:keepLines w:val="0"/>
        <w:pageBreakBefore w:val="0"/>
        <w:numPr>
          <w:ilvl w:val="0"/>
          <w:numId w:val="1"/>
        </w:numPr>
        <w:kinsoku/>
        <w:wordWrap/>
        <w:overflowPunct/>
        <w:topLinePunct w:val="0"/>
        <w:bidi w:val="0"/>
        <w:snapToGrid/>
        <w:spacing w:line="560" w:lineRule="exact"/>
        <w:ind w:firstLine="560" w:firstLineChars="200"/>
        <w:rPr>
          <w:rFonts w:hint="eastAsia" w:ascii="黑体" w:hAnsi="黑体" w:eastAsia="黑体" w:cs="宋体"/>
          <w:color w:val="000000"/>
          <w:kern w:val="0"/>
          <w:sz w:val="28"/>
          <w:szCs w:val="28"/>
        </w:rPr>
      </w:pPr>
      <w:r>
        <w:rPr>
          <w:rFonts w:hint="eastAsia" w:ascii="黑体" w:eastAsia="黑体"/>
          <w:sz w:val="28"/>
          <w:szCs w:val="28"/>
        </w:rPr>
        <w:t>部门整体绩效评价报告</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color w:val="000000"/>
          <w:kern w:val="0"/>
          <w:sz w:val="28"/>
          <w:szCs w:val="28"/>
        </w:rPr>
      </w:pPr>
      <w:r>
        <w:rPr>
          <w:rFonts w:hint="eastAsia" w:ascii="黑体" w:hAnsi="黑体" w:eastAsia="黑体" w:cs="宋体"/>
          <w:color w:val="000000"/>
          <w:kern w:val="0"/>
          <w:sz w:val="28"/>
          <w:szCs w:val="28"/>
        </w:rPr>
        <w:t>（</w:t>
      </w:r>
      <w:r>
        <w:rPr>
          <w:rFonts w:hint="eastAsia" w:ascii="仿宋_GB2312" w:hAnsi="仿宋_GB2312" w:eastAsia="仿宋_GB2312" w:cs="仿宋_GB2312"/>
          <w:color w:val="000000"/>
          <w:kern w:val="0"/>
          <w:sz w:val="28"/>
          <w:szCs w:val="28"/>
        </w:rPr>
        <w:t>一）部门概况</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1.机构设置及职责工作任务情况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42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 （1）协助区政府领导同志组织起草、审核以区政府或区政府办公室名义发布的公文。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（2）研究区政府各部门、各街道（地区）乡镇以及其他机构请示（商洽）区政府的事项，提出审核意见，报请区政府领导同志审批；承办市政府、市政府办公厅文件。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（3）负责区政府会议的会务组织工作。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（4）负责区政府总值班工作，协助安排区政府领导同志参加重要政务活动。负责组织区政府领导同志的调研工作。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（5）负责市政府督查事项的协调组织落实。负责区政府重大决策、重要部署、重要会议确定议定事项、领导同志批示指示和交办事项的督促检查、统筹协调和反馈工作。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（6）负责市政府对本区绩效管理、绩效考评工作的组织实施。负责区级行政机关、直属事业单位和街道（地区）办事处、乡镇政府绩效管理、绩效考评工作。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（7）负责为领导同志提供重要信息及社会舆情。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（8）负责联系人大、政协有关工作。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（9）负责中央市属在区单位的综合协调服务工作。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（10）完成区委区政府交办的其他任务。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default"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内设科室13个。</w:t>
      </w:r>
    </w:p>
    <w:p>
      <w:pPr>
        <w:keepNext w:val="0"/>
        <w:keepLines w:val="0"/>
        <w:pageBreakBefore w:val="0"/>
        <w:numPr>
          <w:ilvl w:val="0"/>
          <w:numId w:val="0"/>
        </w:numPr>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部门整体绩效目标设立情况</w:t>
      </w:r>
    </w:p>
    <w:p>
      <w:pPr>
        <w:spacing w:line="560" w:lineRule="exact"/>
        <w:ind w:firstLine="560" w:firstLineChars="200"/>
        <w:rPr>
          <w:rFonts w:hint="default"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 2021年是中国共产党建党100周年和“十四五”规划的开局之年。站在新的发展起点上，区政府办公室将继续以习近平新时代中国特色社会主义思想为指引，认真贯彻落实党的十九大和十九届二中、三中、四中、五中全会精神，紧紧围绕区委、区政府中心工作，主动谋划、敢于担当，凝心聚力，确保各项事业再上新台阶，推动“妙笔生花看丰台”美好愿景成为现实，向建党百年献礼。</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（二）当年预算执行情况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2021年全年预算数1960.97万元，其中，基本支出预算数1700.70万元，项目支出预算数260.27万元，其他支出预算数0万元。资金总体支出1832.73万元，其中，基本支出1583.68万元，项目支出249.04万元，其他支出0万元。预算执行率为93.46%。</w:t>
      </w:r>
    </w:p>
    <w:p>
      <w:pPr>
        <w:keepNext w:val="0"/>
        <w:keepLines w:val="0"/>
        <w:pageBreakBefore w:val="0"/>
        <w:numPr>
          <w:ilvl w:val="0"/>
          <w:numId w:val="2"/>
        </w:numPr>
        <w:kinsoku/>
        <w:wordWrap/>
        <w:overflowPunct/>
        <w:topLinePunct w:val="0"/>
        <w:bidi w:val="0"/>
        <w:snapToGrid/>
        <w:spacing w:line="560" w:lineRule="exact"/>
        <w:ind w:left="210" w:leftChars="0" w:firstLine="420" w:firstLineChars="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整体绩效目标实现情况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560" w:firstLineChars="200"/>
        <w:jc w:val="both"/>
        <w:rPr>
          <w:rFonts w:hint="default"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 2021年，区政府办公室坚持以习近平新时代中国特色社会主义思想为指引，全面贯彻落实党的十九大和十九届二中、三中、四中、五中、六中全会精神，在区委、区政府的坚强领导下，锐意进取，勇于担当，承担起丰台区新冠肺炎疫情防控指挥部办公室工作职责，精准服务好区域经济社会发展和各项重点任务落实，全区办公室系统服务保障水平不断提升。</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1.产出完成情况分析</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（1）产出数量</w:t>
      </w:r>
    </w:p>
    <w:p>
      <w:pPr>
        <w:pStyle w:val="2"/>
        <w:keepNext w:val="0"/>
        <w:keepLines w:val="0"/>
        <w:pageBreakBefore w:val="0"/>
        <w:kinsoku/>
        <w:wordWrap/>
        <w:overflowPunct/>
        <w:topLinePunct w:val="0"/>
        <w:bidi w:val="0"/>
        <w:snapToGrid/>
        <w:spacing w:line="560" w:lineRule="exact"/>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b w:val="0"/>
          <w:kern w:val="2"/>
          <w:sz w:val="28"/>
          <w:szCs w:val="28"/>
          <w:lang w:val="en-US" w:eastAsia="zh-CN" w:bidi="ar-SA"/>
        </w:rPr>
        <w:t>2021年计划开展项目8个，年中追加项目1个，未实施项目2个，最终完成项目7个。</w:t>
      </w:r>
    </w:p>
    <w:p>
      <w:pPr>
        <w:keepNext w:val="0"/>
        <w:keepLines w:val="0"/>
        <w:pageBreakBefore w:val="0"/>
        <w:numPr>
          <w:ilvl w:val="0"/>
          <w:numId w:val="3"/>
        </w:numPr>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产出质量</w:t>
      </w:r>
    </w:p>
    <w:p>
      <w:pPr>
        <w:pStyle w:val="2"/>
        <w:keepNext w:val="0"/>
        <w:keepLines w:val="0"/>
        <w:pageBreakBefore w:val="0"/>
        <w:numPr>
          <w:ilvl w:val="0"/>
          <w:numId w:val="0"/>
        </w:numPr>
        <w:kinsoku/>
        <w:wordWrap/>
        <w:overflowPunct/>
        <w:topLinePunct w:val="0"/>
        <w:bidi w:val="0"/>
        <w:snapToGrid/>
        <w:spacing w:line="560" w:lineRule="exact"/>
        <w:rPr>
          <w:rFonts w:hint="default" w:ascii="仿宋_GB2312" w:hAnsi="仿宋_GB2312" w:eastAsia="仿宋_GB2312" w:cs="仿宋_GB2312"/>
          <w:b w:val="0"/>
          <w:kern w:val="2"/>
          <w:sz w:val="28"/>
          <w:szCs w:val="28"/>
          <w:lang w:val="en-US" w:eastAsia="zh-CN" w:bidi="ar-SA"/>
        </w:rPr>
      </w:pPr>
      <w:r>
        <w:rPr>
          <w:rFonts w:hint="eastAsia"/>
          <w:lang w:val="en-US" w:eastAsia="zh-CN"/>
        </w:rPr>
        <w:t xml:space="preserve">    </w:t>
      </w:r>
      <w:r>
        <w:rPr>
          <w:rFonts w:hint="eastAsia" w:ascii="仿宋_GB2312" w:hAnsi="仿宋_GB2312" w:eastAsia="仿宋_GB2312" w:cs="仿宋_GB2312"/>
          <w:b w:val="0"/>
          <w:kern w:val="2"/>
          <w:sz w:val="28"/>
          <w:szCs w:val="28"/>
          <w:lang w:val="en-US" w:eastAsia="zh-CN" w:bidi="ar-SA"/>
        </w:rPr>
        <w:t xml:space="preserve">  2021年完成项目7个，质量达标项目7个，达标率100%。</w:t>
      </w:r>
    </w:p>
    <w:p>
      <w:pPr>
        <w:keepNext w:val="0"/>
        <w:keepLines w:val="0"/>
        <w:pageBreakBefore w:val="0"/>
        <w:numPr>
          <w:ilvl w:val="0"/>
          <w:numId w:val="3"/>
        </w:numPr>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rPr>
        <w:t>产出进度</w:t>
      </w:r>
    </w:p>
    <w:p>
      <w:pPr>
        <w:pStyle w:val="2"/>
        <w:keepNext w:val="0"/>
        <w:keepLines w:val="0"/>
        <w:pageBreakBefore w:val="0"/>
        <w:numPr>
          <w:ilvl w:val="0"/>
          <w:numId w:val="0"/>
        </w:numPr>
        <w:kinsoku/>
        <w:wordWrap/>
        <w:overflowPunct/>
        <w:topLinePunct w:val="0"/>
        <w:bidi w:val="0"/>
        <w:snapToGrid/>
        <w:spacing w:line="560" w:lineRule="exact"/>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 xml:space="preserve">    </w:t>
      </w:r>
      <w:r>
        <w:rPr>
          <w:rFonts w:hint="eastAsia" w:ascii="仿宋_GB2312" w:hAnsi="仿宋_GB2312" w:eastAsia="仿宋_GB2312" w:cs="仿宋_GB2312"/>
          <w:b w:val="0"/>
          <w:kern w:val="2"/>
          <w:sz w:val="28"/>
          <w:szCs w:val="28"/>
          <w:lang w:val="en-US" w:eastAsia="zh-CN" w:bidi="ar-SA"/>
        </w:rPr>
        <w:t>2021年项目经费于年初及时拨付到位，并于2021年12月31日前完成支付。</w:t>
      </w:r>
    </w:p>
    <w:p>
      <w:pPr>
        <w:keepNext w:val="0"/>
        <w:keepLines w:val="0"/>
        <w:pageBreakBefore w:val="0"/>
        <w:numPr>
          <w:ilvl w:val="0"/>
          <w:numId w:val="3"/>
        </w:numPr>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rPr>
        <w:t>产出</w:t>
      </w:r>
      <w:r>
        <w:rPr>
          <w:rFonts w:hint="eastAsia" w:ascii="仿宋_GB2312" w:hAnsi="仿宋_GB2312" w:eastAsia="仿宋_GB2312" w:cs="仿宋_GB2312"/>
          <w:color w:val="000000"/>
          <w:kern w:val="0"/>
          <w:sz w:val="28"/>
          <w:szCs w:val="28"/>
          <w:lang w:val="en-US" w:eastAsia="zh-CN" w:bidi="ar-SA"/>
        </w:rPr>
        <w:t xml:space="preserve">成本             </w:t>
      </w:r>
    </w:p>
    <w:tbl>
      <w:tblPr>
        <w:tblStyle w:val="9"/>
        <w:tblpPr w:leftFromText="180" w:rightFromText="180" w:vertAnchor="text" w:horzAnchor="page" w:tblpX="1336" w:tblpY="292"/>
        <w:tblOverlap w:val="never"/>
        <w:tblW w:w="14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10"/>
        <w:gridCol w:w="6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0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项目名称</w:t>
            </w:r>
          </w:p>
        </w:tc>
        <w:tc>
          <w:tcPr>
            <w:tcW w:w="60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center"/>
              <w:textAlignment w:val="center"/>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项目金额（单位：万元）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8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基层党组织担任书记、副书记的离退休干部党员补贴</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right"/>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丰台区察访核验项目</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right"/>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基层党组织党建活动经费</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right"/>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丰台区政府档案信息化购买服务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right"/>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政府办工作经费</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right"/>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66.24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丰台区服务对象满意度调查项目</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right"/>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5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档案室改造及智能密集架建设</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60" w:lineRule="exact"/>
              <w:jc w:val="right"/>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16.22</w:t>
            </w:r>
          </w:p>
        </w:tc>
      </w:tr>
    </w:tbl>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2.效果实现情况分析</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（1）经济效益</w:t>
      </w:r>
    </w:p>
    <w:p>
      <w:pPr>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2021年，政府办结合丰台经济高质量发展、城市精细化治理、生态环境品质提升等专题，组织党员干部参观学习了两区建设、产业发展、5G信息化建设中涉及我区重点项目、重点领域点位，通过实地参观，结合本职工作研讨交流，进一步提升了办公室参谋辅政各项工作的精细化、专业化水平。立足区域发展要求，新增街镇考核“招商引资”专项，对引进税源、企业服务、宣传推进工作进行测评，强化属地招商职责，高效助力区域经济发展。</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（2）社会效益</w:t>
      </w:r>
    </w:p>
    <w:p>
      <w:pPr>
        <w:spacing w:line="560" w:lineRule="exact"/>
        <w:ind w:firstLine="420" w:firstLineChars="200"/>
        <w:rPr>
          <w:rFonts w:hint="eastAsia" w:ascii="仿宋_GB2312" w:hAnsi="仿宋_GB2312" w:eastAsia="仿宋_GB2312" w:cs="仿宋_GB2312"/>
          <w:b w:val="0"/>
          <w:kern w:val="2"/>
          <w:sz w:val="28"/>
          <w:szCs w:val="28"/>
          <w:lang w:val="en-US" w:eastAsia="zh-CN" w:bidi="ar-SA"/>
        </w:rPr>
      </w:pPr>
      <w:r>
        <w:rPr>
          <w:rFonts w:hint="eastAsia"/>
          <w:lang w:val="en-US" w:eastAsia="zh-CN"/>
        </w:rPr>
        <w:t xml:space="preserve"> </w:t>
      </w:r>
      <w:r>
        <w:rPr>
          <w:rFonts w:hint="eastAsia" w:ascii="仿宋_GB2312" w:hAnsi="仿宋_GB2312" w:eastAsia="仿宋_GB2312" w:cs="仿宋_GB2312"/>
          <w:b w:val="0"/>
          <w:kern w:val="2"/>
          <w:sz w:val="28"/>
          <w:szCs w:val="28"/>
          <w:lang w:val="en-US" w:eastAsia="zh-CN" w:bidi="ar-SA"/>
        </w:rPr>
        <w:t xml:space="preserve"> 紧紧围绕党中央、国务院、市委市政府重大决策部署和我区重点任务，合理制定调研工作计划。围绕“高质量发展”“招商引资”“两区建设”等重点工作收集整理各街镇、部门工作举措，形成可参考、可复制、可推广的经验。将区委区政府重点工作纳入各单位考核事项。紧扣“目标”“责任”两大核心要素，对重大决策部署、重点任务落实量化、指标化。坚持结果导向、问题导向，高质高效推进各事项督办。四是坚持结果导向高质高效推进各事项督办，强调经验总结，同时开展实地察访核验。</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（3）环境效益</w:t>
      </w:r>
    </w:p>
    <w:p>
      <w:pPr>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不涉及此项内容</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（4）可持续性影响</w:t>
      </w:r>
    </w:p>
    <w:p>
      <w:pPr>
        <w:spacing w:line="60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一是围绕“高质量发展”“招商引资”“两区建设”等重点工作收集整理各街镇、部门工作举措，形成可参考、可复制、可推广的经验；二是档案信息化管理，全区率先完成1998-2020年全部室藏档案，共计60万页的规范化整理和数字化工作，档案管理水平持续稳步提升；三是积极努力搭建代表委员与部门间纽带桥梁，落实“三次沟通，面见答复”制度，组织全区各部门开展办理工作，确保全部建议提案依法按期答复。四是坚持结果导向高质高效推进各事项督办，强调经验总结，同时开展实地察访核验。</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（5）服务对象满意度</w:t>
      </w:r>
    </w:p>
    <w:p>
      <w:pPr>
        <w:pStyle w:val="2"/>
        <w:keepNext w:val="0"/>
        <w:keepLines w:val="0"/>
        <w:pageBreakBefore w:val="0"/>
        <w:kinsoku/>
        <w:wordWrap/>
        <w:overflowPunct/>
        <w:topLinePunct w:val="0"/>
        <w:bidi w:val="0"/>
        <w:snapToGrid/>
        <w:spacing w:line="560" w:lineRule="exact"/>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开展绩效评价项目7个，满意度90分以上项目7个。</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（四）预算管理情况分析</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1.财务管理</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（1）财务管理制度健全性</w:t>
      </w:r>
    </w:p>
    <w:p>
      <w:pPr>
        <w:pStyle w:val="2"/>
        <w:keepNext w:val="0"/>
        <w:keepLines w:val="0"/>
        <w:pageBreakBefore w:val="0"/>
        <w:kinsoku/>
        <w:wordWrap/>
        <w:overflowPunct/>
        <w:topLinePunct w:val="0"/>
        <w:bidi w:val="0"/>
        <w:snapToGrid/>
        <w:spacing w:line="560" w:lineRule="exact"/>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我单位财务管理具体情况由丰台区人民机关事务管理服务中心负责管理。我单位建立了相应的财务管理制度，包括预算决算、财务支出、合同管理等。相关管理制度合法合规，并得到有效执行。</w:t>
      </w:r>
    </w:p>
    <w:p>
      <w:pPr>
        <w:keepNext w:val="0"/>
        <w:keepLines w:val="0"/>
        <w:pageBreakBefore w:val="0"/>
        <w:numPr>
          <w:ilvl w:val="0"/>
          <w:numId w:val="4"/>
        </w:numPr>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资金使用合规性和安全性</w:t>
      </w:r>
    </w:p>
    <w:p>
      <w:pPr>
        <w:pStyle w:val="2"/>
        <w:keepNext w:val="0"/>
        <w:keepLines w:val="0"/>
        <w:pageBreakBefore w:val="0"/>
        <w:numPr>
          <w:ilvl w:val="0"/>
          <w:numId w:val="0"/>
        </w:numPr>
        <w:kinsoku/>
        <w:wordWrap/>
        <w:overflowPunct/>
        <w:topLinePunct w:val="0"/>
        <w:bidi w:val="0"/>
        <w:snapToGrid/>
        <w:spacing w:line="560" w:lineRule="exact"/>
        <w:rPr>
          <w:rFonts w:hint="default" w:ascii="仿宋_GB2312" w:hAnsi="仿宋_GB2312" w:eastAsia="仿宋_GB2312" w:cs="仿宋_GB2312"/>
          <w:b w:val="0"/>
          <w:kern w:val="2"/>
          <w:sz w:val="28"/>
          <w:szCs w:val="28"/>
          <w:lang w:val="en-US" w:eastAsia="zh-CN" w:bidi="ar-SA"/>
        </w:rPr>
      </w:pPr>
      <w:r>
        <w:rPr>
          <w:rFonts w:hint="eastAsia"/>
          <w:lang w:val="en-US" w:eastAsia="zh-CN"/>
        </w:rPr>
        <w:t xml:space="preserve">     </w:t>
      </w:r>
      <w:r>
        <w:rPr>
          <w:rFonts w:hint="eastAsia" w:ascii="仿宋_GB2312" w:hAnsi="仿宋_GB2312" w:eastAsia="仿宋_GB2312" w:cs="仿宋_GB2312"/>
          <w:b w:val="0"/>
          <w:kern w:val="2"/>
          <w:sz w:val="28"/>
          <w:szCs w:val="28"/>
          <w:lang w:val="en-US" w:eastAsia="zh-CN" w:bidi="ar-SA"/>
        </w:rPr>
        <w:t>本单位支出符合国家财经法规和财务管理制度规定以及有关专项资金管理办法的规定，资金的拨付有完整的审批过程和手续，支出符合部门预算批复的用途，资金使用无截留、挤占、挪用、虚列支出等情况。</w:t>
      </w:r>
    </w:p>
    <w:p>
      <w:pPr>
        <w:keepNext w:val="0"/>
        <w:keepLines w:val="0"/>
        <w:pageBreakBefore w:val="0"/>
        <w:numPr>
          <w:ilvl w:val="0"/>
          <w:numId w:val="4"/>
        </w:numPr>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会计基础信息完善性</w:t>
      </w:r>
    </w:p>
    <w:p>
      <w:pPr>
        <w:pStyle w:val="2"/>
        <w:keepNext w:val="0"/>
        <w:keepLines w:val="0"/>
        <w:pageBreakBefore w:val="0"/>
        <w:kinsoku/>
        <w:wordWrap/>
        <w:overflowPunct/>
        <w:topLinePunct w:val="0"/>
        <w:bidi w:val="0"/>
        <w:snapToGrid/>
        <w:spacing w:line="560" w:lineRule="exact"/>
        <w:rPr>
          <w:rFonts w:hint="eastAsia"/>
        </w:rPr>
      </w:pPr>
      <w:r>
        <w:rPr>
          <w:rFonts w:hint="eastAsia" w:ascii="仿宋_GB2312" w:hAnsi="仿宋_GB2312" w:eastAsia="仿宋_GB2312" w:cs="仿宋_GB2312"/>
          <w:b w:val="0"/>
          <w:kern w:val="2"/>
          <w:sz w:val="28"/>
          <w:szCs w:val="28"/>
          <w:lang w:val="en-US" w:eastAsia="zh-CN" w:bidi="ar-SA"/>
        </w:rPr>
        <w:t>我单位财务管理具体情况由丰台区人民机关事务管理服务中心负责管理。</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.资产管理</w:t>
      </w:r>
    </w:p>
    <w:p>
      <w:pPr>
        <w:pStyle w:val="2"/>
        <w:keepNext w:val="0"/>
        <w:keepLines w:val="0"/>
        <w:pageBreakBefore w:val="0"/>
        <w:kinsoku/>
        <w:wordWrap/>
        <w:overflowPunct/>
        <w:topLinePunct w:val="0"/>
        <w:bidi w:val="0"/>
        <w:snapToGrid/>
        <w:spacing w:line="560" w:lineRule="exact"/>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我单位在政府办公区办公，此项由机关事务管理服务中心统一核算。</w:t>
      </w:r>
    </w:p>
    <w:p>
      <w:pPr>
        <w:keepNext w:val="0"/>
        <w:keepLines w:val="0"/>
        <w:pageBreakBefore w:val="0"/>
        <w:numPr>
          <w:ilvl w:val="0"/>
          <w:numId w:val="5"/>
        </w:numPr>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绩效管理</w:t>
      </w:r>
    </w:p>
    <w:p>
      <w:pPr>
        <w:pStyle w:val="2"/>
        <w:keepNext w:val="0"/>
        <w:keepLines w:val="0"/>
        <w:pageBreakBefore w:val="0"/>
        <w:numPr>
          <w:ilvl w:val="0"/>
          <w:numId w:val="0"/>
        </w:numPr>
        <w:kinsoku/>
        <w:wordWrap/>
        <w:overflowPunct/>
        <w:topLinePunct w:val="0"/>
        <w:bidi w:val="0"/>
        <w:snapToGrid/>
        <w:spacing w:line="560" w:lineRule="exact"/>
        <w:rPr>
          <w:rFonts w:hint="default" w:ascii="仿宋_GB2312" w:hAnsi="仿宋_GB2312" w:eastAsia="仿宋_GB2312" w:cs="仿宋_GB2312"/>
          <w:b w:val="0"/>
          <w:kern w:val="2"/>
          <w:sz w:val="28"/>
          <w:szCs w:val="28"/>
          <w:lang w:val="en-US" w:eastAsia="zh-CN" w:bidi="ar-SA"/>
        </w:rPr>
      </w:pPr>
      <w:r>
        <w:rPr>
          <w:rFonts w:hint="eastAsia"/>
          <w:lang w:val="en-US" w:eastAsia="zh-CN"/>
        </w:rPr>
        <w:t xml:space="preserve">    </w:t>
      </w:r>
      <w:r>
        <w:rPr>
          <w:rFonts w:hint="eastAsia" w:ascii="仿宋_GB2312" w:hAnsi="Times New Roman" w:eastAsia="仿宋_GB2312" w:cs="Times New Roman"/>
          <w:b w:val="0"/>
          <w:kern w:val="2"/>
          <w:sz w:val="28"/>
          <w:szCs w:val="28"/>
          <w:lang w:val="en-US" w:eastAsia="zh-CN" w:bidi="ar-SA"/>
        </w:rPr>
        <w:t xml:space="preserve"> </w:t>
      </w:r>
      <w:r>
        <w:rPr>
          <w:rFonts w:hint="eastAsia" w:ascii="仿宋_GB2312" w:hAnsi="仿宋_GB2312" w:eastAsia="仿宋_GB2312" w:cs="仿宋_GB2312"/>
          <w:b w:val="0"/>
          <w:kern w:val="2"/>
          <w:sz w:val="28"/>
          <w:szCs w:val="28"/>
          <w:lang w:val="en-US" w:eastAsia="zh-CN" w:bidi="ar-SA"/>
        </w:rPr>
        <w:t>我单位按区财政要求开展绩效管理及绩效监督工作。</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4.结转结余率</w:t>
      </w:r>
    </w:p>
    <w:p>
      <w:pPr>
        <w:pStyle w:val="2"/>
        <w:keepNext w:val="0"/>
        <w:keepLines w:val="0"/>
        <w:pageBreakBefore w:val="0"/>
        <w:kinsoku/>
        <w:wordWrap/>
        <w:overflowPunct/>
        <w:topLinePunct w:val="0"/>
        <w:bidi w:val="0"/>
        <w:snapToGrid/>
        <w:spacing w:line="560" w:lineRule="exact"/>
        <w:rPr>
          <w:rFonts w:hint="default"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2021年收入决算数1897.81万元，其中年初结转和结余158.33万元。结转率8.34%。</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5.部门预决算差异率</w:t>
      </w:r>
    </w:p>
    <w:p>
      <w:pPr>
        <w:pStyle w:val="2"/>
        <w:keepNext w:val="0"/>
        <w:keepLines w:val="0"/>
        <w:pageBreakBefore w:val="0"/>
        <w:numPr>
          <w:ilvl w:val="0"/>
          <w:numId w:val="0"/>
        </w:numPr>
        <w:kinsoku/>
        <w:wordWrap/>
        <w:overflowPunct/>
        <w:topLinePunct w:val="0"/>
        <w:bidi w:val="0"/>
        <w:snapToGrid/>
        <w:spacing w:line="560" w:lineRule="exact"/>
        <w:ind w:firstLine="280" w:firstLineChars="100"/>
        <w:rPr>
          <w:rFonts w:hint="default" w:ascii="仿宋" w:hAnsi="仿宋" w:eastAsia="仿宋" w:cs="仿宋"/>
          <w:i w:val="0"/>
          <w:iCs w:val="0"/>
          <w:caps w:val="0"/>
          <w:color w:val="333333"/>
          <w:spacing w:val="0"/>
          <w:sz w:val="32"/>
          <w:szCs w:val="32"/>
          <w:shd w:val="clear" w:fill="FFFFFF"/>
          <w:lang w:val="en-US" w:eastAsia="zh-CN"/>
        </w:rPr>
      </w:pPr>
      <w:r>
        <w:rPr>
          <w:rFonts w:hint="eastAsia" w:ascii="仿宋_GB2312" w:hAnsi="仿宋_GB2312" w:eastAsia="仿宋_GB2312" w:cs="仿宋_GB2312"/>
          <w:b w:val="0"/>
          <w:kern w:val="2"/>
          <w:sz w:val="28"/>
          <w:szCs w:val="28"/>
          <w:lang w:val="en-US" w:eastAsia="zh-CN" w:bidi="ar-SA"/>
        </w:rPr>
        <w:t xml:space="preserve"> 2021年支出预算数1960.97万元，决算数总金额1897.81万元。差异率3.22%。</w:t>
      </w:r>
    </w:p>
    <w:p>
      <w:pPr>
        <w:pStyle w:val="2"/>
        <w:keepNext w:val="0"/>
        <w:keepLines w:val="0"/>
        <w:pageBreakBefore w:val="0"/>
        <w:kinsoku/>
        <w:wordWrap/>
        <w:overflowPunct/>
        <w:topLinePunct w:val="0"/>
        <w:bidi w:val="0"/>
        <w:snapToGrid/>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（五）总体评价结论</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1.评价得分情况</w:t>
      </w:r>
    </w:p>
    <w:p>
      <w:pPr>
        <w:pStyle w:val="2"/>
        <w:keepNext w:val="0"/>
        <w:keepLines w:val="0"/>
        <w:pageBreakBefore w:val="0"/>
        <w:kinsoku/>
        <w:wordWrap/>
        <w:overflowPunct/>
        <w:topLinePunct w:val="0"/>
        <w:bidi w:val="0"/>
        <w:snapToGrid/>
        <w:spacing w:line="560" w:lineRule="exact"/>
        <w:rPr>
          <w:rFonts w:hint="default" w:ascii="仿宋_GB2312" w:hAnsi="仿宋_GB2312" w:eastAsia="仿宋_GB2312" w:cs="仿宋_GB2312"/>
          <w:b w:val="0"/>
          <w:kern w:val="2"/>
          <w:sz w:val="28"/>
          <w:szCs w:val="28"/>
          <w:lang w:val="en-US" w:eastAsia="zh-CN" w:bidi="ar-SA"/>
        </w:rPr>
      </w:pPr>
      <w:r>
        <w:rPr>
          <w:rFonts w:hint="eastAsia" w:eastAsia="仿宋_GB2312"/>
          <w:lang w:val="en-US" w:eastAsia="zh-CN"/>
        </w:rPr>
        <w:t xml:space="preserve"> </w:t>
      </w:r>
      <w:r>
        <w:rPr>
          <w:rFonts w:hint="eastAsia" w:ascii="仿宋_GB2312" w:hAnsi="仿宋_GB2312" w:eastAsia="仿宋_GB2312" w:cs="仿宋_GB2312"/>
          <w:b w:val="0"/>
          <w:kern w:val="2"/>
          <w:sz w:val="28"/>
          <w:szCs w:val="28"/>
          <w:lang w:val="en-US" w:eastAsia="zh-CN" w:bidi="ar-SA"/>
        </w:rPr>
        <w:t>我单位对7个项目开展绩效评价，平均分97.86分。</w:t>
      </w:r>
    </w:p>
    <w:p>
      <w:pPr>
        <w:keepNext w:val="0"/>
        <w:keepLines w:val="0"/>
        <w:pageBreakBefore w:val="0"/>
        <w:kinsoku/>
        <w:wordWrap/>
        <w:overflowPunct/>
        <w:topLinePunct w:val="0"/>
        <w:bidi w:val="0"/>
        <w:snapToGrid/>
        <w:spacing w:line="56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2.存在的问题及原因分析</w:t>
      </w:r>
    </w:p>
    <w:p>
      <w:pPr>
        <w:pStyle w:val="2"/>
        <w:keepNext w:val="0"/>
        <w:keepLines w:val="0"/>
        <w:pageBreakBefore w:val="0"/>
        <w:kinsoku/>
        <w:wordWrap/>
        <w:overflowPunct/>
        <w:topLinePunct w:val="0"/>
        <w:bidi w:val="0"/>
        <w:snapToGrid/>
        <w:spacing w:line="560" w:lineRule="exact"/>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无</w:t>
      </w:r>
    </w:p>
    <w:p>
      <w:pPr>
        <w:pStyle w:val="2"/>
        <w:keepNext w:val="0"/>
        <w:keepLines w:val="0"/>
        <w:pageBreakBefore w:val="0"/>
        <w:numPr>
          <w:ilvl w:val="0"/>
          <w:numId w:val="6"/>
        </w:numPr>
        <w:kinsoku/>
        <w:wordWrap/>
        <w:overflowPunct/>
        <w:topLinePunct w:val="0"/>
        <w:bidi w:val="0"/>
        <w:snapToGrid/>
        <w:spacing w:line="560" w:lineRule="exact"/>
        <w:ind w:firstLine="56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措施建议（整改措施、下一步工作举措）</w:t>
      </w:r>
    </w:p>
    <w:p>
      <w:pPr>
        <w:pStyle w:val="2"/>
        <w:keepNext w:val="0"/>
        <w:keepLines w:val="0"/>
        <w:pageBreakBefore w:val="0"/>
        <w:numPr>
          <w:ilvl w:val="0"/>
          <w:numId w:val="0"/>
        </w:numPr>
        <w:kinsoku/>
        <w:wordWrap/>
        <w:overflowPunct/>
        <w:topLinePunct w:val="0"/>
        <w:bidi w:val="0"/>
        <w:snapToGrid/>
        <w:spacing w:line="560" w:lineRule="exact"/>
        <w:ind w:firstLine="280" w:firstLineChars="100"/>
        <w:rPr>
          <w:rFonts w:hint="default"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  无</w:t>
      </w:r>
    </w:p>
    <w:p>
      <w:pPr>
        <w:keepNext w:val="0"/>
        <w:keepLines w:val="0"/>
        <w:pageBreakBefore w:val="0"/>
        <w:kinsoku/>
        <w:wordWrap/>
        <w:overflowPunct/>
        <w:topLinePunct w:val="0"/>
        <w:bidi w:val="0"/>
        <w:snapToGrid/>
        <w:spacing w:line="560" w:lineRule="exact"/>
        <w:ind w:firstLine="560" w:firstLineChars="200"/>
        <w:rPr>
          <w:rFonts w:hint="eastAsia" w:ascii="黑体" w:eastAsia="黑体"/>
          <w:sz w:val="28"/>
          <w:szCs w:val="28"/>
        </w:rPr>
      </w:pPr>
      <w:r>
        <w:rPr>
          <w:rFonts w:hint="eastAsia" w:ascii="黑体" w:eastAsia="黑体"/>
          <w:sz w:val="28"/>
          <w:szCs w:val="28"/>
        </w:rPr>
        <w:t>二、2021年度察访核验项目支出绩效评价报告</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（一）基本情况</w:t>
      </w:r>
    </w:p>
    <w:p>
      <w:pPr>
        <w:keepNext w:val="0"/>
        <w:keepLines w:val="0"/>
        <w:pageBreakBefore w:val="0"/>
        <w:kinsoku/>
        <w:wordWrap/>
        <w:overflowPunct/>
        <w:topLinePunct w:val="0"/>
        <w:bidi w:val="0"/>
        <w:snapToGrid/>
        <w:spacing w:line="56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1.项目概况。</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为推动各部门高质量、高效率完成重点任务，按照“过程监管-问题发现-原因分析-提出建议-工作整改”的工作流程，针对市、区两级重点任务事项开展2021年度察访核验工作。</w:t>
      </w:r>
    </w:p>
    <w:p>
      <w:pPr>
        <w:adjustRightInd w:val="0"/>
        <w:snapToGrid w:val="0"/>
        <w:spacing w:line="560" w:lineRule="exact"/>
        <w:ind w:firstLine="560" w:firstLineChars="200"/>
        <w:rPr>
          <w:rFonts w:hint="default"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项目主责单位为丰台区政府办公室，负责具体组织项目比选、日常管理以及验收结款事项，规范项目的全流程管理。</w:t>
      </w:r>
    </w:p>
    <w:p>
      <w:pPr>
        <w:keepNext w:val="0"/>
        <w:keepLines w:val="0"/>
        <w:pageBreakBefore w:val="0"/>
        <w:numPr>
          <w:ilvl w:val="0"/>
          <w:numId w:val="0"/>
        </w:numPr>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项目绩效目标。</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总体目标：按照市、区重要决策部署，对各部门承担的市级绩效任务、市实事、市折子、区绩效、区实事、区折子等重点工作任务开展察访核验工作，推动市、区两级重点任务有效落实。</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2.绩效指标</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（1）产出指标</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 ①制定2021年度察访核验项目工作方案。按照市委、市政府和区委、区政府的重要决策部署，结合丰台区工作实际，制定《丰台区2021年度察访核验项目工作方案》，确定了2021年度察访核验项目考评内容、考评对象、考评指标、考评方式、结果运用、工作要求等内容，为全年工作开展提供依据。</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②组织察访核验工作。按照“一事一策”的原则，针对每一项核验任务设计察访核验调查表，梳理调查点位汇总表，制定核验标准，针对年度重点任务开展三次察访核验。第一轮核验于2021年10月份开展，对前三季度的工作进度和完成情况开展核验；第二轮核验工作于2021年底开展，通过实地明查和暗访等方式对各项工作的完成情况进行全面核查；第三轮核验工作于2022年第一季度开展，主要针对全面核查发现问题事项进行“问题回头看”，对问题整改情况进行跟踪核查。</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③形成核验成果，结合三次察访核验结果，撰写三份问题反馈表和核验清单，整理问题反馈材料，为绩效考评提供依据。</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（2）效果指标:</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在2021年察访核验工作执行过程中，推动了各单位的各项工作按照计划时间节点完成，整体提升了重点任务完成质量，同时通过开展“回头看”，确保发现问题整改落实到位。</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①经济效益：通过察访核验工作推动各部门按时完成各项任务，提升了资金使用效益。</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②社会效益：通过察访核验工作推动市区重要决策部署的落实，提升了政府行政效能，助推各项民生工作落到实处。</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③可持续影响指标：“中期进度核查——年度全面核查——问题回头看”全流程核验工作，有助于形成全过程督查考核工作体系，推动各部门工作落实和过程监管的可持续发展。</w:t>
      </w:r>
    </w:p>
    <w:p>
      <w:pPr>
        <w:adjustRightInd w:val="0"/>
        <w:snapToGrid w:val="0"/>
        <w:spacing w:line="560" w:lineRule="exact"/>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④服务对象满意度：整体提升了察访核验工作质量，工作过程清晰，核验成果规范。</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（二）绩效评价工作开展情况</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1.绩效评价目的、对象和范围。</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按照财政支出经济性、效率性和有效性的总体要求，运用科学合理的绩效评价指标、评价标准和评价方法，对2021年度察访核验项目</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支出的过程、支出成本进行比较和综合评估，提高财政资金使用效率，为以后此类项目实施的规范性、经济性提供参考依据。</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绩效评价原则、评价指标体系（附表说明）、评价方法、评价标准等。</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评价原则和方法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本次评价工作遵循“客观、公正、科学、规范”的原则，通过运用审阅、计算、核对、统计分析、效果比较等方法，对项目的经济性、效率性、效益型的进行评价。</w:t>
      </w:r>
    </w:p>
    <w:p>
      <w:pPr>
        <w:keepNext w:val="0"/>
        <w:keepLines w:val="0"/>
        <w:pageBreakBefore w:val="0"/>
        <w:kinsoku/>
        <w:wordWrap/>
        <w:overflowPunct/>
        <w:topLinePunct w:val="0"/>
        <w:bidi w:val="0"/>
        <w:snapToGrid/>
        <w:spacing w:line="560" w:lineRule="exact"/>
        <w:ind w:firstLine="560" w:firstLineChars="200"/>
        <w:rPr>
          <w:rFonts w:hint="eastAsia"/>
        </w:rPr>
      </w:pPr>
      <w:r>
        <w:rPr>
          <w:rFonts w:hint="eastAsia" w:ascii="仿宋_GB2312" w:hAnsi="仿宋_GB2312" w:eastAsia="仿宋_GB2312" w:cs="仿宋_GB2312"/>
          <w:sz w:val="28"/>
          <w:szCs w:val="28"/>
        </w:rPr>
        <w:t>评价指标体系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根据《丰台区财政支出绩效评价管理暂行办法》，评价工作组结合项目资金的特点及资金使用的具体情况，以资金使用结果为导向，设定了本次评价指标内容和权重，重点对绩效目标及产出指标完成情况、效益实现情况进行综合评价。</w:t>
      </w:r>
    </w:p>
    <w:p>
      <w:pPr>
        <w:keepNext w:val="0"/>
        <w:keepLines w:val="0"/>
        <w:pageBreakBefore w:val="0"/>
        <w:numPr>
          <w:ilvl w:val="0"/>
          <w:numId w:val="0"/>
        </w:numPr>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绩效评价工作过程。</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准备阶段</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一是组建评价工作组。由综合科和督查科组成，根据绩效评价工作职责分工，对2021年项目开展自评工作，为评价工作的顺利开展提供组织保障。</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二是确定绩效评价对象。根据年度绩效评价工作计划，研究确定年度工作绩效评价对象。评价对象确定后，原则上不在进行调整。</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三是制定评价工作实施方案，根据绩效评价工作要求，制定2021年度绩效评价工作方案，明确绩效评价实施工作目标、任务、时间安排和工作要求等具体事项。</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审阅核查</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一是了解绩效目标设立情况。评价工作组通过查阅项目申报文件等资料，了解绩效目标设定的明确性、合理性。</w:t>
      </w:r>
    </w:p>
    <w:p>
      <w:pPr>
        <w:keepNext w:val="0"/>
        <w:keepLines w:val="0"/>
        <w:pageBreakBefore w:val="0"/>
        <w:kinsoku/>
        <w:wordWrap/>
        <w:overflowPunct/>
        <w:topLinePunct w:val="0"/>
        <w:bidi w:val="0"/>
        <w:snapToGrid/>
        <w:spacing w:line="560" w:lineRule="exact"/>
        <w:ind w:left="558" w:leftChars="266"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二是了解项目效益实现情况。评价工作组通过分析评价项目的绩效实现情况，确认项目绩效是否达到了预期目标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资料信息汇总</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评价工作组在充分调研的基础上，对项目资料进行逐一核实。按照项目支出绩效评价指标体系内容和评价重点，工作组对资料进行分类整理、审阅评议。</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出具绩效评价报告</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评价工作组在项目绩效报告和审阅项目资料基础上，完成项目绩效评价报告初稿的撰写工作。报告初稿履行审核、沟通、反馈程序后，形成项目绩效评价报告终稿。</w:t>
      </w:r>
    </w:p>
    <w:p>
      <w:pPr>
        <w:keepNext w:val="0"/>
        <w:keepLines w:val="0"/>
        <w:pageBreakBefore w:val="0"/>
        <w:numPr>
          <w:ilvl w:val="0"/>
          <w:numId w:val="0"/>
        </w:numPr>
        <w:kinsoku/>
        <w:wordWrap/>
        <w:overflowPunct/>
        <w:topLinePunct w:val="0"/>
        <w:bidi w:val="0"/>
        <w:snapToGrid/>
        <w:spacing w:line="560" w:lineRule="exact"/>
        <w:ind w:left="630"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综合评价情况及评价结论（附相关评分表）</w:t>
      </w:r>
    </w:p>
    <w:p>
      <w:pPr>
        <w:jc w:val="center"/>
        <w:rPr>
          <w:rFonts w:ascii="宋体" w:hAnsi="宋体"/>
          <w:sz w:val="28"/>
          <w:szCs w:val="28"/>
        </w:rPr>
      </w:pPr>
      <w:r>
        <w:rPr>
          <w:rFonts w:hint="eastAsia" w:ascii="仿宋_GB2312" w:eastAsia="仿宋_GB2312"/>
          <w:b/>
          <w:color w:val="000000"/>
          <w:kern w:val="0"/>
          <w:sz w:val="28"/>
          <w:szCs w:val="28"/>
        </w:rPr>
        <w:t>附表：项目支出指标体系及评分情况表</w:t>
      </w:r>
    </w:p>
    <w:tbl>
      <w:tblPr>
        <w:tblStyle w:val="9"/>
        <w:tblW w:w="13217" w:type="dxa"/>
        <w:jc w:val="center"/>
        <w:tblLayout w:type="autofit"/>
        <w:tblCellMar>
          <w:top w:w="0" w:type="dxa"/>
          <w:left w:w="108" w:type="dxa"/>
          <w:bottom w:w="0" w:type="dxa"/>
          <w:right w:w="108" w:type="dxa"/>
        </w:tblCellMar>
      </w:tblPr>
      <w:tblGrid>
        <w:gridCol w:w="1202"/>
        <w:gridCol w:w="1125"/>
        <w:gridCol w:w="1665"/>
        <w:gridCol w:w="3785"/>
        <w:gridCol w:w="822"/>
        <w:gridCol w:w="1130"/>
        <w:gridCol w:w="3488"/>
      </w:tblGrid>
      <w:tr>
        <w:tblPrEx>
          <w:tblCellMar>
            <w:top w:w="0" w:type="dxa"/>
            <w:left w:w="108" w:type="dxa"/>
            <w:bottom w:w="0" w:type="dxa"/>
            <w:right w:w="108" w:type="dxa"/>
          </w:tblCellMar>
        </w:tblPrEx>
        <w:trPr>
          <w:trHeight w:val="500" w:hRule="atLeast"/>
          <w:tblHeader/>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一级</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二级</w:t>
            </w:r>
          </w:p>
        </w:tc>
        <w:tc>
          <w:tcPr>
            <w:tcW w:w="16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三级</w:t>
            </w:r>
          </w:p>
        </w:tc>
        <w:tc>
          <w:tcPr>
            <w:tcW w:w="37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四级</w:t>
            </w:r>
          </w:p>
        </w:tc>
        <w:tc>
          <w:tcPr>
            <w:tcW w:w="822"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分值</w:t>
            </w:r>
          </w:p>
        </w:tc>
        <w:tc>
          <w:tcPr>
            <w:tcW w:w="1130"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评价得分</w:t>
            </w:r>
          </w:p>
        </w:tc>
        <w:tc>
          <w:tcPr>
            <w:tcW w:w="34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评价意见</w:t>
            </w:r>
          </w:p>
        </w:tc>
      </w:tr>
      <w:tr>
        <w:tblPrEx>
          <w:tblCellMar>
            <w:top w:w="0" w:type="dxa"/>
            <w:left w:w="108" w:type="dxa"/>
            <w:bottom w:w="0" w:type="dxa"/>
            <w:right w:w="108" w:type="dxa"/>
          </w:tblCellMar>
        </w:tblPrEx>
        <w:trPr>
          <w:trHeight w:val="540" w:hRule="atLeast"/>
          <w:jc w:val="center"/>
        </w:trPr>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项目决策（15）</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项目立项（5）</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目标设定</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绩效目标合理性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绩效目标设计合理</w:t>
            </w:r>
          </w:p>
        </w:tc>
      </w:tr>
      <w:tr>
        <w:tblPrEx>
          <w:tblCellMar>
            <w:top w:w="0" w:type="dxa"/>
            <w:left w:w="108" w:type="dxa"/>
            <w:bottom w:w="0" w:type="dxa"/>
            <w:right w:w="108" w:type="dxa"/>
          </w:tblCellMar>
        </w:tblPrEx>
        <w:trPr>
          <w:trHeight w:val="5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绩效目标准确性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绩效目标不够准确</w:t>
            </w:r>
          </w:p>
        </w:tc>
      </w:tr>
      <w:tr>
        <w:tblPrEx>
          <w:tblCellMar>
            <w:top w:w="0" w:type="dxa"/>
            <w:left w:w="108" w:type="dxa"/>
            <w:bottom w:w="0" w:type="dxa"/>
            <w:right w:w="108" w:type="dxa"/>
          </w:tblCellMar>
        </w:tblPrEx>
        <w:trPr>
          <w:trHeight w:val="68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决策过程（10）</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决策依据</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项目符合发展规划或年度工作计划</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项目与部门发展规划或年度工作计划相符</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项目计划合理程度</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项目按计划实施</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项目立项符合部门职能</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项目立项完全符合部门职能</w:t>
            </w:r>
          </w:p>
        </w:tc>
      </w:tr>
      <w:tr>
        <w:tblPrEx>
          <w:tblCellMar>
            <w:top w:w="0" w:type="dxa"/>
            <w:left w:w="108" w:type="dxa"/>
            <w:bottom w:w="0" w:type="dxa"/>
            <w:right w:w="108" w:type="dxa"/>
          </w:tblCellMar>
        </w:tblPrEx>
        <w:trPr>
          <w:trHeight w:val="68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决策程序</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项目申报、批复程序符合管理办法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项目申报、批复程序符合相关管理办法</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项目决策程序的规范性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决策程序规范</w:t>
            </w:r>
          </w:p>
        </w:tc>
      </w:tr>
      <w:tr>
        <w:tblPrEx>
          <w:tblCellMar>
            <w:top w:w="0" w:type="dxa"/>
            <w:left w:w="108" w:type="dxa"/>
            <w:bottom w:w="0" w:type="dxa"/>
            <w:right w:w="108" w:type="dxa"/>
          </w:tblCellMar>
        </w:tblPrEx>
        <w:trPr>
          <w:trHeight w:val="680" w:hRule="atLeast"/>
          <w:jc w:val="center"/>
        </w:trPr>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项目管理（30）</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项目资金（15）</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预算管理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预算编制的细化和准确程度</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项目预算编制细化</w:t>
            </w:r>
          </w:p>
        </w:tc>
      </w:tr>
      <w:tr>
        <w:tblPrEx>
          <w:tblCellMar>
            <w:top w:w="0" w:type="dxa"/>
            <w:left w:w="108" w:type="dxa"/>
            <w:bottom w:w="0" w:type="dxa"/>
            <w:right w:w="108" w:type="dxa"/>
          </w:tblCellMar>
        </w:tblPrEx>
        <w:trPr>
          <w:trHeight w:val="68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预算执行与预算编制一致性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项目预算执行与预算编制一致</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预算执行率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项目预算执行率100%</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资金管理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资金到位率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项目资金足额拨付</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资金到位及时率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项目资金及时拨付</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财务管理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资金使用合规性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财务制度比较健全</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会计核算规范性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项目会计核算规范，符合会计原则</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财务监控有效性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资金监控严格执行</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项目实施（15）</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组织机构</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项目管理执行机构的健全性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项目管理执行机构组织健全</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项目管理执行机构人员分工明确性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项目管理执行机构人员分工明确</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制度建设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项目管理制度的健全性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建立项目管理制度规范、完善</w:t>
            </w:r>
          </w:p>
        </w:tc>
      </w:tr>
      <w:tr>
        <w:tblPrEx>
          <w:tblCellMar>
            <w:top w:w="0" w:type="dxa"/>
            <w:left w:w="108" w:type="dxa"/>
            <w:bottom w:w="0" w:type="dxa"/>
            <w:right w:w="108" w:type="dxa"/>
          </w:tblCellMar>
        </w:tblPrEx>
        <w:trPr>
          <w:trHeight w:val="10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制定实施方案或实施计划</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按项目方案要求制定有项目实施方案或实施计划</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过程控制</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项目实施方案执行的有效性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项目实施严格按照实施方案要求执行</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项目实施程序合理性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项目实施程序规范、合理</w:t>
            </w:r>
          </w:p>
        </w:tc>
      </w:tr>
      <w:tr>
        <w:tblPrEx>
          <w:tblCellMar>
            <w:top w:w="0" w:type="dxa"/>
            <w:left w:w="108" w:type="dxa"/>
            <w:bottom w:w="0" w:type="dxa"/>
            <w:right w:w="108" w:type="dxa"/>
          </w:tblCellMar>
        </w:tblPrEx>
        <w:trPr>
          <w:trHeight w:val="1020" w:hRule="atLeast"/>
          <w:jc w:val="center"/>
        </w:trPr>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项目绩效（55）</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项目产出（30）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数量指标</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总体核验点位数量不超过4000个（含重复核查点位）</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三轮核验点位总数达4392个</w:t>
            </w:r>
          </w:p>
        </w:tc>
      </w:tr>
      <w:tr>
        <w:tblPrEx>
          <w:tblCellMar>
            <w:top w:w="0" w:type="dxa"/>
            <w:left w:w="108" w:type="dxa"/>
            <w:bottom w:w="0" w:type="dxa"/>
            <w:right w:w="108" w:type="dxa"/>
          </w:tblCellMar>
        </w:tblPrEx>
        <w:trPr>
          <w:trHeight w:val="100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质量指标</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达到绩效质量目标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察访核验结果基本达到质量或目标要求，但专题核验有所延缓</w:t>
            </w:r>
          </w:p>
        </w:tc>
      </w:tr>
      <w:tr>
        <w:tblPrEx>
          <w:tblCellMar>
            <w:top w:w="0" w:type="dxa"/>
            <w:left w:w="108" w:type="dxa"/>
            <w:bottom w:w="0" w:type="dxa"/>
            <w:right w:w="108" w:type="dxa"/>
          </w:tblCellMar>
        </w:tblPrEx>
        <w:trPr>
          <w:trHeight w:val="96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时效指标</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实施和反馈及时、有效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按照时间计划安排推进实施，问题反馈及时、证据链全面</w:t>
            </w:r>
          </w:p>
        </w:tc>
      </w:tr>
      <w:tr>
        <w:tblPrEx>
          <w:tblCellMar>
            <w:top w:w="0" w:type="dxa"/>
            <w:left w:w="108" w:type="dxa"/>
            <w:bottom w:w="0" w:type="dxa"/>
            <w:right w:w="108" w:type="dxa"/>
          </w:tblCellMar>
        </w:tblPrEx>
        <w:trPr>
          <w:trHeight w:val="6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产出成本</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成本控制程度</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项目成本控制在预算范围内</w:t>
            </w:r>
          </w:p>
        </w:tc>
      </w:tr>
      <w:tr>
        <w:tblPrEx>
          <w:tblCellMar>
            <w:top w:w="0" w:type="dxa"/>
            <w:left w:w="108" w:type="dxa"/>
            <w:bottom w:w="0" w:type="dxa"/>
            <w:right w:w="108" w:type="dxa"/>
          </w:tblCellMar>
        </w:tblPrEx>
        <w:trPr>
          <w:trHeight w:val="100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项目效果（25）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经济效益</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通过察访核验推进工作落实，提高资金使用效益</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支撑材料略显不足。</w:t>
            </w:r>
          </w:p>
        </w:tc>
      </w:tr>
      <w:tr>
        <w:tblPrEx>
          <w:tblCellMar>
            <w:top w:w="0" w:type="dxa"/>
            <w:left w:w="108" w:type="dxa"/>
            <w:bottom w:w="0" w:type="dxa"/>
            <w:right w:w="108" w:type="dxa"/>
          </w:tblCellMar>
        </w:tblPrEx>
        <w:trPr>
          <w:trHeight w:val="21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社会效益</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通过开展三轮察访核验，极大的推动丰台区各单位重点任务落实，强化自身建设，推动政府效能提升和社会公众满意度的提高</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社会效益明显实现。</w:t>
            </w:r>
          </w:p>
        </w:tc>
      </w:tr>
      <w:tr>
        <w:tblPrEx>
          <w:tblCellMar>
            <w:top w:w="0" w:type="dxa"/>
            <w:left w:w="108" w:type="dxa"/>
            <w:bottom w:w="0" w:type="dxa"/>
            <w:right w:w="108" w:type="dxa"/>
          </w:tblCellMar>
        </w:tblPrEx>
        <w:trPr>
          <w:trHeight w:val="238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可持续影响</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全流程督查考核有助于推动形成全过程督查考核工作体系，完善和细化绩效考核工作内容，推动各部门工作落实和过程监管的可持续发展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项目预期可持续影响好</w:t>
            </w:r>
          </w:p>
        </w:tc>
      </w:tr>
      <w:tr>
        <w:tblPrEx>
          <w:tblCellMar>
            <w:top w:w="0" w:type="dxa"/>
            <w:left w:w="108" w:type="dxa"/>
            <w:bottom w:w="0" w:type="dxa"/>
            <w:right w:w="108" w:type="dxa"/>
          </w:tblCellMar>
        </w:tblPrEx>
        <w:trPr>
          <w:trHeight w:val="740" w:hRule="atLeast"/>
          <w:jc w:val="center"/>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_GB2312" w:hAnsi="宋体" w:eastAsia="仿宋_GB2312" w:cs="宋体"/>
                <w:color w:val="000000"/>
                <w:kern w:val="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服务对象满意度</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服务对象满意度不低于90%</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服务对象满意度统计不够精细。</w:t>
            </w:r>
          </w:p>
        </w:tc>
      </w:tr>
      <w:tr>
        <w:tblPrEx>
          <w:tblCellMar>
            <w:top w:w="0" w:type="dxa"/>
            <w:left w:w="108" w:type="dxa"/>
            <w:bottom w:w="0" w:type="dxa"/>
            <w:right w:w="108" w:type="dxa"/>
          </w:tblCellMar>
        </w:tblPrEx>
        <w:trPr>
          <w:trHeight w:val="330" w:hRule="atLeast"/>
          <w:jc w:val="center"/>
        </w:trPr>
        <w:tc>
          <w:tcPr>
            <w:tcW w:w="77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100</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96</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仿宋_GB2312" w:hAnsi="宋体" w:eastAsia="仿宋_GB2312" w:cs="宋体"/>
                <w:b/>
                <w:bCs/>
                <w:color w:val="000000"/>
                <w:kern w:val="0"/>
                <w:sz w:val="22"/>
                <w:szCs w:val="22"/>
              </w:rPr>
            </w:pPr>
          </w:p>
        </w:tc>
      </w:tr>
    </w:tbl>
    <w:p>
      <w:pPr>
        <w:pStyle w:val="2"/>
        <w:ind w:left="0" w:leftChars="0" w:firstLine="0" w:firstLineChars="0"/>
        <w:rPr>
          <w:rFonts w:hint="eastAsia"/>
        </w:rPr>
      </w:pP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经评议，该项目综合评价得分96分,绩效评价级别为“优秀”。</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（四）绩效评价指标分析</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决策情况。为提升丰台区2021年度项目评价工作质量，政府办根据工作需要，设定了项目绩效目标表。该项目绩效目标设定明确、合理；与单位职能及年度工作计划相符；项目产出指标符合相关政策、办法要求。</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过程情况。区政府察访核验项目由政府办决策督查科具体实施。在具体的实施工作中在保障安全有效的基础上统一化、规范化。该项目组织机构健全、职责分工比较明确，保质保量完成了项目的组织实施，较好的完成了工作任务，实现了预期目标。</w:t>
      </w:r>
      <w:bookmarkStart w:id="0" w:name="_Toc14931"/>
      <w:bookmarkEnd w:id="0"/>
      <w:r>
        <w:rPr>
          <w:rFonts w:hint="eastAsia" w:ascii="仿宋_GB2312" w:hAnsi="仿宋_GB2312" w:eastAsia="仿宋_GB2312" w:cs="仿宋_GB2312"/>
          <w:sz w:val="28"/>
          <w:szCs w:val="28"/>
        </w:rPr>
        <w:t>该项目管理机制健全，且执行有效。</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3.项目产出情况。2021年绩效考核项目中各项工作按计划、方案或合同规定有序开展，项目整体情况良好，实现了预期的绩效目标。</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4.项目效益情况。</w:t>
      </w:r>
      <w:r>
        <w:rPr>
          <w:rFonts w:hint="eastAsia" w:ascii="仿宋_GB2312" w:hAnsi="仿宋_GB2312" w:eastAsia="仿宋_GB2312" w:cs="仿宋_GB2312"/>
          <w:sz w:val="28"/>
          <w:szCs w:val="28"/>
          <w:lang w:eastAsia="zh-CN"/>
        </w:rPr>
        <w:t>①</w:t>
      </w:r>
      <w:r>
        <w:rPr>
          <w:rFonts w:hint="eastAsia" w:ascii="仿宋_GB2312" w:hAnsi="仿宋_GB2312" w:eastAsia="仿宋_GB2312" w:cs="仿宋_GB2312"/>
          <w:sz w:val="28"/>
          <w:szCs w:val="28"/>
        </w:rPr>
        <w:t>项目实施较好地达到了预期目标，实现了预期效果，完成了各项具体工作指标要求，2021年察访核验项目中各项工作按计划、方案或合同规定有序开展，项目整体情况良好，实现了预期的绩效目标。</w:t>
      </w:r>
      <w:r>
        <w:rPr>
          <w:rFonts w:hint="eastAsia" w:ascii="仿宋_GB2312" w:hAnsi="仿宋_GB2312" w:eastAsia="仿宋_GB2312" w:cs="仿宋_GB2312"/>
          <w:sz w:val="28"/>
          <w:szCs w:val="28"/>
          <w:lang w:eastAsia="zh-CN"/>
        </w:rPr>
        <w:t>②</w:t>
      </w:r>
      <w:r>
        <w:rPr>
          <w:rFonts w:hint="eastAsia" w:ascii="仿宋_GB2312" w:hAnsi="仿宋_GB2312" w:eastAsia="仿宋_GB2312" w:cs="仿宋_GB2312"/>
          <w:sz w:val="28"/>
          <w:szCs w:val="28"/>
        </w:rPr>
        <w:t>通过该项目的实施，有效推动了市区重要决策部署的落实，提升了政府行政效能，助推各项民生工作落到实处，增强了群众的获得感。</w:t>
      </w:r>
      <w:r>
        <w:rPr>
          <w:rFonts w:hint="eastAsia" w:ascii="仿宋_GB2312" w:hAnsi="仿宋_GB2312" w:eastAsia="仿宋_GB2312" w:cs="仿宋_GB2312"/>
          <w:sz w:val="28"/>
          <w:szCs w:val="28"/>
          <w:lang w:eastAsia="zh-CN"/>
        </w:rPr>
        <w:t>③</w:t>
      </w:r>
      <w:r>
        <w:rPr>
          <w:rFonts w:hint="eastAsia" w:ascii="仿宋_GB2312" w:hAnsi="仿宋_GB2312" w:eastAsia="仿宋_GB2312" w:cs="仿宋_GB2312"/>
          <w:sz w:val="28"/>
          <w:szCs w:val="28"/>
        </w:rPr>
        <w:t>“过程进度跟踪——年度全面察访核验——问题回头看”三轮察访核验，有助于推动形成全过程督查考核工作体系，推动各部门工作落实和过程监管的可持续发展。</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（五）主要经验及做法、存在的问题及原因分析</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结合项目实施和开展情况，精确设计服务对象满意度评价指标，提升服务对象满意度。</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有关建议</w:t>
      </w:r>
    </w:p>
    <w:p>
      <w:pPr>
        <w:keepNext w:val="0"/>
        <w:keepLines w:val="0"/>
        <w:pageBreakBefore w:val="0"/>
        <w:kinsoku/>
        <w:wordWrap/>
        <w:overflowPunct/>
        <w:topLinePunct w:val="0"/>
        <w:bidi w:val="0"/>
        <w:snapToGrid/>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无。</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（七）其他需要说明的问题</w:t>
      </w:r>
    </w:p>
    <w:p>
      <w:pPr>
        <w:keepNext w:val="0"/>
        <w:keepLines w:val="0"/>
        <w:pageBreakBefore w:val="0"/>
        <w:kinsoku/>
        <w:wordWrap/>
        <w:overflowPunct/>
        <w:topLinePunct w:val="0"/>
        <w:bidi w:val="0"/>
        <w:snapToGrid/>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w:t>
      </w:r>
    </w:p>
    <w:p>
      <w:pPr>
        <w:keepNext w:val="0"/>
        <w:keepLines w:val="0"/>
        <w:pageBreakBefore w:val="0"/>
        <w:kinsoku/>
        <w:wordWrap/>
        <w:overflowPunct/>
        <w:topLinePunct w:val="0"/>
        <w:bidi w:val="0"/>
        <w:snapToGrid/>
        <w:spacing w:line="560" w:lineRule="exact"/>
        <w:ind w:firstLine="560" w:firstLineChars="200"/>
        <w:rPr>
          <w:rFonts w:hint="eastAsia" w:ascii="黑体" w:eastAsia="黑体"/>
          <w:sz w:val="15"/>
          <w:szCs w:val="15"/>
        </w:rPr>
      </w:pPr>
      <w:r>
        <w:rPr>
          <w:rFonts w:hint="eastAsia" w:ascii="黑体" w:eastAsia="黑体"/>
          <w:sz w:val="28"/>
          <w:szCs w:val="28"/>
        </w:rPr>
        <w:t>三</w:t>
      </w:r>
      <w:r>
        <w:rPr>
          <w:rFonts w:ascii="黑体" w:eastAsia="黑体"/>
          <w:sz w:val="28"/>
          <w:szCs w:val="28"/>
        </w:rPr>
        <w:t>、</w:t>
      </w:r>
      <w:r>
        <w:rPr>
          <w:rFonts w:hint="eastAsia" w:ascii="黑体" w:eastAsia="黑体"/>
          <w:sz w:val="28"/>
          <w:szCs w:val="28"/>
        </w:rPr>
        <w:t>项目</w:t>
      </w:r>
      <w:r>
        <w:rPr>
          <w:rFonts w:ascii="黑体" w:eastAsia="黑体"/>
          <w:sz w:val="28"/>
          <w:szCs w:val="28"/>
        </w:rPr>
        <w:t>支出绩效自评表</w:t>
      </w:r>
    </w:p>
    <w:tbl>
      <w:tblPr>
        <w:tblStyle w:val="9"/>
        <w:tblpPr w:leftFromText="180" w:rightFromText="180" w:vertAnchor="text" w:horzAnchor="page" w:tblpX="1356" w:tblpY="575"/>
        <w:tblOverlap w:val="never"/>
        <w:tblW w:w="14322" w:type="dxa"/>
        <w:tblInd w:w="0" w:type="dxa"/>
        <w:tblLayout w:type="fixed"/>
        <w:tblCellMar>
          <w:top w:w="0" w:type="dxa"/>
          <w:left w:w="108" w:type="dxa"/>
          <w:bottom w:w="0" w:type="dxa"/>
          <w:right w:w="108" w:type="dxa"/>
        </w:tblCellMar>
      </w:tblPr>
      <w:tblGrid>
        <w:gridCol w:w="1780"/>
        <w:gridCol w:w="870"/>
        <w:gridCol w:w="1350"/>
        <w:gridCol w:w="1215"/>
        <w:gridCol w:w="915"/>
        <w:gridCol w:w="69"/>
        <w:gridCol w:w="1746"/>
        <w:gridCol w:w="495"/>
        <w:gridCol w:w="666"/>
        <w:gridCol w:w="1614"/>
        <w:gridCol w:w="555"/>
        <w:gridCol w:w="782"/>
        <w:gridCol w:w="2265"/>
      </w:tblGrid>
      <w:tr>
        <w:tblPrEx>
          <w:tblCellMar>
            <w:top w:w="0" w:type="dxa"/>
            <w:left w:w="108" w:type="dxa"/>
            <w:bottom w:w="0" w:type="dxa"/>
            <w:right w:w="108" w:type="dxa"/>
          </w:tblCellMar>
        </w:tblPrEx>
        <w:trPr>
          <w:trHeight w:val="306" w:hRule="exact"/>
        </w:trPr>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254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宋体" w:hAnsi="宋体" w:eastAsia="仿宋_GB2312" w:cs="宋体"/>
                <w:color w:val="000000"/>
                <w:kern w:val="0"/>
                <w:sz w:val="15"/>
                <w:szCs w:val="15"/>
                <w:lang w:val="en-US" w:eastAsia="zh-CN"/>
              </w:rPr>
              <w:t>1.</w:t>
            </w:r>
            <w:r>
              <w:rPr>
                <w:rFonts w:hint="eastAsia" w:ascii="宋体" w:hAnsi="宋体" w:eastAsia="仿宋_GB2312" w:cs="宋体"/>
                <w:color w:val="000000"/>
                <w:kern w:val="0"/>
                <w:sz w:val="15"/>
                <w:szCs w:val="15"/>
                <w:lang w:eastAsia="zh-CN"/>
              </w:rPr>
              <w:t>政府办工作经费</w:t>
            </w:r>
          </w:p>
        </w:tc>
      </w:tr>
      <w:tr>
        <w:tblPrEx>
          <w:tblCellMar>
            <w:top w:w="0" w:type="dxa"/>
            <w:left w:w="108" w:type="dxa"/>
            <w:bottom w:w="0" w:type="dxa"/>
            <w:right w:w="108" w:type="dxa"/>
          </w:tblCellMar>
        </w:tblPrEx>
        <w:trPr>
          <w:trHeight w:val="306" w:hRule="exact"/>
        </w:trPr>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61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北京市丰台区政府办公室</w:t>
            </w:r>
          </w:p>
        </w:tc>
        <w:tc>
          <w:tcPr>
            <w:tcW w:w="11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521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北京市丰台区政府办公室</w:t>
            </w:r>
          </w:p>
        </w:tc>
      </w:tr>
      <w:tr>
        <w:tblPrEx>
          <w:tblCellMar>
            <w:top w:w="0" w:type="dxa"/>
            <w:left w:w="108" w:type="dxa"/>
            <w:bottom w:w="0" w:type="dxa"/>
            <w:right w:w="108" w:type="dxa"/>
          </w:tblCellMar>
        </w:tblPrEx>
        <w:trPr>
          <w:trHeight w:val="306" w:hRule="exact"/>
        </w:trPr>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61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刘雨琦</w:t>
            </w:r>
          </w:p>
        </w:tc>
        <w:tc>
          <w:tcPr>
            <w:tcW w:w="11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521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67" w:hRule="exact"/>
        </w:trPr>
        <w:tc>
          <w:tcPr>
            <w:tcW w:w="1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34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年初预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74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1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执行数</w:t>
            </w:r>
          </w:p>
        </w:tc>
        <w:tc>
          <w:tcPr>
            <w:tcW w:w="21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22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306"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4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9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72万</w:t>
            </w:r>
          </w:p>
        </w:tc>
        <w:tc>
          <w:tcPr>
            <w:tcW w:w="17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72万</w:t>
            </w:r>
          </w:p>
        </w:tc>
        <w:tc>
          <w:tcPr>
            <w:tcW w:w="11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66.24万</w:t>
            </w:r>
          </w:p>
        </w:tc>
        <w:tc>
          <w:tcPr>
            <w:tcW w:w="21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92%</w:t>
            </w:r>
          </w:p>
        </w:tc>
        <w:tc>
          <w:tcPr>
            <w:tcW w:w="22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9</w:t>
            </w:r>
          </w:p>
        </w:tc>
      </w:tr>
      <w:tr>
        <w:tblPrEx>
          <w:tblCellMar>
            <w:top w:w="0" w:type="dxa"/>
            <w:left w:w="108" w:type="dxa"/>
            <w:bottom w:w="0" w:type="dxa"/>
            <w:right w:w="108" w:type="dxa"/>
          </w:tblCellMar>
        </w:tblPrEx>
        <w:trPr>
          <w:trHeight w:val="327"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4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9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72万</w:t>
            </w:r>
          </w:p>
        </w:tc>
        <w:tc>
          <w:tcPr>
            <w:tcW w:w="17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72万</w:t>
            </w:r>
          </w:p>
        </w:tc>
        <w:tc>
          <w:tcPr>
            <w:tcW w:w="11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rPr>
              <w:t>66</w:t>
            </w:r>
            <w:r>
              <w:rPr>
                <w:rFonts w:hint="eastAsia" w:ascii="仿宋_GB2312" w:hAnsi="宋体" w:eastAsia="仿宋_GB2312" w:cs="宋体"/>
                <w:kern w:val="0"/>
                <w:sz w:val="15"/>
                <w:szCs w:val="15"/>
                <w:lang w:val="en-US" w:eastAsia="zh-CN"/>
              </w:rPr>
              <w:t>.24万</w:t>
            </w:r>
          </w:p>
        </w:tc>
        <w:tc>
          <w:tcPr>
            <w:tcW w:w="21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2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59"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4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9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7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0</w:t>
            </w:r>
          </w:p>
        </w:tc>
        <w:tc>
          <w:tcPr>
            <w:tcW w:w="21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2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60"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4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w:t>
            </w:r>
            <w:r>
              <w:rPr>
                <w:rFonts w:hint="eastAsia" w:ascii="仿宋_GB2312" w:hAnsi="宋体" w:eastAsia="仿宋_GB2312" w:cs="宋体"/>
                <w:kern w:val="0"/>
                <w:sz w:val="15"/>
                <w:szCs w:val="15"/>
                <w:lang w:val="en-US" w:eastAsia="zh-CN"/>
              </w:rPr>
              <w:t xml:space="preserve"> </w:t>
            </w:r>
            <w:r>
              <w:rPr>
                <w:rFonts w:hint="eastAsia" w:ascii="仿宋_GB2312" w:hAnsi="宋体" w:eastAsia="仿宋_GB2312" w:cs="宋体"/>
                <w:kern w:val="0"/>
                <w:sz w:val="15"/>
                <w:szCs w:val="15"/>
              </w:rPr>
              <w:t xml:space="preserve"> 其他资金</w:t>
            </w:r>
          </w:p>
        </w:tc>
        <w:tc>
          <w:tcPr>
            <w:tcW w:w="9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7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6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0</w:t>
            </w:r>
          </w:p>
        </w:tc>
        <w:tc>
          <w:tcPr>
            <w:tcW w:w="21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2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50" w:hRule="exact"/>
        </w:trPr>
        <w:tc>
          <w:tcPr>
            <w:tcW w:w="1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61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637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578" w:hRule="exact"/>
        </w:trPr>
        <w:tc>
          <w:tcPr>
            <w:tcW w:w="1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1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政府办因工作需要支出的经费，包括但不限于值班、调研产生的经费、法律顾问费、其他商品和服务支出、速记费支出、保障大型活动需要的支出等。使政府办工作能够平稳有序运行。</w:t>
            </w:r>
          </w:p>
        </w:tc>
        <w:tc>
          <w:tcPr>
            <w:tcW w:w="637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政府办因工作需要支出的经费，包括但不限于值班、调研产生的经费、法律顾问费、其他商品和服务支出、速记费支出、保障大型活动需要的支出等。使政府办工作能够平稳有序运行。</w:t>
            </w:r>
          </w:p>
        </w:tc>
      </w:tr>
      <w:tr>
        <w:tblPrEx>
          <w:tblCellMar>
            <w:top w:w="0" w:type="dxa"/>
            <w:left w:w="108" w:type="dxa"/>
            <w:bottom w:w="0" w:type="dxa"/>
            <w:right w:w="108" w:type="dxa"/>
          </w:tblCellMar>
        </w:tblPrEx>
        <w:trPr>
          <w:trHeight w:val="247" w:hRule="exact"/>
        </w:trPr>
        <w:tc>
          <w:tcPr>
            <w:tcW w:w="1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8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346"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产出指标</w:t>
            </w:r>
          </w:p>
        </w:tc>
        <w:tc>
          <w:tcPr>
            <w:tcW w:w="1350"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数量指标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eastAsia="zh-CN"/>
              </w:rPr>
            </w:pPr>
            <w:r>
              <w:rPr>
                <w:rFonts w:hint="eastAsia" w:ascii="仿宋_GB2312" w:hAnsi="仿宋_GB2312" w:eastAsia="仿宋_GB2312" w:cs="仿宋_GB2312"/>
                <w:color w:val="000000"/>
                <w:kern w:val="0"/>
                <w:sz w:val="15"/>
                <w:szCs w:val="15"/>
                <w:lang w:eastAsia="zh-CN"/>
              </w:rPr>
              <w:t>法律顾问费</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15"/>
                <w:szCs w:val="15"/>
                <w:lang w:val="en-US" w:eastAsia="zh-CN" w:bidi="ar-SA"/>
              </w:rPr>
            </w:pPr>
            <w:r>
              <w:rPr>
                <w:rFonts w:hint="eastAsia" w:ascii="仿宋_GB2312" w:hAnsi="仿宋_GB2312" w:eastAsia="仿宋_GB2312" w:cs="仿宋_GB2312"/>
                <w:color w:val="000000"/>
                <w:kern w:val="0"/>
                <w:sz w:val="15"/>
                <w:szCs w:val="15"/>
                <w:lang w:val="en-US" w:eastAsia="zh-CN" w:bidi="ar-SA"/>
              </w:rPr>
              <w:t>所有合同审核及时（2日内完成）</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仿宋_GB2312" w:eastAsia="仿宋_GB2312" w:cs="仿宋_GB2312"/>
                <w:color w:val="000000"/>
                <w:kern w:val="0"/>
                <w:sz w:val="15"/>
                <w:szCs w:val="15"/>
                <w:lang w:val="en-US" w:eastAsia="zh-CN" w:bidi="ar-SA"/>
              </w:rPr>
              <w:t>所有合同审核及时（2日内完成）</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14</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297"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35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val="en-US" w:eastAsia="zh-CN" w:bidi="ar-SA"/>
              </w:rPr>
            </w:pPr>
            <w:r>
              <w:rPr>
                <w:rFonts w:hint="eastAsia" w:ascii="仿宋_GB2312" w:hAnsi="仿宋_GB2312" w:eastAsia="仿宋_GB2312" w:cs="仿宋_GB2312"/>
                <w:color w:val="000000"/>
                <w:kern w:val="0"/>
                <w:sz w:val="15"/>
                <w:szCs w:val="15"/>
                <w:lang w:eastAsia="zh-CN"/>
              </w:rPr>
              <w:t>订购硒鼓耗材</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val="en-US" w:eastAsia="zh-CN" w:bidi="ar-SA"/>
              </w:rPr>
            </w:pPr>
            <w:r>
              <w:rPr>
                <w:rFonts w:hint="eastAsia" w:ascii="仿宋_GB2312" w:hAnsi="仿宋_GB2312" w:eastAsia="仿宋_GB2312" w:cs="仿宋_GB2312"/>
                <w:color w:val="000000"/>
                <w:kern w:val="0"/>
                <w:sz w:val="15"/>
                <w:szCs w:val="15"/>
                <w:lang w:eastAsia="zh-CN"/>
              </w:rPr>
              <w:t>送货及时（</w:t>
            </w:r>
            <w:r>
              <w:rPr>
                <w:rFonts w:hint="eastAsia" w:ascii="仿宋_GB2312" w:hAnsi="仿宋_GB2312" w:eastAsia="仿宋_GB2312" w:cs="仿宋_GB2312"/>
                <w:color w:val="000000"/>
                <w:kern w:val="0"/>
                <w:sz w:val="15"/>
                <w:szCs w:val="15"/>
                <w:lang w:val="en-US" w:eastAsia="zh-CN"/>
              </w:rPr>
              <w:t>2日内送达</w:t>
            </w:r>
            <w:r>
              <w:rPr>
                <w:rFonts w:hint="eastAsia" w:ascii="仿宋_GB2312" w:hAnsi="仿宋_GB2312" w:eastAsia="仿宋_GB2312" w:cs="仿宋_GB2312"/>
                <w:color w:val="000000"/>
                <w:kern w:val="0"/>
                <w:sz w:val="15"/>
                <w:szCs w:val="15"/>
                <w:lang w:eastAsia="zh-CN"/>
              </w:rPr>
              <w:t>）</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15"/>
                <w:szCs w:val="15"/>
                <w:lang w:val="en-US" w:eastAsia="zh-CN" w:bidi="ar-SA"/>
              </w:rPr>
            </w:pPr>
            <w:r>
              <w:rPr>
                <w:rFonts w:hint="eastAsia" w:ascii="仿宋_GB2312" w:hAnsi="仿宋_GB2312" w:eastAsia="仿宋_GB2312" w:cs="仿宋_GB2312"/>
                <w:color w:val="000000"/>
                <w:kern w:val="0"/>
                <w:sz w:val="15"/>
                <w:szCs w:val="15"/>
                <w:lang w:eastAsia="zh-CN"/>
              </w:rPr>
              <w:t>送货及时（</w:t>
            </w:r>
            <w:r>
              <w:rPr>
                <w:rFonts w:hint="eastAsia" w:ascii="仿宋_GB2312" w:hAnsi="仿宋_GB2312" w:eastAsia="仿宋_GB2312" w:cs="仿宋_GB2312"/>
                <w:color w:val="000000"/>
                <w:kern w:val="0"/>
                <w:sz w:val="15"/>
                <w:szCs w:val="15"/>
                <w:lang w:val="en-US" w:eastAsia="zh-CN"/>
              </w:rPr>
              <w:t>2日内送达</w:t>
            </w:r>
            <w:r>
              <w:rPr>
                <w:rFonts w:hint="eastAsia" w:ascii="仿宋_GB2312" w:hAnsi="仿宋_GB2312" w:eastAsia="仿宋_GB2312" w:cs="仿宋_GB2312"/>
                <w:color w:val="000000"/>
                <w:kern w:val="0"/>
                <w:sz w:val="15"/>
                <w:szCs w:val="15"/>
                <w:lang w:eastAsia="zh-CN"/>
              </w:rPr>
              <w:t>）</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疫情原因</w:t>
            </w:r>
          </w:p>
        </w:tc>
      </w:tr>
      <w:tr>
        <w:tblPrEx>
          <w:tblCellMar>
            <w:top w:w="0" w:type="dxa"/>
            <w:left w:w="108" w:type="dxa"/>
            <w:bottom w:w="0" w:type="dxa"/>
            <w:right w:w="108" w:type="dxa"/>
          </w:tblCellMar>
        </w:tblPrEx>
        <w:trPr>
          <w:trHeight w:val="701"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3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质量指标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15"/>
                <w:szCs w:val="15"/>
                <w:lang w:val="en-US" w:eastAsia="zh-CN"/>
              </w:rPr>
            </w:pPr>
            <w:r>
              <w:rPr>
                <w:rFonts w:hint="eastAsia" w:ascii="仿宋_GB2312" w:hAnsi="仿宋_GB2312" w:eastAsia="仿宋_GB2312" w:cs="仿宋_GB2312"/>
                <w:color w:val="000000"/>
                <w:kern w:val="0"/>
                <w:sz w:val="15"/>
                <w:szCs w:val="15"/>
                <w:lang w:val="en-US" w:eastAsia="zh-CN"/>
              </w:rPr>
              <w:t>硒鼓耗材送货无差错；印刷质量高；速记整理速度快、质量高</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val="en-US" w:eastAsia="zh-CN"/>
              </w:rPr>
            </w:pPr>
            <w:r>
              <w:rPr>
                <w:rFonts w:hint="eastAsia" w:ascii="仿宋_GB2312" w:hAnsi="仿宋_GB2312" w:eastAsia="仿宋_GB2312" w:cs="仿宋_GB2312"/>
                <w:color w:val="000000"/>
                <w:kern w:val="0"/>
                <w:sz w:val="15"/>
                <w:szCs w:val="15"/>
                <w:lang w:val="en-US" w:eastAsia="zh-CN"/>
              </w:rPr>
              <w:t>硒鼓耗材送货无差错；印刷质量高；速记整理速度快、质量高</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仿宋_GB2312" w:eastAsia="仿宋_GB2312" w:cs="仿宋_GB2312"/>
                <w:color w:val="000000"/>
                <w:kern w:val="0"/>
                <w:sz w:val="15"/>
                <w:szCs w:val="15"/>
                <w:lang w:val="en-US" w:eastAsia="zh-CN"/>
              </w:rPr>
              <w:t>硒鼓耗材送货无差错；印刷质量高；速记整理速度快、质量高</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313"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3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时效指标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所有工作12月底前完成</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val="en-US" w:eastAsia="zh-CN"/>
              </w:rPr>
            </w:pPr>
            <w:r>
              <w:rPr>
                <w:rFonts w:hint="eastAsia" w:ascii="仿宋_GB2312" w:hAnsi="仿宋_GB2312" w:eastAsia="仿宋_GB2312" w:cs="仿宋_GB2312"/>
                <w:color w:val="000000"/>
                <w:kern w:val="0"/>
                <w:sz w:val="15"/>
                <w:szCs w:val="15"/>
              </w:rPr>
              <w:t>所有工作12月底前完成</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仿宋_GB2312" w:eastAsia="仿宋_GB2312" w:cs="仿宋_GB2312"/>
                <w:color w:val="000000"/>
                <w:kern w:val="0"/>
                <w:sz w:val="15"/>
                <w:szCs w:val="15"/>
              </w:rPr>
              <w:t>12月底前完成</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229"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3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成本指标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72万</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66.24万</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仿宋_GB2312" w:eastAsia="仿宋_GB2312" w:cs="仿宋_GB2312"/>
                <w:sz w:val="15"/>
                <w:szCs w:val="15"/>
                <w:lang w:val="en-US" w:eastAsia="zh-CN"/>
              </w:rPr>
              <w:t>66.24万</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9</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323"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效益指标</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经济效益指标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lang w:val="en-US" w:eastAsia="zh-CN"/>
              </w:rPr>
              <w:t>不涉及此项内容</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color w:val="000000"/>
                <w:kern w:val="0"/>
                <w:sz w:val="15"/>
                <w:szCs w:val="15"/>
                <w:lang w:val="en-US" w:eastAsia="zh-CN"/>
              </w:rPr>
              <w:t>不涉及此项内容</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仿宋_GB2312" w:eastAsia="仿宋_GB2312" w:cs="仿宋_GB2312"/>
                <w:color w:val="000000"/>
                <w:kern w:val="0"/>
                <w:sz w:val="15"/>
                <w:szCs w:val="15"/>
                <w:lang w:val="en-US" w:eastAsia="zh-CN"/>
              </w:rPr>
              <w:t>不涉及此项内容</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92"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社会效益指标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val="en-US" w:eastAsia="zh-CN"/>
              </w:rPr>
            </w:pPr>
            <w:r>
              <w:rPr>
                <w:rFonts w:hint="eastAsia" w:ascii="仿宋_GB2312" w:hAnsi="仿宋_GB2312" w:eastAsia="仿宋_GB2312" w:cs="仿宋_GB2312"/>
                <w:color w:val="000000"/>
                <w:kern w:val="0"/>
                <w:sz w:val="15"/>
                <w:szCs w:val="15"/>
              </w:rPr>
              <w:t>保障政府办工作平稳有序进行</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val="en-US" w:eastAsia="zh-CN"/>
              </w:rPr>
            </w:pPr>
            <w:r>
              <w:rPr>
                <w:rFonts w:hint="eastAsia" w:ascii="仿宋_GB2312" w:hAnsi="仿宋_GB2312" w:eastAsia="仿宋_GB2312" w:cs="仿宋_GB2312"/>
                <w:color w:val="000000"/>
                <w:kern w:val="0"/>
                <w:sz w:val="15"/>
                <w:szCs w:val="15"/>
              </w:rPr>
              <w:t>保障政府办工作平稳有序进行</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仿宋_GB2312" w:eastAsia="仿宋_GB2312" w:cs="仿宋_GB2312"/>
                <w:color w:val="000000"/>
                <w:kern w:val="0"/>
                <w:sz w:val="15"/>
                <w:szCs w:val="15"/>
              </w:rPr>
              <w:t>保障政府办工作平稳有序进行</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14"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生态</w:t>
            </w:r>
            <w:r>
              <w:rPr>
                <w:rFonts w:hint="eastAsia" w:ascii="仿宋_GB2312" w:hAnsi="仿宋_GB2312" w:eastAsia="仿宋_GB2312" w:cs="仿宋_GB2312"/>
                <w:color w:val="000000"/>
                <w:kern w:val="0"/>
                <w:sz w:val="15"/>
                <w:szCs w:val="15"/>
                <w:lang w:eastAsia="zh-CN"/>
              </w:rPr>
              <w:t>效益</w:t>
            </w:r>
            <w:r>
              <w:rPr>
                <w:rFonts w:hint="eastAsia" w:ascii="仿宋_GB2312" w:hAnsi="仿宋_GB2312" w:eastAsia="仿宋_GB2312" w:cs="仿宋_GB2312"/>
                <w:color w:val="000000"/>
                <w:kern w:val="0"/>
                <w:sz w:val="15"/>
                <w:szCs w:val="15"/>
              </w:rPr>
              <w:t>指标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lang w:val="en-US" w:eastAsia="zh-CN"/>
              </w:rPr>
              <w:t>不涉及此项内容</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color w:val="000000"/>
                <w:kern w:val="0"/>
                <w:sz w:val="15"/>
                <w:szCs w:val="15"/>
                <w:lang w:val="en-US" w:eastAsia="zh-CN"/>
              </w:rPr>
              <w:t>不涉及此项内容</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仿宋_GB2312" w:eastAsia="仿宋_GB2312" w:cs="仿宋_GB2312"/>
                <w:color w:val="000000"/>
                <w:kern w:val="0"/>
                <w:sz w:val="15"/>
                <w:szCs w:val="15"/>
                <w:lang w:val="en-US" w:eastAsia="zh-CN"/>
              </w:rPr>
              <w:t>不涉及此项内容</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45"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可持续影响指标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15"/>
                <w:szCs w:val="15"/>
                <w:lang w:val="en-US" w:eastAsia="zh-CN"/>
              </w:rPr>
            </w:pPr>
            <w:r>
              <w:rPr>
                <w:rFonts w:hint="eastAsia" w:ascii="仿宋_GB2312" w:hAnsi="仿宋_GB2312" w:eastAsia="仿宋_GB2312" w:cs="仿宋_GB2312"/>
                <w:color w:val="000000"/>
                <w:kern w:val="0"/>
                <w:sz w:val="15"/>
                <w:szCs w:val="15"/>
                <w:lang w:val="en-US" w:eastAsia="zh-CN"/>
              </w:rPr>
              <w:t>2020.1.1-2020.12.31</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val="en-US" w:eastAsia="zh-CN"/>
              </w:rPr>
            </w:pPr>
            <w:r>
              <w:rPr>
                <w:rFonts w:hint="eastAsia" w:ascii="仿宋_GB2312" w:hAnsi="仿宋_GB2312" w:eastAsia="仿宋_GB2312" w:cs="仿宋_GB2312"/>
                <w:color w:val="000000"/>
                <w:kern w:val="0"/>
                <w:sz w:val="15"/>
                <w:szCs w:val="15"/>
                <w:lang w:val="en-US" w:eastAsia="zh-CN"/>
              </w:rPr>
              <w:t>2020.1.1-2020.12.31</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val="en-US" w:eastAsia="zh-CN" w:bidi="ar-SA"/>
              </w:rPr>
            </w:pPr>
            <w:r>
              <w:rPr>
                <w:rFonts w:hint="eastAsia" w:ascii="仿宋_GB2312" w:hAnsi="仿宋_GB2312" w:eastAsia="仿宋_GB2312" w:cs="仿宋_GB2312"/>
                <w:color w:val="000000"/>
                <w:kern w:val="0"/>
                <w:sz w:val="15"/>
                <w:szCs w:val="15"/>
                <w:lang w:val="en-US" w:eastAsia="zh-CN"/>
              </w:rPr>
              <w:t>2020.1.1-2020.12.31</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738" w:hRule="exact"/>
        </w:trPr>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满意度</w:t>
            </w:r>
          </w:p>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指标</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服务对象满意度标</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val="en-US" w:eastAsia="zh-CN"/>
              </w:rPr>
            </w:pPr>
            <w:r>
              <w:rPr>
                <w:rFonts w:hint="eastAsia" w:ascii="仿宋_GB2312" w:hAnsi="仿宋_GB2312" w:eastAsia="仿宋_GB2312" w:cs="仿宋_GB2312"/>
                <w:color w:val="000000"/>
                <w:kern w:val="0"/>
                <w:sz w:val="15"/>
                <w:szCs w:val="15"/>
                <w:lang w:val="en-US" w:eastAsia="zh-CN"/>
              </w:rPr>
              <w:t>政府办同事好评度</w:t>
            </w:r>
          </w:p>
        </w:tc>
        <w:tc>
          <w:tcPr>
            <w:tcW w:w="231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15"/>
                <w:szCs w:val="15"/>
                <w:lang w:val="en-US" w:eastAsia="zh-CN"/>
              </w:rPr>
            </w:pPr>
            <w:r>
              <w:rPr>
                <w:rFonts w:hint="eastAsia" w:ascii="仿宋_GB2312" w:hAnsi="仿宋_GB2312" w:eastAsia="仿宋_GB2312" w:cs="仿宋_GB2312"/>
                <w:color w:val="000000"/>
                <w:kern w:val="0"/>
                <w:sz w:val="15"/>
                <w:szCs w:val="15"/>
                <w:lang w:val="en-US" w:eastAsia="zh-CN"/>
              </w:rPr>
              <w:t>整体满意率达到90%</w:t>
            </w:r>
          </w:p>
        </w:tc>
        <w:tc>
          <w:tcPr>
            <w:tcW w:w="22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仿宋_GB2312" w:eastAsia="仿宋_GB2312" w:cs="仿宋_GB2312"/>
                <w:color w:val="000000"/>
                <w:kern w:val="0"/>
                <w:sz w:val="15"/>
                <w:szCs w:val="15"/>
                <w:lang w:val="en-US" w:eastAsia="zh-CN"/>
              </w:rPr>
              <w:t>整体满意率达到90%</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trPr>
        <w:tc>
          <w:tcPr>
            <w:tcW w:w="1072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5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7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93</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pStyle w:val="2"/>
        <w:keepNext w:val="0"/>
        <w:keepLines w:val="0"/>
        <w:pageBreakBefore w:val="0"/>
        <w:kinsoku/>
        <w:wordWrap/>
        <w:overflowPunct/>
        <w:topLinePunct w:val="0"/>
        <w:bidi w:val="0"/>
        <w:snapToGrid/>
        <w:spacing w:line="560" w:lineRule="exact"/>
        <w:ind w:firstLine="420"/>
        <w:rPr>
          <w:sz w:val="15"/>
          <w:szCs w:val="15"/>
        </w:rPr>
      </w:pPr>
    </w:p>
    <w:tbl>
      <w:tblPr>
        <w:tblStyle w:val="9"/>
        <w:tblW w:w="14357" w:type="dxa"/>
        <w:jc w:val="center"/>
        <w:tblLayout w:type="fixed"/>
        <w:tblCellMar>
          <w:top w:w="0" w:type="dxa"/>
          <w:left w:w="108" w:type="dxa"/>
          <w:bottom w:w="0" w:type="dxa"/>
          <w:right w:w="108" w:type="dxa"/>
        </w:tblCellMar>
      </w:tblPr>
      <w:tblGrid>
        <w:gridCol w:w="1742"/>
        <w:gridCol w:w="1275"/>
        <w:gridCol w:w="1740"/>
        <w:gridCol w:w="1414"/>
        <w:gridCol w:w="786"/>
        <w:gridCol w:w="1638"/>
        <w:gridCol w:w="1467"/>
        <w:gridCol w:w="285"/>
        <w:gridCol w:w="540"/>
        <w:gridCol w:w="492"/>
        <w:gridCol w:w="233"/>
        <w:gridCol w:w="2745"/>
      </w:tblGrid>
      <w:tr>
        <w:tblPrEx>
          <w:tblCellMar>
            <w:top w:w="0" w:type="dxa"/>
            <w:left w:w="108" w:type="dxa"/>
            <w:bottom w:w="0" w:type="dxa"/>
            <w:right w:w="108" w:type="dxa"/>
          </w:tblCellMar>
        </w:tblPrEx>
        <w:trPr>
          <w:trHeight w:val="306" w:hRule="exact"/>
          <w:jc w:val="center"/>
        </w:trPr>
        <w:tc>
          <w:tcPr>
            <w:tcW w:w="3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34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宋体" w:hAnsi="宋体" w:eastAsia="仿宋_GB2312" w:cs="宋体"/>
                <w:color w:val="000000"/>
                <w:kern w:val="0"/>
                <w:sz w:val="15"/>
                <w:szCs w:val="15"/>
                <w:lang w:val="en-US" w:eastAsia="zh-CN"/>
              </w:rPr>
              <w:t>2.</w:t>
            </w:r>
            <w:r>
              <w:rPr>
                <w:rFonts w:hint="eastAsia" w:ascii="宋体" w:hAnsi="宋体" w:eastAsia="仿宋_GB2312" w:cs="宋体"/>
                <w:color w:val="000000"/>
                <w:kern w:val="0"/>
                <w:sz w:val="15"/>
                <w:szCs w:val="15"/>
              </w:rPr>
              <w:t>基层党组织党建活动经费</w:t>
            </w:r>
          </w:p>
        </w:tc>
      </w:tr>
      <w:tr>
        <w:tblPrEx>
          <w:tblCellMar>
            <w:top w:w="0" w:type="dxa"/>
            <w:left w:w="108" w:type="dxa"/>
            <w:bottom w:w="0" w:type="dxa"/>
            <w:right w:w="108" w:type="dxa"/>
          </w:tblCellMar>
        </w:tblPrEx>
        <w:trPr>
          <w:trHeight w:val="306" w:hRule="exact"/>
          <w:jc w:val="center"/>
        </w:trPr>
        <w:tc>
          <w:tcPr>
            <w:tcW w:w="3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557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北京市丰台区政府办公室</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429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北京市丰台区政府办公室</w:t>
            </w:r>
          </w:p>
        </w:tc>
      </w:tr>
      <w:tr>
        <w:tblPrEx>
          <w:tblCellMar>
            <w:top w:w="0" w:type="dxa"/>
            <w:left w:w="108" w:type="dxa"/>
            <w:bottom w:w="0" w:type="dxa"/>
            <w:right w:w="108" w:type="dxa"/>
          </w:tblCellMar>
        </w:tblPrEx>
        <w:trPr>
          <w:trHeight w:val="306" w:hRule="exact"/>
          <w:jc w:val="center"/>
        </w:trPr>
        <w:tc>
          <w:tcPr>
            <w:tcW w:w="3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557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刘雨琦</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429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67" w:hRule="exact"/>
          <w:jc w:val="center"/>
        </w:trPr>
        <w:tc>
          <w:tcPr>
            <w:tcW w:w="301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项目资金</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（万元）</w:t>
            </w:r>
          </w:p>
        </w:tc>
        <w:tc>
          <w:tcPr>
            <w:tcW w:w="31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8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年初预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63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执行数</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27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306" w:hRule="exact"/>
          <w:jc w:val="center"/>
        </w:trPr>
        <w:tc>
          <w:tcPr>
            <w:tcW w:w="30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1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78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2.13万</w:t>
            </w:r>
          </w:p>
        </w:tc>
        <w:tc>
          <w:tcPr>
            <w:tcW w:w="163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2.13万</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2.1</w:t>
            </w:r>
            <w:r>
              <w:rPr>
                <w:rFonts w:hint="eastAsia" w:ascii="仿宋_GB2312" w:hAnsi="宋体" w:eastAsia="仿宋_GB2312" w:cs="宋体"/>
                <w:kern w:val="0"/>
                <w:sz w:val="15"/>
                <w:szCs w:val="15"/>
                <w:lang w:val="en-US" w:eastAsia="zh-CN"/>
              </w:rPr>
              <w:t>2</w:t>
            </w:r>
            <w:r>
              <w:rPr>
                <w:rFonts w:hint="eastAsia" w:ascii="仿宋_GB2312" w:hAnsi="宋体" w:eastAsia="仿宋_GB2312" w:cs="宋体"/>
                <w:kern w:val="0"/>
                <w:sz w:val="15"/>
                <w:szCs w:val="15"/>
              </w:rPr>
              <w:t>万</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99.53</w:t>
            </w:r>
            <w:r>
              <w:rPr>
                <w:rFonts w:hint="eastAsia" w:ascii="仿宋_GB2312" w:hAnsi="宋体" w:eastAsia="仿宋_GB2312" w:cs="宋体"/>
                <w:kern w:val="0"/>
                <w:sz w:val="15"/>
                <w:szCs w:val="15"/>
              </w:rPr>
              <w:t>%</w:t>
            </w:r>
          </w:p>
        </w:tc>
        <w:tc>
          <w:tcPr>
            <w:tcW w:w="274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10</w:t>
            </w:r>
          </w:p>
        </w:tc>
      </w:tr>
      <w:tr>
        <w:tblPrEx>
          <w:tblCellMar>
            <w:top w:w="0" w:type="dxa"/>
            <w:left w:w="108" w:type="dxa"/>
            <w:bottom w:w="0" w:type="dxa"/>
            <w:right w:w="108" w:type="dxa"/>
          </w:tblCellMar>
        </w:tblPrEx>
        <w:trPr>
          <w:trHeight w:val="257" w:hRule="exact"/>
          <w:jc w:val="center"/>
        </w:trPr>
        <w:tc>
          <w:tcPr>
            <w:tcW w:w="30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1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78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2.13万</w:t>
            </w:r>
          </w:p>
        </w:tc>
        <w:tc>
          <w:tcPr>
            <w:tcW w:w="163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2.13万</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59" w:hRule="exact"/>
          <w:jc w:val="center"/>
        </w:trPr>
        <w:tc>
          <w:tcPr>
            <w:tcW w:w="30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1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7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163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60" w:hRule="exact"/>
          <w:jc w:val="center"/>
        </w:trPr>
        <w:tc>
          <w:tcPr>
            <w:tcW w:w="30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1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7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163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50" w:hRule="exact"/>
          <w:jc w:val="center"/>
        </w:trPr>
        <w:tc>
          <w:tcPr>
            <w:tcW w:w="1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685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76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568" w:hRule="exact"/>
          <w:jc w:val="center"/>
        </w:trPr>
        <w:tc>
          <w:tcPr>
            <w:tcW w:w="1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85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仿宋_GB2312" w:eastAsia="仿宋_GB2312" w:cs="仿宋_GB2312"/>
                <w:color w:val="000000"/>
                <w:kern w:val="0"/>
                <w:sz w:val="15"/>
                <w:szCs w:val="15"/>
              </w:rPr>
              <w:t xml:space="preserve">全年组织党组织活动不少于四次，覆盖政府办第一党支部、第二党支部及老干部党支部。 </w:t>
            </w:r>
          </w:p>
        </w:tc>
        <w:tc>
          <w:tcPr>
            <w:tcW w:w="576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仿宋_GB2312" w:eastAsia="仿宋_GB2312" w:cs="仿宋_GB2312"/>
                <w:color w:val="000000"/>
                <w:kern w:val="0"/>
                <w:sz w:val="15"/>
                <w:szCs w:val="15"/>
              </w:rPr>
              <w:t xml:space="preserve">全年组织党组织活动不少于四次，覆盖政府办第一党支部、第二党支部及老干部党支部。 </w:t>
            </w:r>
          </w:p>
        </w:tc>
      </w:tr>
      <w:tr>
        <w:tblPrEx>
          <w:tblCellMar>
            <w:top w:w="0" w:type="dxa"/>
            <w:left w:w="108" w:type="dxa"/>
            <w:bottom w:w="0" w:type="dxa"/>
            <w:right w:w="108" w:type="dxa"/>
          </w:tblCellMar>
        </w:tblPrEx>
        <w:trPr>
          <w:trHeight w:val="702" w:hRule="exact"/>
          <w:jc w:val="center"/>
        </w:trPr>
        <w:tc>
          <w:tcPr>
            <w:tcW w:w="17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绩</w:t>
            </w:r>
          </w:p>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效</w:t>
            </w:r>
          </w:p>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指</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标</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7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364" w:hRule="exact"/>
          <w:jc w:val="center"/>
        </w:trPr>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产出指标</w:t>
            </w:r>
          </w:p>
        </w:tc>
        <w:tc>
          <w:tcPr>
            <w:tcW w:w="174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数量指标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年度开展党组织活动次数</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不少于4次</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4次</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10</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10</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p>
        </w:tc>
      </w:tr>
      <w:tr>
        <w:tblPrEx>
          <w:tblCellMar>
            <w:top w:w="0" w:type="dxa"/>
            <w:left w:w="108" w:type="dxa"/>
            <w:bottom w:w="0" w:type="dxa"/>
            <w:right w:w="108" w:type="dxa"/>
          </w:tblCellMar>
        </w:tblPrEx>
        <w:trPr>
          <w:trHeight w:val="291" w:hRule="exact"/>
          <w:jc w:val="center"/>
        </w:trPr>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74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质量指标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活动参与度　</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大于80%</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大于80%</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15</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15</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p>
        </w:tc>
      </w:tr>
      <w:tr>
        <w:tblPrEx>
          <w:tblCellMar>
            <w:top w:w="0" w:type="dxa"/>
            <w:left w:w="108" w:type="dxa"/>
            <w:bottom w:w="0" w:type="dxa"/>
            <w:right w:w="108" w:type="dxa"/>
          </w:tblCellMar>
        </w:tblPrEx>
        <w:trPr>
          <w:trHeight w:val="273" w:hRule="exact"/>
          <w:jc w:val="center"/>
        </w:trPr>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74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时效指标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12月底前完成</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12月底前完成</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12月底前完成</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15</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15</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11" w:hRule="exact"/>
          <w:jc w:val="center"/>
        </w:trPr>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74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成本指标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2.13万</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2.13万</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2.13万</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10</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10</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38" w:hRule="exact"/>
          <w:jc w:val="center"/>
        </w:trPr>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效益指标</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经济效益</w:t>
            </w:r>
          </w:p>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指标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不涉及此项内容</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不涉及此项内容</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不涉及此项内容</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0</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0</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946" w:hRule="exact"/>
          <w:jc w:val="center"/>
        </w:trPr>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社会效益指标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丰富支部生活，增长见识，拓展时政视野，夯实理论根基。</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丰富支部生活，增长见识，拓展时政视野，夯实理论根基。　</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lang w:eastAsia="zh-CN"/>
              </w:rPr>
            </w:pPr>
            <w:r>
              <w:rPr>
                <w:rFonts w:hint="eastAsia" w:ascii="仿宋_GB2312" w:hAnsi="仿宋_GB2312" w:eastAsia="仿宋_GB2312" w:cs="仿宋_GB2312"/>
                <w:color w:val="000000"/>
                <w:kern w:val="0"/>
                <w:sz w:val="15"/>
                <w:szCs w:val="15"/>
                <w:lang w:eastAsia="zh-CN"/>
              </w:rPr>
              <w:t>完成</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15</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15</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14" w:hRule="exact"/>
          <w:jc w:val="center"/>
        </w:trPr>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生态效益指标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不涉及此项内容</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不涉及此项内容</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不涉及此项内容</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0</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0</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610" w:hRule="exact"/>
          <w:jc w:val="center"/>
        </w:trPr>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可持续影响指标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20</w:t>
            </w:r>
            <w:r>
              <w:rPr>
                <w:rFonts w:hint="eastAsia" w:ascii="仿宋_GB2312" w:hAnsi="仿宋_GB2312" w:eastAsia="仿宋_GB2312" w:cs="仿宋_GB2312"/>
                <w:color w:val="000000"/>
                <w:kern w:val="0"/>
                <w:sz w:val="15"/>
                <w:szCs w:val="15"/>
                <w:lang w:val="en-US" w:eastAsia="zh-CN"/>
              </w:rPr>
              <w:t>21.1</w:t>
            </w:r>
            <w:r>
              <w:rPr>
                <w:rFonts w:hint="eastAsia" w:ascii="仿宋_GB2312" w:hAnsi="仿宋_GB2312" w:eastAsia="仿宋_GB2312" w:cs="仿宋_GB2312"/>
                <w:color w:val="000000"/>
                <w:kern w:val="0"/>
                <w:sz w:val="15"/>
                <w:szCs w:val="15"/>
              </w:rPr>
              <w:t>-202</w:t>
            </w:r>
            <w:r>
              <w:rPr>
                <w:rFonts w:hint="eastAsia" w:ascii="仿宋_GB2312" w:hAnsi="仿宋_GB2312" w:eastAsia="仿宋_GB2312" w:cs="仿宋_GB2312"/>
                <w:color w:val="000000"/>
                <w:kern w:val="0"/>
                <w:sz w:val="15"/>
                <w:szCs w:val="15"/>
                <w:lang w:val="en-US" w:eastAsia="zh-CN"/>
              </w:rPr>
              <w:t>1</w:t>
            </w:r>
            <w:r>
              <w:rPr>
                <w:rFonts w:hint="eastAsia" w:ascii="仿宋_GB2312" w:hAnsi="仿宋_GB2312" w:eastAsia="仿宋_GB2312" w:cs="仿宋_GB2312"/>
                <w:color w:val="000000"/>
                <w:kern w:val="0"/>
                <w:sz w:val="15"/>
                <w:szCs w:val="15"/>
              </w:rPr>
              <w:t>.12</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20</w:t>
            </w:r>
            <w:r>
              <w:rPr>
                <w:rFonts w:hint="eastAsia" w:ascii="仿宋_GB2312" w:hAnsi="仿宋_GB2312" w:eastAsia="仿宋_GB2312" w:cs="仿宋_GB2312"/>
                <w:color w:val="000000"/>
                <w:kern w:val="0"/>
                <w:sz w:val="15"/>
                <w:szCs w:val="15"/>
                <w:lang w:val="en-US" w:eastAsia="zh-CN"/>
              </w:rPr>
              <w:t>21.1</w:t>
            </w:r>
            <w:r>
              <w:rPr>
                <w:rFonts w:hint="eastAsia" w:ascii="仿宋_GB2312" w:hAnsi="仿宋_GB2312" w:eastAsia="仿宋_GB2312" w:cs="仿宋_GB2312"/>
                <w:color w:val="000000"/>
                <w:kern w:val="0"/>
                <w:sz w:val="15"/>
                <w:szCs w:val="15"/>
              </w:rPr>
              <w:t>-202</w:t>
            </w:r>
            <w:r>
              <w:rPr>
                <w:rFonts w:hint="eastAsia" w:ascii="仿宋_GB2312" w:hAnsi="仿宋_GB2312" w:eastAsia="仿宋_GB2312" w:cs="仿宋_GB2312"/>
                <w:color w:val="000000"/>
                <w:kern w:val="0"/>
                <w:sz w:val="15"/>
                <w:szCs w:val="15"/>
                <w:lang w:val="en-US" w:eastAsia="zh-CN"/>
              </w:rPr>
              <w:t>1</w:t>
            </w:r>
            <w:r>
              <w:rPr>
                <w:rFonts w:hint="eastAsia" w:ascii="仿宋_GB2312" w:hAnsi="仿宋_GB2312" w:eastAsia="仿宋_GB2312" w:cs="仿宋_GB2312"/>
                <w:color w:val="000000"/>
                <w:kern w:val="0"/>
                <w:sz w:val="15"/>
                <w:szCs w:val="15"/>
              </w:rPr>
              <w:t>.12</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20</w:t>
            </w:r>
            <w:r>
              <w:rPr>
                <w:rFonts w:hint="eastAsia" w:ascii="仿宋_GB2312" w:hAnsi="仿宋_GB2312" w:eastAsia="仿宋_GB2312" w:cs="仿宋_GB2312"/>
                <w:color w:val="000000"/>
                <w:kern w:val="0"/>
                <w:sz w:val="15"/>
                <w:szCs w:val="15"/>
                <w:lang w:val="en-US" w:eastAsia="zh-CN"/>
              </w:rPr>
              <w:t>21.1</w:t>
            </w:r>
            <w:r>
              <w:rPr>
                <w:rFonts w:hint="eastAsia" w:ascii="仿宋_GB2312" w:hAnsi="仿宋_GB2312" w:eastAsia="仿宋_GB2312" w:cs="仿宋_GB2312"/>
                <w:color w:val="000000"/>
                <w:kern w:val="0"/>
                <w:sz w:val="15"/>
                <w:szCs w:val="15"/>
              </w:rPr>
              <w:t>-202</w:t>
            </w:r>
            <w:r>
              <w:rPr>
                <w:rFonts w:hint="eastAsia" w:ascii="仿宋_GB2312" w:hAnsi="仿宋_GB2312" w:eastAsia="仿宋_GB2312" w:cs="仿宋_GB2312"/>
                <w:color w:val="000000"/>
                <w:kern w:val="0"/>
                <w:sz w:val="15"/>
                <w:szCs w:val="15"/>
                <w:lang w:val="en-US" w:eastAsia="zh-CN"/>
              </w:rPr>
              <w:t>1</w:t>
            </w:r>
            <w:r>
              <w:rPr>
                <w:rFonts w:hint="eastAsia" w:ascii="仿宋_GB2312" w:hAnsi="仿宋_GB2312" w:eastAsia="仿宋_GB2312" w:cs="仿宋_GB2312"/>
                <w:color w:val="000000"/>
                <w:kern w:val="0"/>
                <w:sz w:val="15"/>
                <w:szCs w:val="15"/>
              </w:rPr>
              <w:t>.12</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10</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10</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738" w:hRule="exact"/>
          <w:jc w:val="center"/>
        </w:trPr>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满意度</w:t>
            </w:r>
          </w:p>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指标</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服务对象满意度标</w:t>
            </w:r>
          </w:p>
        </w:tc>
        <w:tc>
          <w:tcPr>
            <w:tcW w:w="22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在组织党员好评度</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达到90%</w:t>
            </w:r>
          </w:p>
        </w:tc>
        <w:tc>
          <w:tcPr>
            <w:tcW w:w="17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98%</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15</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15</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jc w:val="center"/>
        </w:trPr>
        <w:tc>
          <w:tcPr>
            <w:tcW w:w="1034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4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29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pStyle w:val="2"/>
        <w:keepNext w:val="0"/>
        <w:keepLines w:val="0"/>
        <w:pageBreakBefore w:val="0"/>
        <w:kinsoku/>
        <w:wordWrap/>
        <w:overflowPunct/>
        <w:topLinePunct w:val="0"/>
        <w:bidi w:val="0"/>
        <w:snapToGrid/>
        <w:spacing w:line="560" w:lineRule="exact"/>
        <w:ind w:firstLine="420"/>
        <w:rPr>
          <w:sz w:val="15"/>
          <w:szCs w:val="15"/>
        </w:rPr>
      </w:pPr>
    </w:p>
    <w:tbl>
      <w:tblPr>
        <w:tblStyle w:val="9"/>
        <w:tblW w:w="14404" w:type="dxa"/>
        <w:jc w:val="center"/>
        <w:tblLayout w:type="fixed"/>
        <w:tblCellMar>
          <w:top w:w="0" w:type="dxa"/>
          <w:left w:w="108" w:type="dxa"/>
          <w:bottom w:w="0" w:type="dxa"/>
          <w:right w:w="108" w:type="dxa"/>
        </w:tblCellMar>
      </w:tblPr>
      <w:tblGrid>
        <w:gridCol w:w="2697"/>
        <w:gridCol w:w="1258"/>
        <w:gridCol w:w="2320"/>
        <w:gridCol w:w="491"/>
        <w:gridCol w:w="1127"/>
        <w:gridCol w:w="519"/>
        <w:gridCol w:w="613"/>
        <w:gridCol w:w="236"/>
        <w:gridCol w:w="848"/>
        <w:gridCol w:w="43"/>
        <w:gridCol w:w="704"/>
        <w:gridCol w:w="149"/>
        <w:gridCol w:w="600"/>
        <w:gridCol w:w="97"/>
        <w:gridCol w:w="2702"/>
      </w:tblGrid>
      <w:tr>
        <w:tblPrEx>
          <w:tblCellMar>
            <w:top w:w="0" w:type="dxa"/>
            <w:left w:w="108" w:type="dxa"/>
            <w:bottom w:w="0" w:type="dxa"/>
            <w:right w:w="108" w:type="dxa"/>
          </w:tblCellMar>
        </w:tblPrEx>
        <w:trPr>
          <w:trHeight w:val="306" w:hRule="exact"/>
          <w:jc w:val="center"/>
        </w:trPr>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707"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3.</w:t>
            </w:r>
            <w:r>
              <w:rPr>
                <w:rFonts w:hint="eastAsia" w:ascii="仿宋_GB2312" w:hAnsi="宋体" w:eastAsia="仿宋_GB2312" w:cs="宋体"/>
                <w:kern w:val="0"/>
                <w:sz w:val="15"/>
                <w:szCs w:val="15"/>
              </w:rPr>
              <w:t>基层党组织担任书记、副书记的离退休干部党员补贴</w:t>
            </w:r>
          </w:p>
        </w:tc>
      </w:tr>
      <w:tr>
        <w:tblPrEx>
          <w:tblCellMar>
            <w:top w:w="0" w:type="dxa"/>
            <w:left w:w="108" w:type="dxa"/>
            <w:bottom w:w="0" w:type="dxa"/>
            <w:right w:w="108" w:type="dxa"/>
          </w:tblCellMar>
        </w:tblPrEx>
        <w:trPr>
          <w:trHeight w:val="306" w:hRule="exact"/>
          <w:jc w:val="center"/>
        </w:trPr>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632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综合科</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425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丰台区人民政府办公室</w:t>
            </w:r>
          </w:p>
        </w:tc>
      </w:tr>
      <w:tr>
        <w:tblPrEx>
          <w:tblCellMar>
            <w:top w:w="0" w:type="dxa"/>
            <w:left w:w="108" w:type="dxa"/>
            <w:bottom w:w="0" w:type="dxa"/>
            <w:right w:w="108" w:type="dxa"/>
          </w:tblCellMar>
        </w:tblPrEx>
        <w:trPr>
          <w:trHeight w:val="306" w:hRule="exact"/>
          <w:jc w:val="center"/>
        </w:trPr>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632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刘雨琦</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425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67" w:hRule="exact"/>
          <w:jc w:val="center"/>
        </w:trPr>
        <w:tc>
          <w:tcPr>
            <w:tcW w:w="2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项目资金</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（万元）</w:t>
            </w:r>
          </w:p>
        </w:tc>
        <w:tc>
          <w:tcPr>
            <w:tcW w:w="40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年初预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执行数</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27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30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0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1.2万</w:t>
            </w: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1.2万</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1.2万</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27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1.2万</w:t>
            </w:r>
          </w:p>
        </w:tc>
      </w:tr>
      <w:tr>
        <w:tblPrEx>
          <w:tblCellMar>
            <w:top w:w="0" w:type="dxa"/>
            <w:left w:w="108" w:type="dxa"/>
            <w:bottom w:w="0" w:type="dxa"/>
            <w:right w:w="108" w:type="dxa"/>
          </w:tblCellMar>
        </w:tblPrEx>
        <w:trPr>
          <w:trHeight w:val="601"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0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其中：当年财政</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拨款</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1.2万</w:t>
            </w: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1.2万</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1.2万</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32"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0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0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548" w:hRule="exact"/>
          <w:jc w:val="center"/>
        </w:trPr>
        <w:tc>
          <w:tcPr>
            <w:tcW w:w="269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632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37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882" w:hRule="exact"/>
          <w:jc w:val="center"/>
        </w:trPr>
        <w:tc>
          <w:tcPr>
            <w:tcW w:w="269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32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依据区委组织部要求，为基层党组织担任书记、副书记的离退休党员干部发放补贴。发放标准为：书记300元/月，副书记200元/月。2020-2021年基层党组织担任书记、副书记补贴共计1.2万元</w:t>
            </w:r>
          </w:p>
        </w:tc>
        <w:tc>
          <w:tcPr>
            <w:tcW w:w="537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依据区委组织部要求，为基层党组织担任书记、副书记的离退休党员干部发放补贴。发放标准为：书记300元/月，副书记200元/月。2020-2021年基层党组织担任书记、副书记补贴共计1.2万元</w:t>
            </w:r>
          </w:p>
        </w:tc>
      </w:tr>
      <w:tr>
        <w:tblPrEx>
          <w:tblCellMar>
            <w:top w:w="0" w:type="dxa"/>
            <w:left w:w="108" w:type="dxa"/>
            <w:bottom w:w="0" w:type="dxa"/>
            <w:right w:w="108" w:type="dxa"/>
          </w:tblCellMar>
        </w:tblPrEx>
        <w:trPr>
          <w:trHeight w:val="830" w:hRule="exact"/>
          <w:jc w:val="center"/>
        </w:trPr>
        <w:tc>
          <w:tcPr>
            <w:tcW w:w="2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绩</w:t>
            </w:r>
          </w:p>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效</w:t>
            </w:r>
          </w:p>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指</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标</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23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8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指标值</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完成值</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偏差原因分析及改进</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措施</w:t>
            </w:r>
          </w:p>
        </w:tc>
      </w:tr>
      <w:tr>
        <w:tblPrEx>
          <w:tblCellMar>
            <w:top w:w="0" w:type="dxa"/>
            <w:left w:w="108" w:type="dxa"/>
            <w:bottom w:w="0" w:type="dxa"/>
            <w:right w:w="108" w:type="dxa"/>
          </w:tblCellMar>
        </w:tblPrEx>
        <w:trPr>
          <w:trHeight w:val="30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2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书记1人</w:t>
            </w:r>
          </w:p>
        </w:tc>
        <w:tc>
          <w:tcPr>
            <w:tcW w:w="8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0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副书记</w:t>
            </w:r>
            <w:r>
              <w:rPr>
                <w:rFonts w:hint="eastAsia" w:ascii="仿宋_GB2312" w:hAnsi="宋体" w:eastAsia="仿宋_GB2312" w:cs="宋体"/>
                <w:color w:val="000000"/>
                <w:kern w:val="0"/>
                <w:sz w:val="15"/>
                <w:szCs w:val="15"/>
                <w:lang w:val="en-US" w:eastAsia="zh-CN"/>
              </w:rPr>
              <w:t>1人</w:t>
            </w:r>
          </w:p>
        </w:tc>
        <w:tc>
          <w:tcPr>
            <w:tcW w:w="8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0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13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sz w:val="15"/>
                <w:szCs w:val="15"/>
              </w:rPr>
            </w:pPr>
            <w:r>
              <w:rPr>
                <w:rFonts w:hint="eastAsia" w:ascii="宋体" w:hAnsi="宋体" w:eastAsia="宋体" w:cs="宋体"/>
                <w:color w:val="000000"/>
                <w:kern w:val="0"/>
                <w:sz w:val="15"/>
                <w:szCs w:val="15"/>
                <w:lang w:val="en-US" w:eastAsia="zh-CN" w:bidi="ar"/>
              </w:rPr>
              <w:t>是否按时足额下</w:t>
            </w:r>
            <w:r>
              <w:rPr>
                <w:rFonts w:hint="eastAsia" w:ascii="宋体" w:hAnsi="宋体" w:cs="宋体"/>
                <w:color w:val="000000"/>
                <w:kern w:val="0"/>
                <w:sz w:val="15"/>
                <w:szCs w:val="15"/>
                <w:lang w:val="en-US" w:eastAsia="zh-CN" w:bidi="ar"/>
              </w:rPr>
              <w:t>拨</w:t>
            </w:r>
          </w:p>
          <w:p>
            <w:pPr>
              <w:keepNext w:val="0"/>
              <w:keepLines w:val="0"/>
              <w:widowControl/>
              <w:suppressLineNumbers w:val="0"/>
              <w:jc w:val="left"/>
              <w:rPr>
                <w:sz w:val="15"/>
                <w:szCs w:val="15"/>
              </w:rPr>
            </w:pPr>
            <w:r>
              <w:rPr>
                <w:rFonts w:hint="eastAsia" w:ascii="宋体" w:hAnsi="宋体" w:eastAsia="宋体" w:cs="宋体"/>
                <w:color w:val="000000"/>
                <w:kern w:val="0"/>
                <w:sz w:val="15"/>
                <w:szCs w:val="15"/>
                <w:lang w:val="en-US" w:eastAsia="zh-CN" w:bidi="ar"/>
              </w:rPr>
              <w:t>拨</w:t>
            </w:r>
          </w:p>
          <w:p>
            <w:pPr>
              <w:widowControl/>
              <w:spacing w:line="240" w:lineRule="exact"/>
              <w:jc w:val="left"/>
              <w:rPr>
                <w:rFonts w:hint="eastAsia" w:ascii="仿宋_GB2312" w:hAnsi="宋体" w:eastAsia="仿宋_GB2312" w:cs="宋体"/>
                <w:color w:val="000000"/>
                <w:kern w:val="0"/>
                <w:sz w:val="15"/>
                <w:szCs w:val="15"/>
              </w:rPr>
            </w:pPr>
          </w:p>
        </w:tc>
        <w:tc>
          <w:tcPr>
            <w:tcW w:w="8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按时</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按时</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0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13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sz w:val="15"/>
                <w:szCs w:val="15"/>
              </w:rPr>
            </w:pPr>
            <w:r>
              <w:rPr>
                <w:rFonts w:hint="eastAsia" w:ascii="宋体" w:hAnsi="宋体" w:eastAsia="宋体" w:cs="宋体"/>
                <w:color w:val="000000"/>
                <w:kern w:val="0"/>
                <w:sz w:val="15"/>
                <w:szCs w:val="15"/>
                <w:lang w:val="en-US" w:eastAsia="zh-CN" w:bidi="ar"/>
              </w:rPr>
              <w:t>项目完成时间</w:t>
            </w:r>
          </w:p>
          <w:p>
            <w:pPr>
              <w:widowControl/>
              <w:spacing w:line="240" w:lineRule="exact"/>
              <w:jc w:val="left"/>
              <w:rPr>
                <w:rFonts w:hint="eastAsia" w:ascii="仿宋_GB2312" w:hAnsi="宋体" w:eastAsia="仿宋_GB2312" w:cs="宋体"/>
                <w:color w:val="000000"/>
                <w:kern w:val="0"/>
                <w:sz w:val="15"/>
                <w:szCs w:val="15"/>
              </w:rPr>
            </w:pPr>
          </w:p>
        </w:tc>
        <w:tc>
          <w:tcPr>
            <w:tcW w:w="8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2021年末</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2021年末</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0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13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宋体"/>
                <w:sz w:val="15"/>
                <w:szCs w:val="15"/>
                <w:lang w:val="en-US" w:eastAsia="zh-CN"/>
              </w:rPr>
            </w:pPr>
            <w:r>
              <w:rPr>
                <w:rFonts w:hint="eastAsia"/>
                <w:sz w:val="15"/>
                <w:szCs w:val="15"/>
                <w:lang w:val="en-US" w:eastAsia="zh-CN"/>
              </w:rPr>
              <w:t>2021年补贴</w:t>
            </w:r>
          </w:p>
          <w:p>
            <w:pPr>
              <w:widowControl/>
              <w:spacing w:line="240" w:lineRule="exact"/>
              <w:jc w:val="left"/>
              <w:rPr>
                <w:rFonts w:hint="eastAsia" w:ascii="仿宋_GB2312" w:hAnsi="宋体" w:eastAsia="仿宋_GB2312" w:cs="宋体"/>
                <w:color w:val="000000"/>
                <w:kern w:val="0"/>
                <w:sz w:val="15"/>
                <w:szCs w:val="15"/>
              </w:rPr>
            </w:pPr>
          </w:p>
        </w:tc>
        <w:tc>
          <w:tcPr>
            <w:tcW w:w="8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0.6万</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0.6万</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0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补发</w:t>
            </w:r>
            <w:r>
              <w:rPr>
                <w:rFonts w:hint="eastAsia" w:ascii="仿宋_GB2312" w:hAnsi="宋体" w:eastAsia="仿宋_GB2312" w:cs="宋体"/>
                <w:color w:val="000000"/>
                <w:kern w:val="0"/>
                <w:sz w:val="15"/>
                <w:szCs w:val="15"/>
                <w:lang w:val="en-US" w:eastAsia="zh-CN"/>
              </w:rPr>
              <w:t>2020年补贴</w:t>
            </w:r>
          </w:p>
        </w:tc>
        <w:tc>
          <w:tcPr>
            <w:tcW w:w="8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0.6万</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0.6万</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63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w:t>
            </w:r>
          </w:p>
        </w:tc>
        <w:tc>
          <w:tcPr>
            <w:tcW w:w="213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宋体"/>
                <w:color w:val="000000"/>
                <w:kern w:val="0"/>
                <w:sz w:val="15"/>
                <w:szCs w:val="15"/>
              </w:rPr>
            </w:pPr>
            <w:r>
              <w:rPr>
                <w:rFonts w:hint="eastAsia" w:ascii="宋体" w:hAnsi="宋体" w:eastAsia="宋体" w:cs="宋体"/>
                <w:color w:val="000000"/>
                <w:kern w:val="0"/>
                <w:sz w:val="15"/>
                <w:szCs w:val="15"/>
                <w:lang w:val="en-US" w:eastAsia="zh-CN" w:bidi="ar"/>
              </w:rPr>
              <w:t>发动更多的党员参与</w:t>
            </w:r>
            <w:r>
              <w:rPr>
                <w:rFonts w:hint="eastAsia" w:ascii="宋体" w:hAnsi="宋体" w:cs="宋体"/>
                <w:color w:val="000000"/>
                <w:kern w:val="0"/>
                <w:sz w:val="15"/>
                <w:szCs w:val="15"/>
                <w:lang w:val="en-US" w:eastAsia="zh-CN" w:bidi="ar"/>
              </w:rPr>
              <w:t>支部</w:t>
            </w:r>
            <w:r>
              <w:rPr>
                <w:rFonts w:hint="eastAsia" w:ascii="宋体" w:hAnsi="宋体" w:eastAsia="宋体" w:cs="宋体"/>
                <w:color w:val="000000"/>
                <w:kern w:val="0"/>
                <w:sz w:val="15"/>
                <w:szCs w:val="15"/>
                <w:lang w:val="en-US" w:eastAsia="zh-CN" w:bidi="ar"/>
              </w:rPr>
              <w:t>活动</w:t>
            </w:r>
          </w:p>
        </w:tc>
        <w:tc>
          <w:tcPr>
            <w:tcW w:w="84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val="en-US" w:eastAsia="zh-CN" w:bidi="ar-SA"/>
              </w:rPr>
              <w:t>完成</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val="en-US" w:eastAsia="zh-CN" w:bidi="ar-SA"/>
              </w:rPr>
              <w:t>完成</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781"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可持续影响指标</w:t>
            </w:r>
          </w:p>
        </w:tc>
        <w:tc>
          <w:tcPr>
            <w:tcW w:w="213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宋体"/>
                <w:color w:val="000000"/>
                <w:kern w:val="0"/>
                <w:sz w:val="15"/>
                <w:szCs w:val="15"/>
              </w:rPr>
            </w:pPr>
            <w:r>
              <w:rPr>
                <w:rFonts w:hint="eastAsia" w:ascii="宋体" w:hAnsi="宋体" w:eastAsia="宋体" w:cs="宋体"/>
                <w:color w:val="000000"/>
                <w:kern w:val="0"/>
                <w:sz w:val="15"/>
                <w:szCs w:val="15"/>
                <w:lang w:val="en-US" w:eastAsia="zh-CN" w:bidi="ar"/>
              </w:rPr>
              <w:t>提升离退休干部的</w:t>
            </w:r>
            <w:r>
              <w:rPr>
                <w:rFonts w:hint="eastAsia" w:ascii="宋体" w:hAnsi="宋体" w:cs="宋体"/>
                <w:color w:val="000000"/>
                <w:kern w:val="0"/>
                <w:sz w:val="15"/>
                <w:szCs w:val="15"/>
                <w:lang w:val="en-US" w:eastAsia="zh-CN" w:bidi="ar"/>
              </w:rPr>
              <w:t>活动参与度和归属感</w:t>
            </w:r>
          </w:p>
        </w:tc>
        <w:tc>
          <w:tcPr>
            <w:tcW w:w="84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val="en-US" w:eastAsia="zh-CN" w:bidi="ar-SA"/>
              </w:rPr>
              <w:t>完成</w:t>
            </w: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val="en-US" w:eastAsia="zh-CN" w:bidi="ar-SA"/>
              </w:rPr>
              <w:t>完成</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06" w:hRule="exact"/>
          <w:jc w:val="center"/>
        </w:trPr>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退休干部满意度</w:t>
            </w:r>
          </w:p>
        </w:tc>
        <w:tc>
          <w:tcPr>
            <w:tcW w:w="8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10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jc w:val="center"/>
        </w:trPr>
        <w:tc>
          <w:tcPr>
            <w:tcW w:w="1010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100</w:t>
            </w:r>
          </w:p>
        </w:tc>
        <w:tc>
          <w:tcPr>
            <w:tcW w:w="27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pStyle w:val="2"/>
        <w:keepNext w:val="0"/>
        <w:keepLines w:val="0"/>
        <w:pageBreakBefore w:val="0"/>
        <w:kinsoku/>
        <w:wordWrap/>
        <w:overflowPunct/>
        <w:topLinePunct w:val="0"/>
        <w:bidi w:val="0"/>
        <w:snapToGrid/>
        <w:spacing w:line="560" w:lineRule="exact"/>
        <w:ind w:firstLine="420"/>
        <w:rPr>
          <w:sz w:val="15"/>
          <w:szCs w:val="15"/>
        </w:rPr>
      </w:pPr>
    </w:p>
    <w:tbl>
      <w:tblPr>
        <w:tblStyle w:val="9"/>
        <w:tblW w:w="14321" w:type="dxa"/>
        <w:jc w:val="center"/>
        <w:tblLayout w:type="fixed"/>
        <w:tblCellMar>
          <w:top w:w="0" w:type="dxa"/>
          <w:left w:w="108" w:type="dxa"/>
          <w:bottom w:w="0" w:type="dxa"/>
          <w:right w:w="108" w:type="dxa"/>
        </w:tblCellMar>
      </w:tblPr>
      <w:tblGrid>
        <w:gridCol w:w="15"/>
        <w:gridCol w:w="3303"/>
        <w:gridCol w:w="975"/>
        <w:gridCol w:w="1105"/>
        <w:gridCol w:w="727"/>
        <w:gridCol w:w="1127"/>
        <w:gridCol w:w="283"/>
        <w:gridCol w:w="849"/>
        <w:gridCol w:w="787"/>
        <w:gridCol w:w="61"/>
        <w:gridCol w:w="279"/>
        <w:gridCol w:w="284"/>
        <w:gridCol w:w="58"/>
        <w:gridCol w:w="362"/>
        <w:gridCol w:w="143"/>
        <w:gridCol w:w="178"/>
        <w:gridCol w:w="525"/>
        <w:gridCol w:w="110"/>
        <w:gridCol w:w="771"/>
        <w:gridCol w:w="199"/>
        <w:gridCol w:w="2027"/>
        <w:gridCol w:w="153"/>
      </w:tblGrid>
      <w:tr>
        <w:tblPrEx>
          <w:tblCellMar>
            <w:top w:w="0" w:type="dxa"/>
            <w:left w:w="108" w:type="dxa"/>
            <w:bottom w:w="0" w:type="dxa"/>
            <w:right w:w="108" w:type="dxa"/>
          </w:tblCellMar>
        </w:tblPrEx>
        <w:trPr>
          <w:gridBefore w:val="1"/>
          <w:wBefore w:w="15" w:type="dxa"/>
          <w:trHeight w:val="306" w:hRule="exact"/>
          <w:jc w:val="center"/>
        </w:trPr>
        <w:tc>
          <w:tcPr>
            <w:tcW w:w="42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0028" w:type="dxa"/>
            <w:gridSpan w:val="1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4.</w:t>
            </w:r>
            <w:r>
              <w:rPr>
                <w:rFonts w:hint="eastAsia" w:ascii="仿宋_GB2312" w:hAnsi="宋体" w:eastAsia="仿宋_GB2312" w:cs="宋体"/>
                <w:kern w:val="0"/>
                <w:sz w:val="15"/>
                <w:szCs w:val="15"/>
              </w:rPr>
              <w:t>丰台区政府档案信息化购买服务</w:t>
            </w:r>
          </w:p>
        </w:tc>
      </w:tr>
      <w:tr>
        <w:tblPrEx>
          <w:tblCellMar>
            <w:top w:w="0" w:type="dxa"/>
            <w:left w:w="108" w:type="dxa"/>
            <w:bottom w:w="0" w:type="dxa"/>
            <w:right w:w="108" w:type="dxa"/>
          </w:tblCellMar>
        </w:tblPrEx>
        <w:trPr>
          <w:gridBefore w:val="1"/>
          <w:wBefore w:w="15" w:type="dxa"/>
          <w:trHeight w:val="306" w:hRule="exact"/>
          <w:jc w:val="center"/>
        </w:trPr>
        <w:tc>
          <w:tcPr>
            <w:tcW w:w="42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48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区政府办公室</w:t>
            </w:r>
          </w:p>
        </w:tc>
        <w:tc>
          <w:tcPr>
            <w:tcW w:w="1365" w:type="dxa"/>
            <w:gridSpan w:val="7"/>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378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306" w:hRule="exact"/>
          <w:jc w:val="center"/>
        </w:trPr>
        <w:tc>
          <w:tcPr>
            <w:tcW w:w="42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48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刘瑞</w:t>
            </w:r>
          </w:p>
        </w:tc>
        <w:tc>
          <w:tcPr>
            <w:tcW w:w="1365" w:type="dxa"/>
            <w:gridSpan w:val="7"/>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378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83656110</w:t>
            </w:r>
          </w:p>
        </w:tc>
      </w:tr>
      <w:tr>
        <w:tblPrEx>
          <w:tblCellMar>
            <w:top w:w="0" w:type="dxa"/>
            <w:left w:w="108" w:type="dxa"/>
            <w:bottom w:w="0" w:type="dxa"/>
            <w:right w:w="108" w:type="dxa"/>
          </w:tblCellMar>
        </w:tblPrEx>
        <w:trPr>
          <w:gridBefore w:val="1"/>
          <w:wBefore w:w="15" w:type="dxa"/>
          <w:trHeight w:val="567" w:hRule="exact"/>
          <w:jc w:val="center"/>
        </w:trPr>
        <w:tc>
          <w:tcPr>
            <w:tcW w:w="42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年初预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91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365" w:type="dxa"/>
            <w:gridSpan w:val="7"/>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执行数</w:t>
            </w:r>
          </w:p>
        </w:tc>
        <w:tc>
          <w:tcPr>
            <w:tcW w:w="6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237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gridBefore w:val="1"/>
          <w:wBefore w:w="15" w:type="dxa"/>
          <w:trHeight w:val="306" w:hRule="exact"/>
          <w:jc w:val="center"/>
        </w:trPr>
        <w:tc>
          <w:tcPr>
            <w:tcW w:w="42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420000</w:t>
            </w:r>
          </w:p>
        </w:tc>
        <w:tc>
          <w:tcPr>
            <w:tcW w:w="191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420000</w:t>
            </w:r>
          </w:p>
        </w:tc>
        <w:tc>
          <w:tcPr>
            <w:tcW w:w="1365" w:type="dxa"/>
            <w:gridSpan w:val="7"/>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420000</w:t>
            </w:r>
          </w:p>
        </w:tc>
        <w:tc>
          <w:tcPr>
            <w:tcW w:w="6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100%</w:t>
            </w:r>
          </w:p>
        </w:tc>
        <w:tc>
          <w:tcPr>
            <w:tcW w:w="237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236" w:hRule="exact"/>
          <w:jc w:val="center"/>
        </w:trPr>
        <w:tc>
          <w:tcPr>
            <w:tcW w:w="42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420000</w:t>
            </w:r>
          </w:p>
        </w:tc>
        <w:tc>
          <w:tcPr>
            <w:tcW w:w="191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420000</w:t>
            </w:r>
          </w:p>
        </w:tc>
        <w:tc>
          <w:tcPr>
            <w:tcW w:w="1365" w:type="dxa"/>
            <w:gridSpan w:val="7"/>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7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gridBefore w:val="1"/>
          <w:wBefore w:w="15" w:type="dxa"/>
          <w:trHeight w:val="317" w:hRule="exact"/>
          <w:jc w:val="center"/>
        </w:trPr>
        <w:tc>
          <w:tcPr>
            <w:tcW w:w="42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91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365" w:type="dxa"/>
            <w:gridSpan w:val="7"/>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7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gridBefore w:val="1"/>
          <w:wBefore w:w="15" w:type="dxa"/>
          <w:trHeight w:val="306" w:hRule="exact"/>
          <w:jc w:val="center"/>
        </w:trPr>
        <w:tc>
          <w:tcPr>
            <w:tcW w:w="42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91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365" w:type="dxa"/>
            <w:gridSpan w:val="7"/>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7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gridBefore w:val="1"/>
          <w:wBefore w:w="15" w:type="dxa"/>
          <w:trHeight w:val="548" w:hRule="exact"/>
          <w:jc w:val="center"/>
        </w:trPr>
        <w:tc>
          <w:tcPr>
            <w:tcW w:w="330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585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150"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gridBefore w:val="1"/>
          <w:wBefore w:w="15" w:type="dxa"/>
          <w:trHeight w:val="1597" w:hRule="exact"/>
          <w:jc w:val="center"/>
        </w:trPr>
        <w:tc>
          <w:tcPr>
            <w:tcW w:w="330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585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对2020年形成的文书档案约2000件35000页进行收集、整理、归档、录入、装盒等规范化整理工作；2、室藏1999-2003年文书档案约10111件175000页档案规范化整理工作；3、综合计算每人每天完成约24件421页，月完成约535件9282页，年完成约6420件111384页，23个人月完成12311件213500页。4、数字化后的档案的装订、入库、上架和归位工作。5、室藏档案的统计工作。6、做好档案的出入库登记和借阅利用登记工作。7、做好库房安全和日常清洁工作。</w:t>
            </w:r>
          </w:p>
        </w:tc>
        <w:tc>
          <w:tcPr>
            <w:tcW w:w="5150"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已完成</w:t>
            </w:r>
          </w:p>
        </w:tc>
      </w:tr>
      <w:tr>
        <w:tblPrEx>
          <w:tblCellMar>
            <w:top w:w="0" w:type="dxa"/>
            <w:left w:w="108" w:type="dxa"/>
            <w:bottom w:w="0" w:type="dxa"/>
            <w:right w:w="108" w:type="dxa"/>
          </w:tblCellMar>
        </w:tblPrEx>
        <w:trPr>
          <w:gridBefore w:val="1"/>
          <w:wBefore w:w="15" w:type="dxa"/>
          <w:trHeight w:val="830" w:hRule="exact"/>
          <w:jc w:val="center"/>
        </w:trPr>
        <w:tc>
          <w:tcPr>
            <w:tcW w:w="33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9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1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指标值</w:t>
            </w: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完成值</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偏差原因分析及改进</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措施</w:t>
            </w:r>
          </w:p>
        </w:tc>
      </w:tr>
      <w:tr>
        <w:tblPrEx>
          <w:tblCellMar>
            <w:top w:w="0" w:type="dxa"/>
            <w:left w:w="108" w:type="dxa"/>
            <w:bottom w:w="0" w:type="dxa"/>
            <w:right w:w="108" w:type="dxa"/>
          </w:tblCellMar>
        </w:tblPrEx>
        <w:trPr>
          <w:gridBefore w:val="1"/>
          <w:wBefore w:w="15" w:type="dxa"/>
          <w:trHeight w:val="306" w:hRule="exact"/>
          <w:jc w:val="center"/>
        </w:trPr>
        <w:tc>
          <w:tcPr>
            <w:tcW w:w="3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rPr>
              <w:t>2020年文书档案</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35000页</w:t>
            </w: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50000页</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306" w:hRule="exact"/>
          <w:jc w:val="center"/>
        </w:trPr>
        <w:tc>
          <w:tcPr>
            <w:tcW w:w="3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rPr>
              <w:t>1999-2003年文书档案</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175000页</w:t>
            </w: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100000页</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306" w:hRule="exact"/>
          <w:jc w:val="center"/>
        </w:trPr>
        <w:tc>
          <w:tcPr>
            <w:tcW w:w="3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rPr>
              <w:t>其他档案</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63500页</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计划任务不足补充</w:t>
            </w:r>
          </w:p>
        </w:tc>
      </w:tr>
      <w:tr>
        <w:tblPrEx>
          <w:tblCellMar>
            <w:top w:w="0" w:type="dxa"/>
            <w:left w:w="108" w:type="dxa"/>
            <w:bottom w:w="0" w:type="dxa"/>
            <w:right w:w="108" w:type="dxa"/>
          </w:tblCellMar>
        </w:tblPrEx>
        <w:trPr>
          <w:gridBefore w:val="1"/>
          <w:wBefore w:w="15" w:type="dxa"/>
          <w:trHeight w:val="306" w:hRule="exact"/>
          <w:jc w:val="center"/>
        </w:trPr>
        <w:tc>
          <w:tcPr>
            <w:tcW w:w="3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rPr>
              <w:t>装订、入库、上架和归位</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306" w:hRule="exact"/>
          <w:jc w:val="center"/>
        </w:trPr>
        <w:tc>
          <w:tcPr>
            <w:tcW w:w="3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rPr>
              <w:t>收集、整理、归档、录入、装盒等规范化整理</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306" w:hRule="exact"/>
          <w:jc w:val="center"/>
        </w:trPr>
        <w:tc>
          <w:tcPr>
            <w:tcW w:w="3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合同时限内完成</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306" w:hRule="exact"/>
          <w:jc w:val="center"/>
        </w:trPr>
        <w:tc>
          <w:tcPr>
            <w:tcW w:w="3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42万元</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306" w:hRule="exact"/>
          <w:jc w:val="center"/>
        </w:trPr>
        <w:tc>
          <w:tcPr>
            <w:tcW w:w="3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按要求完成并提供查询服务</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306" w:hRule="exact"/>
          <w:jc w:val="center"/>
        </w:trPr>
        <w:tc>
          <w:tcPr>
            <w:tcW w:w="3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甲方满意度</w:t>
            </w:r>
          </w:p>
        </w:tc>
        <w:tc>
          <w:tcPr>
            <w:tcW w:w="16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w:t>
            </w:r>
          </w:p>
        </w:tc>
        <w:tc>
          <w:tcPr>
            <w:tcW w:w="6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30</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30</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Before w:val="1"/>
          <w:wBefore w:w="15" w:type="dxa"/>
          <w:trHeight w:val="477" w:hRule="exact"/>
          <w:jc w:val="center"/>
        </w:trPr>
        <w:tc>
          <w:tcPr>
            <w:tcW w:w="9838"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6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16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21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306" w:hRule="exact"/>
          <w:jc w:val="center"/>
        </w:trPr>
        <w:tc>
          <w:tcPr>
            <w:tcW w:w="42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560" w:lineRule="exact"/>
              <w:jc w:val="both"/>
              <w:rPr>
                <w:rFonts w:hint="eastAsia" w:ascii="仿宋_GB2312" w:hAnsi="宋体" w:eastAsia="仿宋_GB2312" w:cs="宋体"/>
                <w:kern w:val="0"/>
                <w:sz w:val="15"/>
                <w:szCs w:val="15"/>
              </w:rPr>
            </w:pPr>
            <w:r>
              <w:rPr>
                <w:rFonts w:hint="eastAsia" w:ascii="黑体" w:eastAsia="黑体"/>
                <w:sz w:val="15"/>
                <w:szCs w:val="15"/>
              </w:rPr>
              <w:t xml:space="preserve"> </w:t>
            </w:r>
            <w:r>
              <w:rPr>
                <w:rFonts w:hint="eastAsia" w:ascii="仿宋_GB2312" w:hAnsi="宋体" w:eastAsia="仿宋_GB2312" w:cs="宋体"/>
                <w:kern w:val="0"/>
                <w:sz w:val="15"/>
                <w:szCs w:val="15"/>
              </w:rPr>
              <w:t>项目名称</w:t>
            </w:r>
          </w:p>
        </w:tc>
        <w:tc>
          <w:tcPr>
            <w:tcW w:w="9875" w:type="dxa"/>
            <w:gridSpan w:val="1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5.</w:t>
            </w:r>
            <w:r>
              <w:rPr>
                <w:rFonts w:hint="eastAsia" w:ascii="仿宋_GB2312" w:hAnsi="宋体" w:eastAsia="仿宋_GB2312" w:cs="宋体"/>
                <w:kern w:val="0"/>
                <w:sz w:val="15"/>
                <w:szCs w:val="15"/>
              </w:rPr>
              <w:t>档案室改造及智能密集架建设</w:t>
            </w:r>
          </w:p>
        </w:tc>
      </w:tr>
      <w:tr>
        <w:tblPrEx>
          <w:tblCellMar>
            <w:top w:w="0" w:type="dxa"/>
            <w:left w:w="108" w:type="dxa"/>
            <w:bottom w:w="0" w:type="dxa"/>
            <w:right w:w="108" w:type="dxa"/>
          </w:tblCellMar>
        </w:tblPrEx>
        <w:trPr>
          <w:gridAfter w:val="1"/>
          <w:wAfter w:w="153" w:type="dxa"/>
          <w:trHeight w:val="306" w:hRule="exact"/>
          <w:jc w:val="center"/>
        </w:trPr>
        <w:tc>
          <w:tcPr>
            <w:tcW w:w="42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409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区政府办公室</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4657"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区政府办公室</w:t>
            </w:r>
          </w:p>
        </w:tc>
      </w:tr>
      <w:tr>
        <w:tblPrEx>
          <w:tblCellMar>
            <w:top w:w="0" w:type="dxa"/>
            <w:left w:w="108" w:type="dxa"/>
            <w:bottom w:w="0" w:type="dxa"/>
            <w:right w:w="108" w:type="dxa"/>
          </w:tblCellMar>
        </w:tblPrEx>
        <w:trPr>
          <w:gridAfter w:val="1"/>
          <w:wAfter w:w="153" w:type="dxa"/>
          <w:trHeight w:val="306" w:hRule="exact"/>
          <w:jc w:val="center"/>
        </w:trPr>
        <w:tc>
          <w:tcPr>
            <w:tcW w:w="42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409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刘瑞</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4657"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83656110</w:t>
            </w:r>
          </w:p>
        </w:tc>
      </w:tr>
      <w:tr>
        <w:tblPrEx>
          <w:tblCellMar>
            <w:top w:w="0" w:type="dxa"/>
            <w:left w:w="108" w:type="dxa"/>
            <w:bottom w:w="0" w:type="dxa"/>
            <w:right w:w="108" w:type="dxa"/>
          </w:tblCellMar>
        </w:tblPrEx>
        <w:trPr>
          <w:gridAfter w:val="1"/>
          <w:wAfter w:w="153" w:type="dxa"/>
          <w:trHeight w:val="567" w:hRule="exact"/>
          <w:jc w:val="center"/>
        </w:trPr>
        <w:tc>
          <w:tcPr>
            <w:tcW w:w="429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年初预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执行数</w:t>
            </w:r>
          </w:p>
        </w:tc>
        <w:tc>
          <w:tcPr>
            <w:tcW w:w="70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310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gridAfter w:val="1"/>
          <w:wAfter w:w="153" w:type="dxa"/>
          <w:trHeight w:val="306" w:hRule="exact"/>
          <w:jc w:val="center"/>
        </w:trPr>
        <w:tc>
          <w:tcPr>
            <w:tcW w:w="429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16.22万</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16.22万</w:t>
            </w:r>
          </w:p>
        </w:tc>
        <w:tc>
          <w:tcPr>
            <w:tcW w:w="70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100%</w:t>
            </w:r>
          </w:p>
        </w:tc>
        <w:tc>
          <w:tcPr>
            <w:tcW w:w="310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601" w:hRule="exact"/>
          <w:jc w:val="center"/>
        </w:trPr>
        <w:tc>
          <w:tcPr>
            <w:tcW w:w="429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其中：当年财政</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拨款</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16.22万</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0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10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gridAfter w:val="1"/>
          <w:wAfter w:w="153" w:type="dxa"/>
          <w:trHeight w:val="567" w:hRule="exact"/>
          <w:jc w:val="center"/>
        </w:trPr>
        <w:tc>
          <w:tcPr>
            <w:tcW w:w="429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0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10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gridAfter w:val="1"/>
          <w:wAfter w:w="153" w:type="dxa"/>
          <w:trHeight w:val="306" w:hRule="exact"/>
          <w:jc w:val="center"/>
        </w:trPr>
        <w:tc>
          <w:tcPr>
            <w:tcW w:w="429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27"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0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10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gridAfter w:val="1"/>
          <w:wAfter w:w="153" w:type="dxa"/>
          <w:trHeight w:val="548" w:hRule="exact"/>
          <w:jc w:val="center"/>
        </w:trPr>
        <w:tc>
          <w:tcPr>
            <w:tcW w:w="331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506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784"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gridAfter w:val="1"/>
          <w:wAfter w:w="153" w:type="dxa"/>
          <w:trHeight w:val="677" w:hRule="exact"/>
          <w:jc w:val="center"/>
        </w:trPr>
        <w:tc>
          <w:tcPr>
            <w:tcW w:w="331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506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在二号楼116室建设档案密集架30个用于存储区政府近年档案。</w:t>
            </w:r>
          </w:p>
        </w:tc>
        <w:tc>
          <w:tcPr>
            <w:tcW w:w="5784"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已完成</w:t>
            </w:r>
          </w:p>
        </w:tc>
      </w:tr>
      <w:tr>
        <w:tblPrEx>
          <w:tblCellMar>
            <w:top w:w="0" w:type="dxa"/>
            <w:left w:w="108" w:type="dxa"/>
            <w:bottom w:w="0" w:type="dxa"/>
            <w:right w:w="108" w:type="dxa"/>
          </w:tblCellMar>
        </w:tblPrEx>
        <w:trPr>
          <w:gridAfter w:val="1"/>
          <w:wAfter w:w="153" w:type="dxa"/>
          <w:trHeight w:val="830" w:hRule="exact"/>
          <w:jc w:val="center"/>
        </w:trPr>
        <w:tc>
          <w:tcPr>
            <w:tcW w:w="331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9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1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指标值</w:t>
            </w:r>
          </w:p>
        </w:tc>
        <w:tc>
          <w:tcPr>
            <w:tcW w:w="8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完成值</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偏差原因分析及改进</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措施</w:t>
            </w:r>
          </w:p>
        </w:tc>
      </w:tr>
      <w:tr>
        <w:tblPrEx>
          <w:tblCellMar>
            <w:top w:w="0" w:type="dxa"/>
            <w:left w:w="108" w:type="dxa"/>
            <w:bottom w:w="0" w:type="dxa"/>
            <w:right w:w="108" w:type="dxa"/>
          </w:tblCellMar>
        </w:tblPrEx>
        <w:trPr>
          <w:gridAfter w:val="1"/>
          <w:wAfter w:w="153" w:type="dxa"/>
          <w:trHeight w:val="306" w:hRule="exact"/>
          <w:jc w:val="center"/>
        </w:trPr>
        <w:tc>
          <w:tcPr>
            <w:tcW w:w="33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rPr>
              <w:t>密集架30个</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30</w:t>
            </w:r>
          </w:p>
        </w:tc>
        <w:tc>
          <w:tcPr>
            <w:tcW w:w="8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30</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306" w:hRule="exact"/>
          <w:jc w:val="center"/>
        </w:trPr>
        <w:tc>
          <w:tcPr>
            <w:tcW w:w="33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宋体" w:hAnsi="宋体" w:cs="宋体"/>
                <w:sz w:val="15"/>
                <w:szCs w:val="15"/>
              </w:rPr>
              <w:t>9</w:t>
            </w:r>
            <w:r>
              <w:rPr>
                <w:rFonts w:ascii="宋体" w:hAnsi="宋体" w:cs="宋体"/>
                <w:sz w:val="15"/>
                <w:szCs w:val="15"/>
              </w:rPr>
              <w:t>00*550*2300</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一致</w:t>
            </w:r>
          </w:p>
        </w:tc>
        <w:tc>
          <w:tcPr>
            <w:tcW w:w="8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一致</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306" w:hRule="exact"/>
          <w:jc w:val="center"/>
        </w:trPr>
        <w:tc>
          <w:tcPr>
            <w:tcW w:w="33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rPr>
              <w:t>电动控制</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8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306" w:hRule="exact"/>
          <w:jc w:val="center"/>
        </w:trPr>
        <w:tc>
          <w:tcPr>
            <w:tcW w:w="33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rPr>
              <w:t>提供原厂附带的完整的技术资料</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8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306" w:hRule="exact"/>
          <w:jc w:val="center"/>
        </w:trPr>
        <w:tc>
          <w:tcPr>
            <w:tcW w:w="33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合同时限内完成</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8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306" w:hRule="exact"/>
          <w:jc w:val="center"/>
        </w:trPr>
        <w:tc>
          <w:tcPr>
            <w:tcW w:w="33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ascii="仿宋_GB2312" w:hAnsi="宋体" w:eastAsia="仿宋_GB2312" w:cs="宋体"/>
                <w:kern w:val="0"/>
                <w:sz w:val="15"/>
                <w:szCs w:val="15"/>
              </w:rPr>
              <w:t>162220</w:t>
            </w:r>
            <w:r>
              <w:rPr>
                <w:rFonts w:hint="eastAsia" w:ascii="仿宋_GB2312" w:hAnsi="宋体" w:eastAsia="仿宋_GB2312" w:cs="宋体"/>
                <w:kern w:val="0"/>
                <w:sz w:val="15"/>
                <w:szCs w:val="15"/>
              </w:rPr>
              <w:t>元</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8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736" w:hRule="exact"/>
          <w:jc w:val="center"/>
        </w:trPr>
        <w:tc>
          <w:tcPr>
            <w:tcW w:w="33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可持续影响指标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宋体" w:hAnsi="宋体" w:cs="宋体"/>
                <w:sz w:val="15"/>
                <w:szCs w:val="15"/>
              </w:rPr>
              <w:t>保期十年，终身维护</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有</w:t>
            </w:r>
          </w:p>
        </w:tc>
        <w:tc>
          <w:tcPr>
            <w:tcW w:w="8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有</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676" w:hRule="exact"/>
          <w:jc w:val="center"/>
        </w:trPr>
        <w:tc>
          <w:tcPr>
            <w:tcW w:w="33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服务对象满意度标</w:t>
            </w:r>
          </w:p>
        </w:tc>
        <w:tc>
          <w:tcPr>
            <w:tcW w:w="21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甲方满意度</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w:t>
            </w:r>
          </w:p>
        </w:tc>
        <w:tc>
          <w:tcPr>
            <w:tcW w:w="8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30</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30</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gridAfter w:val="1"/>
          <w:wAfter w:w="153" w:type="dxa"/>
          <w:trHeight w:val="477" w:hRule="exact"/>
          <w:jc w:val="center"/>
        </w:trPr>
        <w:tc>
          <w:tcPr>
            <w:tcW w:w="923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5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5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3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keepNext w:val="0"/>
        <w:keepLines w:val="0"/>
        <w:pageBreakBefore w:val="0"/>
        <w:kinsoku/>
        <w:wordWrap/>
        <w:overflowPunct/>
        <w:topLinePunct w:val="0"/>
        <w:bidi w:val="0"/>
        <w:snapToGrid/>
        <w:spacing w:line="560" w:lineRule="exact"/>
        <w:jc w:val="both"/>
        <w:rPr>
          <w:rFonts w:hint="eastAsia" w:ascii="黑体" w:eastAsia="黑体"/>
          <w:sz w:val="15"/>
          <w:szCs w:val="15"/>
        </w:rPr>
      </w:pPr>
    </w:p>
    <w:tbl>
      <w:tblPr>
        <w:tblStyle w:val="9"/>
        <w:tblpPr w:leftFromText="180" w:rightFromText="180" w:vertAnchor="text" w:horzAnchor="page" w:tblpX="1530" w:tblpY="243"/>
        <w:tblOverlap w:val="never"/>
        <w:tblW w:w="14277" w:type="dxa"/>
        <w:tblInd w:w="0" w:type="dxa"/>
        <w:tblLayout w:type="fixed"/>
        <w:tblCellMar>
          <w:top w:w="0" w:type="dxa"/>
          <w:left w:w="108" w:type="dxa"/>
          <w:bottom w:w="0" w:type="dxa"/>
          <w:right w:w="108" w:type="dxa"/>
        </w:tblCellMar>
      </w:tblPr>
      <w:tblGrid>
        <w:gridCol w:w="585"/>
        <w:gridCol w:w="975"/>
        <w:gridCol w:w="961"/>
        <w:gridCol w:w="871"/>
        <w:gridCol w:w="1127"/>
        <w:gridCol w:w="2232"/>
        <w:gridCol w:w="2190"/>
        <w:gridCol w:w="1515"/>
        <w:gridCol w:w="450"/>
        <w:gridCol w:w="480"/>
        <w:gridCol w:w="791"/>
        <w:gridCol w:w="150"/>
        <w:gridCol w:w="1950"/>
      </w:tblGrid>
      <w:tr>
        <w:tblPrEx>
          <w:tblCellMar>
            <w:top w:w="0" w:type="dxa"/>
            <w:left w:w="108" w:type="dxa"/>
            <w:bottom w:w="0" w:type="dxa"/>
            <w:right w:w="108" w:type="dxa"/>
          </w:tblCellMar>
        </w:tblPrEx>
        <w:trPr>
          <w:trHeight w:val="306" w:hRule="exac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271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6.</w:t>
            </w:r>
            <w:r>
              <w:rPr>
                <w:rFonts w:hint="eastAsia" w:ascii="仿宋_GB2312" w:hAnsi="宋体" w:eastAsia="仿宋_GB2312" w:cs="宋体"/>
                <w:kern w:val="0"/>
                <w:sz w:val="15"/>
                <w:szCs w:val="15"/>
              </w:rPr>
              <w:t>丰台区服务对象满意度调查项目</w:t>
            </w:r>
          </w:p>
        </w:tc>
      </w:tr>
      <w:tr>
        <w:tblPrEx>
          <w:tblCellMar>
            <w:top w:w="0" w:type="dxa"/>
            <w:left w:w="108" w:type="dxa"/>
            <w:bottom w:w="0" w:type="dxa"/>
            <w:right w:w="108" w:type="dxa"/>
          </w:tblCellMar>
        </w:tblPrEx>
        <w:trPr>
          <w:trHeight w:val="306" w:hRule="exac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73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丰台区政府办公室</w:t>
            </w:r>
          </w:p>
        </w:tc>
        <w:tc>
          <w:tcPr>
            <w:tcW w:w="19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337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丰台区政府办公室</w:t>
            </w:r>
          </w:p>
        </w:tc>
      </w:tr>
      <w:tr>
        <w:tblPrEx>
          <w:tblCellMar>
            <w:top w:w="0" w:type="dxa"/>
            <w:left w:w="108" w:type="dxa"/>
            <w:bottom w:w="0" w:type="dxa"/>
            <w:right w:w="108" w:type="dxa"/>
          </w:tblCellMar>
        </w:tblPrEx>
        <w:trPr>
          <w:trHeight w:val="306" w:hRule="exac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73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田萌</w:t>
            </w:r>
          </w:p>
        </w:tc>
        <w:tc>
          <w:tcPr>
            <w:tcW w:w="19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337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83656106</w:t>
            </w:r>
          </w:p>
        </w:tc>
      </w:tr>
      <w:tr>
        <w:tblPrEx>
          <w:tblCellMar>
            <w:top w:w="0" w:type="dxa"/>
            <w:left w:w="108" w:type="dxa"/>
            <w:bottom w:w="0" w:type="dxa"/>
            <w:right w:w="108" w:type="dxa"/>
          </w:tblCellMar>
        </w:tblPrEx>
        <w:trPr>
          <w:trHeight w:val="567" w:hRule="exact"/>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项目资金</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（万元）</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年初预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44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全年预</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算数</w:t>
            </w:r>
          </w:p>
        </w:tc>
        <w:tc>
          <w:tcPr>
            <w:tcW w:w="19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全年</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执行数</w:t>
            </w:r>
          </w:p>
        </w:tc>
        <w:tc>
          <w:tcPr>
            <w:tcW w:w="4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2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306" w:hRule="exac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48</w:t>
            </w:r>
            <w:r>
              <w:rPr>
                <w:rFonts w:hint="eastAsia" w:ascii="仿宋_GB2312" w:hAnsi="宋体" w:eastAsia="仿宋_GB2312" w:cs="宋体"/>
                <w:kern w:val="0"/>
                <w:sz w:val="15"/>
                <w:szCs w:val="15"/>
              </w:rPr>
              <w:t>万</w:t>
            </w:r>
          </w:p>
        </w:tc>
        <w:tc>
          <w:tcPr>
            <w:tcW w:w="44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48</w:t>
            </w:r>
            <w:r>
              <w:rPr>
                <w:rFonts w:hint="eastAsia" w:ascii="仿宋_GB2312" w:hAnsi="宋体" w:eastAsia="仿宋_GB2312" w:cs="宋体"/>
                <w:kern w:val="0"/>
                <w:sz w:val="15"/>
                <w:szCs w:val="15"/>
              </w:rPr>
              <w:t>万</w:t>
            </w:r>
          </w:p>
        </w:tc>
        <w:tc>
          <w:tcPr>
            <w:tcW w:w="19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48</w:t>
            </w:r>
            <w:r>
              <w:rPr>
                <w:rFonts w:hint="eastAsia" w:ascii="仿宋_GB2312" w:hAnsi="宋体" w:eastAsia="仿宋_GB2312" w:cs="宋体"/>
                <w:kern w:val="0"/>
                <w:sz w:val="15"/>
                <w:szCs w:val="15"/>
              </w:rPr>
              <w:t>万</w:t>
            </w:r>
          </w:p>
        </w:tc>
        <w:tc>
          <w:tcPr>
            <w:tcW w:w="4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100%</w:t>
            </w:r>
          </w:p>
        </w:tc>
        <w:tc>
          <w:tcPr>
            <w:tcW w:w="2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w:t>
            </w:r>
            <w:r>
              <w:rPr>
                <w:rFonts w:ascii="仿宋_GB2312" w:hAnsi="宋体" w:eastAsia="仿宋_GB2312" w:cs="宋体"/>
                <w:kern w:val="0"/>
                <w:sz w:val="15"/>
                <w:szCs w:val="15"/>
              </w:rPr>
              <w:t>0</w:t>
            </w:r>
          </w:p>
        </w:tc>
      </w:tr>
      <w:tr>
        <w:tblPrEx>
          <w:tblCellMar>
            <w:top w:w="0" w:type="dxa"/>
            <w:left w:w="108" w:type="dxa"/>
            <w:bottom w:w="0" w:type="dxa"/>
            <w:right w:w="108" w:type="dxa"/>
          </w:tblCellMar>
        </w:tblPrEx>
        <w:trPr>
          <w:trHeight w:val="321" w:hRule="exac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39万</w:t>
            </w:r>
          </w:p>
        </w:tc>
        <w:tc>
          <w:tcPr>
            <w:tcW w:w="44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39万</w:t>
            </w:r>
          </w:p>
        </w:tc>
        <w:tc>
          <w:tcPr>
            <w:tcW w:w="19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42" w:hRule="exac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9万</w:t>
            </w:r>
          </w:p>
        </w:tc>
        <w:tc>
          <w:tcPr>
            <w:tcW w:w="44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9万</w:t>
            </w:r>
          </w:p>
        </w:tc>
        <w:tc>
          <w:tcPr>
            <w:tcW w:w="19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1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4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9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28" w:hRule="exact"/>
        </w:trPr>
        <w:tc>
          <w:tcPr>
            <w:tcW w:w="58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835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33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507" w:hRule="exact"/>
        </w:trPr>
        <w:tc>
          <w:tcPr>
            <w:tcW w:w="58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35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引入第三方机构协助开展202</w:t>
            </w:r>
            <w:r>
              <w:rPr>
                <w:rFonts w:ascii="仿宋_GB2312" w:hAnsi="宋体" w:eastAsia="仿宋_GB2312" w:cs="宋体"/>
                <w:kern w:val="0"/>
                <w:sz w:val="15"/>
                <w:szCs w:val="15"/>
              </w:rPr>
              <w:t>1</w:t>
            </w:r>
            <w:r>
              <w:rPr>
                <w:rFonts w:hint="eastAsia" w:ascii="仿宋_GB2312" w:hAnsi="宋体" w:eastAsia="仿宋_GB2312" w:cs="宋体"/>
                <w:kern w:val="0"/>
                <w:sz w:val="15"/>
                <w:szCs w:val="15"/>
              </w:rPr>
              <w:t>年度满意度调查工作，收集分析公众对“七有”“五性”及政务服务等各方面的诉求及意见建议，促进相关部门改善工作，优化服务管理，提升丰台区公众满意度。</w:t>
            </w:r>
          </w:p>
        </w:tc>
        <w:tc>
          <w:tcPr>
            <w:tcW w:w="533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已完成丰台区满意度调查工作，形成</w:t>
            </w:r>
            <w:r>
              <w:rPr>
                <w:rFonts w:hint="eastAsia" w:ascii="仿宋_GB2312" w:hAnsi="宋体" w:eastAsia="仿宋_GB2312" w:cs="宋体"/>
                <w:color w:val="000000"/>
                <w:kern w:val="0"/>
                <w:sz w:val="15"/>
                <w:szCs w:val="15"/>
              </w:rPr>
              <w:t>区满意度调查总报告1篇，全区街乡镇满意度调查分报告与意见建议清单21份，促进</w:t>
            </w:r>
            <w:r>
              <w:rPr>
                <w:rFonts w:ascii="仿宋_GB2312" w:hAnsi="宋体" w:eastAsia="仿宋_GB2312" w:cs="宋体"/>
                <w:color w:val="000000"/>
                <w:kern w:val="0"/>
                <w:sz w:val="15"/>
                <w:szCs w:val="15"/>
              </w:rPr>
              <w:t>提升</w:t>
            </w:r>
            <w:r>
              <w:rPr>
                <w:rFonts w:hint="eastAsia" w:ascii="仿宋_GB2312" w:hAnsi="宋体" w:eastAsia="仿宋_GB2312" w:cs="宋体"/>
                <w:color w:val="000000"/>
                <w:kern w:val="0"/>
                <w:sz w:val="15"/>
                <w:szCs w:val="15"/>
              </w:rPr>
              <w:t>了</w:t>
            </w:r>
            <w:r>
              <w:rPr>
                <w:rFonts w:hint="eastAsia" w:ascii="仿宋_GB2312" w:hAnsi="宋体" w:eastAsia="仿宋_GB2312" w:cs="宋体"/>
                <w:kern w:val="0"/>
                <w:sz w:val="15"/>
                <w:szCs w:val="15"/>
              </w:rPr>
              <w:t>公众满意度。</w:t>
            </w:r>
          </w:p>
        </w:tc>
      </w:tr>
      <w:tr>
        <w:tblPrEx>
          <w:tblCellMar>
            <w:top w:w="0" w:type="dxa"/>
            <w:left w:w="108" w:type="dxa"/>
            <w:bottom w:w="0" w:type="dxa"/>
            <w:right w:w="108" w:type="dxa"/>
          </w:tblCellMar>
        </w:tblPrEx>
        <w:trPr>
          <w:trHeight w:val="420" w:hRule="exact"/>
        </w:trPr>
        <w:tc>
          <w:tcPr>
            <w:tcW w:w="5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绩</w:t>
            </w:r>
          </w:p>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效</w:t>
            </w:r>
          </w:p>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rPr>
              <w:t>指</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标</w:t>
            </w:r>
          </w:p>
        </w:tc>
        <w:tc>
          <w:tcPr>
            <w:tcW w:w="9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9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42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15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9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偏差原因分析及改进</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措施</w:t>
            </w:r>
          </w:p>
        </w:tc>
      </w:tr>
      <w:tr>
        <w:tblPrEx>
          <w:tblCellMar>
            <w:top w:w="0" w:type="dxa"/>
            <w:left w:w="108" w:type="dxa"/>
            <w:bottom w:w="0" w:type="dxa"/>
            <w:right w:w="108" w:type="dxa"/>
          </w:tblCellMar>
        </w:tblPrEx>
        <w:trPr>
          <w:trHeight w:val="292" w:hRule="exact"/>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9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42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指标1：完成不少于5000个城乡居民样本</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5</w:t>
            </w:r>
            <w:r>
              <w:rPr>
                <w:rFonts w:ascii="仿宋_GB2312" w:hAnsi="宋体" w:eastAsia="仿宋_GB2312" w:cs="宋体"/>
                <w:kern w:val="0"/>
                <w:sz w:val="15"/>
                <w:szCs w:val="15"/>
              </w:rPr>
              <w:t>0</w:t>
            </w:r>
            <w:r>
              <w:rPr>
                <w:rFonts w:hint="eastAsia" w:ascii="仿宋_GB2312" w:hAnsi="宋体" w:eastAsia="仿宋_GB2312" w:cs="宋体"/>
                <w:kern w:val="0"/>
                <w:sz w:val="15"/>
                <w:szCs w:val="15"/>
              </w:rPr>
              <w:t>00</w:t>
            </w:r>
          </w:p>
        </w:tc>
        <w:tc>
          <w:tcPr>
            <w:tcW w:w="15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5</w:t>
            </w:r>
            <w:r>
              <w:rPr>
                <w:rFonts w:ascii="仿宋_GB2312" w:hAnsi="宋体" w:eastAsia="仿宋_GB2312" w:cs="宋体"/>
                <w:kern w:val="0"/>
                <w:sz w:val="15"/>
                <w:szCs w:val="15"/>
              </w:rPr>
              <w:t>000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15</w:t>
            </w:r>
          </w:p>
        </w:tc>
        <w:tc>
          <w:tcPr>
            <w:tcW w:w="9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15</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26" w:hRule="exact"/>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2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指标2：完成不少于400个企业单位满意度调查</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400</w:t>
            </w:r>
          </w:p>
        </w:tc>
        <w:tc>
          <w:tcPr>
            <w:tcW w:w="15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400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5</w:t>
            </w:r>
          </w:p>
        </w:tc>
        <w:tc>
          <w:tcPr>
            <w:tcW w:w="9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5</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05" w:hRule="exact"/>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2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指标3：形成区满意度调查总报告1篇，全区街乡镇满意度调查分报告与意见建议清单21份。</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22</w:t>
            </w:r>
          </w:p>
        </w:tc>
        <w:tc>
          <w:tcPr>
            <w:tcW w:w="15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22</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9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89" w:hRule="exact"/>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42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指标1：发现丰台区民生工作中存在问题</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15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9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9</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38" w:hRule="exact"/>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42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指标1：三季度制定调查方案及问卷设计，组织访问员培训</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15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9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10</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50" w:hRule="exact"/>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2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指标2：四季度开展满意度调查；最终于2021年12月底完成</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15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9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ascii="仿宋_GB2312" w:hAnsi="宋体" w:eastAsia="仿宋_GB2312" w:cs="宋体"/>
                <w:kern w:val="0"/>
                <w:sz w:val="15"/>
                <w:szCs w:val="15"/>
              </w:rPr>
              <w:t>9</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06" w:hRule="exact"/>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42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指标1：</w:t>
            </w:r>
            <w:r>
              <w:rPr>
                <w:rFonts w:ascii="仿宋_GB2312" w:hAnsi="宋体" w:eastAsia="仿宋_GB2312" w:cs="宋体"/>
                <w:color w:val="000000"/>
                <w:kern w:val="0"/>
                <w:sz w:val="15"/>
                <w:szCs w:val="15"/>
              </w:rPr>
              <w:t>48</w:t>
            </w:r>
            <w:r>
              <w:rPr>
                <w:rFonts w:hint="eastAsia" w:ascii="仿宋_GB2312" w:hAnsi="宋体" w:eastAsia="仿宋_GB2312" w:cs="宋体"/>
                <w:color w:val="000000"/>
                <w:kern w:val="0"/>
                <w:sz w:val="15"/>
                <w:szCs w:val="15"/>
              </w:rPr>
              <w:t>万/年</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15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9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w:t>
            </w:r>
            <w:r>
              <w:rPr>
                <w:rFonts w:ascii="仿宋_GB2312" w:hAnsi="宋体" w:eastAsia="仿宋_GB2312" w:cs="宋体"/>
                <w:kern w:val="0"/>
                <w:sz w:val="15"/>
                <w:szCs w:val="15"/>
              </w:rPr>
              <w:t>0</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802" w:hRule="atLeast"/>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w:t>
            </w:r>
          </w:p>
        </w:tc>
        <w:tc>
          <w:tcPr>
            <w:tcW w:w="4230"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指标1：推动丰台区2019年重点工作落实，提高各责任单位工作质量，确保各项工作措施落在实处，提升群众获得感。形成常态化监督检查机制，持续推动全区重点任务的落实。</w:t>
            </w:r>
          </w:p>
        </w:tc>
        <w:tc>
          <w:tcPr>
            <w:tcW w:w="219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151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930"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15</w:t>
            </w:r>
          </w:p>
        </w:tc>
        <w:tc>
          <w:tcPr>
            <w:tcW w:w="941"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14</w:t>
            </w:r>
          </w:p>
        </w:tc>
        <w:tc>
          <w:tcPr>
            <w:tcW w:w="195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806" w:hRule="exact"/>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指标</w:t>
            </w:r>
          </w:p>
        </w:tc>
        <w:tc>
          <w:tcPr>
            <w:tcW w:w="9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服务对象满意度标</w:t>
            </w:r>
          </w:p>
        </w:tc>
        <w:tc>
          <w:tcPr>
            <w:tcW w:w="42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指标1：准确反映丰台区群众与企业满意度情况，协助提升丰台区公众满意度。</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15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15</w:t>
            </w:r>
          </w:p>
        </w:tc>
        <w:tc>
          <w:tcPr>
            <w:tcW w:w="9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14</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trPr>
        <w:tc>
          <w:tcPr>
            <w:tcW w:w="894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1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142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96</w:t>
            </w:r>
          </w:p>
        </w:tc>
        <w:tc>
          <w:tcPr>
            <w:tcW w:w="19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pStyle w:val="2"/>
        <w:ind w:left="0" w:leftChars="0" w:firstLine="0" w:firstLineChars="0"/>
        <w:rPr>
          <w:rFonts w:hint="eastAsia"/>
        </w:rPr>
      </w:pPr>
    </w:p>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lang w:val="en-US" w:eastAsia="zh-CN"/>
      </w:rPr>
      <w:t>15</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43E94"/>
    <w:multiLevelType w:val="singleLevel"/>
    <w:tmpl w:val="8B943E94"/>
    <w:lvl w:ilvl="0" w:tentative="0">
      <w:start w:val="2"/>
      <w:numFmt w:val="decimal"/>
      <w:suff w:val="nothing"/>
      <w:lvlText w:val="（%1）"/>
      <w:lvlJc w:val="left"/>
    </w:lvl>
  </w:abstractNum>
  <w:abstractNum w:abstractNumId="1">
    <w:nsid w:val="D7FFB472"/>
    <w:multiLevelType w:val="singleLevel"/>
    <w:tmpl w:val="D7FFB472"/>
    <w:lvl w:ilvl="0" w:tentative="0">
      <w:start w:val="1"/>
      <w:numFmt w:val="chineseCounting"/>
      <w:suff w:val="nothing"/>
      <w:lvlText w:val="%1、"/>
      <w:lvlJc w:val="left"/>
      <w:rPr>
        <w:rFonts w:hint="eastAsia"/>
      </w:rPr>
    </w:lvl>
  </w:abstractNum>
  <w:abstractNum w:abstractNumId="2">
    <w:nsid w:val="FC8D473E"/>
    <w:multiLevelType w:val="singleLevel"/>
    <w:tmpl w:val="FC8D473E"/>
    <w:lvl w:ilvl="0" w:tentative="0">
      <w:start w:val="3"/>
      <w:numFmt w:val="chineseCounting"/>
      <w:suff w:val="nothing"/>
      <w:lvlText w:val="（%1）"/>
      <w:lvlJc w:val="left"/>
      <w:pPr>
        <w:ind w:left="105"/>
      </w:pPr>
      <w:rPr>
        <w:rFonts w:hint="eastAsia"/>
      </w:rPr>
    </w:lvl>
  </w:abstractNum>
  <w:abstractNum w:abstractNumId="3">
    <w:nsid w:val="05BA3F18"/>
    <w:multiLevelType w:val="singleLevel"/>
    <w:tmpl w:val="05BA3F18"/>
    <w:lvl w:ilvl="0" w:tentative="0">
      <w:start w:val="6"/>
      <w:numFmt w:val="chineseCounting"/>
      <w:suff w:val="nothing"/>
      <w:lvlText w:val="（%1）"/>
      <w:lvlJc w:val="left"/>
      <w:rPr>
        <w:rFonts w:hint="eastAsia"/>
      </w:rPr>
    </w:lvl>
  </w:abstractNum>
  <w:abstractNum w:abstractNumId="4">
    <w:nsid w:val="546B93D2"/>
    <w:multiLevelType w:val="singleLevel"/>
    <w:tmpl w:val="546B93D2"/>
    <w:lvl w:ilvl="0" w:tentative="0">
      <w:start w:val="2"/>
      <w:numFmt w:val="decimal"/>
      <w:suff w:val="nothing"/>
      <w:lvlText w:val="（%1）"/>
      <w:lvlJc w:val="left"/>
    </w:lvl>
  </w:abstractNum>
  <w:abstractNum w:abstractNumId="5">
    <w:nsid w:val="5DD09C84"/>
    <w:multiLevelType w:val="singleLevel"/>
    <w:tmpl w:val="5DD09C84"/>
    <w:lvl w:ilvl="0" w:tentative="0">
      <w:start w:val="3"/>
      <w:numFmt w:val="decimal"/>
      <w:lvlText w:val="%1."/>
      <w:lvlJc w:val="left"/>
      <w:pPr>
        <w:tabs>
          <w:tab w:val="left" w:pos="312"/>
        </w:tabs>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wMWQ0NmQ4MzQ1ZDUzNTBmYWZjNjQyMTI1NDEyMzQifQ=="/>
  </w:docVars>
  <w:rsids>
    <w:rsidRoot w:val="00100246"/>
    <w:rsid w:val="00003B03"/>
    <w:rsid w:val="000040E6"/>
    <w:rsid w:val="00011D72"/>
    <w:rsid w:val="00027CD5"/>
    <w:rsid w:val="00031B8E"/>
    <w:rsid w:val="00033EC1"/>
    <w:rsid w:val="00034224"/>
    <w:rsid w:val="00040275"/>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4611"/>
    <w:rsid w:val="000D6854"/>
    <w:rsid w:val="000E0B26"/>
    <w:rsid w:val="000E3291"/>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7111F"/>
    <w:rsid w:val="00173CF6"/>
    <w:rsid w:val="00180DAD"/>
    <w:rsid w:val="0018370E"/>
    <w:rsid w:val="001852E1"/>
    <w:rsid w:val="00191568"/>
    <w:rsid w:val="001A4277"/>
    <w:rsid w:val="001A7D2E"/>
    <w:rsid w:val="001B1DF9"/>
    <w:rsid w:val="001B1E93"/>
    <w:rsid w:val="001B375E"/>
    <w:rsid w:val="001B4A46"/>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C42"/>
    <w:rsid w:val="002515CC"/>
    <w:rsid w:val="00253EC4"/>
    <w:rsid w:val="00254515"/>
    <w:rsid w:val="0026479D"/>
    <w:rsid w:val="002673C4"/>
    <w:rsid w:val="0027112B"/>
    <w:rsid w:val="00271C3F"/>
    <w:rsid w:val="00272460"/>
    <w:rsid w:val="00273070"/>
    <w:rsid w:val="0027394A"/>
    <w:rsid w:val="00274D50"/>
    <w:rsid w:val="002760D5"/>
    <w:rsid w:val="00276289"/>
    <w:rsid w:val="0028081D"/>
    <w:rsid w:val="0028458C"/>
    <w:rsid w:val="002911BD"/>
    <w:rsid w:val="0029150E"/>
    <w:rsid w:val="00291C98"/>
    <w:rsid w:val="00294DE9"/>
    <w:rsid w:val="002A1488"/>
    <w:rsid w:val="002A4C2B"/>
    <w:rsid w:val="002B19D0"/>
    <w:rsid w:val="002B3682"/>
    <w:rsid w:val="002B5464"/>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2A86"/>
    <w:rsid w:val="00383BCC"/>
    <w:rsid w:val="00385243"/>
    <w:rsid w:val="003925D4"/>
    <w:rsid w:val="0039318C"/>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271F"/>
    <w:rsid w:val="0041688E"/>
    <w:rsid w:val="004170EF"/>
    <w:rsid w:val="0042093C"/>
    <w:rsid w:val="004233DD"/>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7286"/>
    <w:rsid w:val="00461FA5"/>
    <w:rsid w:val="00463566"/>
    <w:rsid w:val="00464182"/>
    <w:rsid w:val="00471C52"/>
    <w:rsid w:val="0047460C"/>
    <w:rsid w:val="00474FF2"/>
    <w:rsid w:val="00480098"/>
    <w:rsid w:val="00484A93"/>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E27DD"/>
    <w:rsid w:val="004E3350"/>
    <w:rsid w:val="004E5292"/>
    <w:rsid w:val="004F2C5B"/>
    <w:rsid w:val="004F641B"/>
    <w:rsid w:val="004F71F3"/>
    <w:rsid w:val="005052FA"/>
    <w:rsid w:val="005069E1"/>
    <w:rsid w:val="00507E59"/>
    <w:rsid w:val="005122B5"/>
    <w:rsid w:val="0052381C"/>
    <w:rsid w:val="005346B3"/>
    <w:rsid w:val="0054051C"/>
    <w:rsid w:val="00546A84"/>
    <w:rsid w:val="00547BE2"/>
    <w:rsid w:val="0055353D"/>
    <w:rsid w:val="0056187C"/>
    <w:rsid w:val="00576B03"/>
    <w:rsid w:val="00591655"/>
    <w:rsid w:val="00591BEC"/>
    <w:rsid w:val="005940EA"/>
    <w:rsid w:val="00594448"/>
    <w:rsid w:val="005A1D6F"/>
    <w:rsid w:val="005A4D82"/>
    <w:rsid w:val="005A52A6"/>
    <w:rsid w:val="005B0DEC"/>
    <w:rsid w:val="005B368E"/>
    <w:rsid w:val="005B6E69"/>
    <w:rsid w:val="005C0015"/>
    <w:rsid w:val="005C1E82"/>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4A2B"/>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701651"/>
    <w:rsid w:val="00701DA4"/>
    <w:rsid w:val="007049BF"/>
    <w:rsid w:val="00704E79"/>
    <w:rsid w:val="00707A26"/>
    <w:rsid w:val="0071120F"/>
    <w:rsid w:val="00716380"/>
    <w:rsid w:val="00722165"/>
    <w:rsid w:val="00724B1C"/>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0B7"/>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4558"/>
    <w:rsid w:val="007F64DF"/>
    <w:rsid w:val="008050EF"/>
    <w:rsid w:val="0080652C"/>
    <w:rsid w:val="0080715F"/>
    <w:rsid w:val="008113D6"/>
    <w:rsid w:val="00812BA7"/>
    <w:rsid w:val="00813A87"/>
    <w:rsid w:val="00813F63"/>
    <w:rsid w:val="00815F57"/>
    <w:rsid w:val="0081760B"/>
    <w:rsid w:val="008218AC"/>
    <w:rsid w:val="00825359"/>
    <w:rsid w:val="00825E13"/>
    <w:rsid w:val="00826F07"/>
    <w:rsid w:val="008337CB"/>
    <w:rsid w:val="00834A3C"/>
    <w:rsid w:val="008360A0"/>
    <w:rsid w:val="00837658"/>
    <w:rsid w:val="00837CD4"/>
    <w:rsid w:val="00837F78"/>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55D9"/>
    <w:rsid w:val="009057DE"/>
    <w:rsid w:val="00905F97"/>
    <w:rsid w:val="00906FA3"/>
    <w:rsid w:val="0091239D"/>
    <w:rsid w:val="00912825"/>
    <w:rsid w:val="009129B8"/>
    <w:rsid w:val="00912B99"/>
    <w:rsid w:val="00912C78"/>
    <w:rsid w:val="009351E9"/>
    <w:rsid w:val="00937862"/>
    <w:rsid w:val="00942279"/>
    <w:rsid w:val="009524EB"/>
    <w:rsid w:val="00962013"/>
    <w:rsid w:val="00963942"/>
    <w:rsid w:val="0096716C"/>
    <w:rsid w:val="009672B2"/>
    <w:rsid w:val="00971C66"/>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117CA"/>
    <w:rsid w:val="00A12225"/>
    <w:rsid w:val="00A14C18"/>
    <w:rsid w:val="00A25898"/>
    <w:rsid w:val="00A3071D"/>
    <w:rsid w:val="00A3182E"/>
    <w:rsid w:val="00A31A89"/>
    <w:rsid w:val="00A32F06"/>
    <w:rsid w:val="00A34934"/>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1B18"/>
    <w:rsid w:val="00AE7339"/>
    <w:rsid w:val="00AF1B0B"/>
    <w:rsid w:val="00AF242C"/>
    <w:rsid w:val="00AF3CC4"/>
    <w:rsid w:val="00B05903"/>
    <w:rsid w:val="00B12C7A"/>
    <w:rsid w:val="00B12E10"/>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C1B"/>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623C"/>
    <w:rsid w:val="00C06A07"/>
    <w:rsid w:val="00C132B6"/>
    <w:rsid w:val="00C21A6C"/>
    <w:rsid w:val="00C24A10"/>
    <w:rsid w:val="00C27003"/>
    <w:rsid w:val="00C27597"/>
    <w:rsid w:val="00C32BD4"/>
    <w:rsid w:val="00C33E48"/>
    <w:rsid w:val="00C3618B"/>
    <w:rsid w:val="00C403FB"/>
    <w:rsid w:val="00C4316E"/>
    <w:rsid w:val="00C441A2"/>
    <w:rsid w:val="00C5076B"/>
    <w:rsid w:val="00C512D4"/>
    <w:rsid w:val="00C51CF4"/>
    <w:rsid w:val="00C531E2"/>
    <w:rsid w:val="00C53204"/>
    <w:rsid w:val="00C57E34"/>
    <w:rsid w:val="00C64659"/>
    <w:rsid w:val="00C662E9"/>
    <w:rsid w:val="00C66C2D"/>
    <w:rsid w:val="00C7190B"/>
    <w:rsid w:val="00C76852"/>
    <w:rsid w:val="00C77210"/>
    <w:rsid w:val="00C777FA"/>
    <w:rsid w:val="00C77989"/>
    <w:rsid w:val="00C811F4"/>
    <w:rsid w:val="00C81E51"/>
    <w:rsid w:val="00C87B73"/>
    <w:rsid w:val="00C92444"/>
    <w:rsid w:val="00C92FBB"/>
    <w:rsid w:val="00C93327"/>
    <w:rsid w:val="00C97B4D"/>
    <w:rsid w:val="00CA5602"/>
    <w:rsid w:val="00CA5CA9"/>
    <w:rsid w:val="00CA78E2"/>
    <w:rsid w:val="00CB1BBE"/>
    <w:rsid w:val="00CB65DB"/>
    <w:rsid w:val="00CB6BD9"/>
    <w:rsid w:val="00CC293A"/>
    <w:rsid w:val="00CE19F6"/>
    <w:rsid w:val="00CF366B"/>
    <w:rsid w:val="00CF5D9D"/>
    <w:rsid w:val="00CF606C"/>
    <w:rsid w:val="00CF7423"/>
    <w:rsid w:val="00D001F5"/>
    <w:rsid w:val="00D03E80"/>
    <w:rsid w:val="00D1505F"/>
    <w:rsid w:val="00D15B9F"/>
    <w:rsid w:val="00D15DD6"/>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446D"/>
    <w:rsid w:val="00DA2994"/>
    <w:rsid w:val="00DB08E8"/>
    <w:rsid w:val="00DB0DED"/>
    <w:rsid w:val="00DB3073"/>
    <w:rsid w:val="00DB3BA9"/>
    <w:rsid w:val="00DB50FE"/>
    <w:rsid w:val="00DB5EDA"/>
    <w:rsid w:val="00DC2349"/>
    <w:rsid w:val="00DC3026"/>
    <w:rsid w:val="00DD1EDB"/>
    <w:rsid w:val="00DD57AA"/>
    <w:rsid w:val="00DE1578"/>
    <w:rsid w:val="00DE7F67"/>
    <w:rsid w:val="00DF0529"/>
    <w:rsid w:val="00DF09EF"/>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10948"/>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EF6D91"/>
    <w:rsid w:val="00F01F54"/>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139D"/>
    <w:rsid w:val="00F83DF9"/>
    <w:rsid w:val="00F85DA0"/>
    <w:rsid w:val="00F930AF"/>
    <w:rsid w:val="00F9352C"/>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1E37"/>
    <w:rsid w:val="02072F98"/>
    <w:rsid w:val="03FB7976"/>
    <w:rsid w:val="0916121C"/>
    <w:rsid w:val="0EE45912"/>
    <w:rsid w:val="114B44C6"/>
    <w:rsid w:val="13745ABC"/>
    <w:rsid w:val="13C87418"/>
    <w:rsid w:val="17E106B3"/>
    <w:rsid w:val="1C96CAB6"/>
    <w:rsid w:val="1CA23631"/>
    <w:rsid w:val="1DF3E524"/>
    <w:rsid w:val="22C205D7"/>
    <w:rsid w:val="271C443A"/>
    <w:rsid w:val="2A4E3146"/>
    <w:rsid w:val="2C2C177A"/>
    <w:rsid w:val="30175944"/>
    <w:rsid w:val="324E1E79"/>
    <w:rsid w:val="34B56696"/>
    <w:rsid w:val="37437544"/>
    <w:rsid w:val="380B201B"/>
    <w:rsid w:val="39DF5AAD"/>
    <w:rsid w:val="3C936DD0"/>
    <w:rsid w:val="3CFFD38A"/>
    <w:rsid w:val="3DF7BC2D"/>
    <w:rsid w:val="3E033BDB"/>
    <w:rsid w:val="40215B26"/>
    <w:rsid w:val="45575D5D"/>
    <w:rsid w:val="498C30EC"/>
    <w:rsid w:val="4AE25EBA"/>
    <w:rsid w:val="4E703C3C"/>
    <w:rsid w:val="534B4455"/>
    <w:rsid w:val="582E3747"/>
    <w:rsid w:val="5DC66A1A"/>
    <w:rsid w:val="69203DAF"/>
    <w:rsid w:val="6C1545D1"/>
    <w:rsid w:val="71A632EE"/>
    <w:rsid w:val="755F455F"/>
    <w:rsid w:val="75864A53"/>
    <w:rsid w:val="76EE293B"/>
    <w:rsid w:val="78D213FD"/>
    <w:rsid w:val="7BD04C7A"/>
    <w:rsid w:val="7C022F1A"/>
    <w:rsid w:val="7C093CE8"/>
    <w:rsid w:val="7D08410F"/>
    <w:rsid w:val="D8FF64A3"/>
    <w:rsid w:val="E9BB220B"/>
    <w:rsid w:val="EF0F2CF3"/>
    <w:rsid w:val="F7FB4260"/>
    <w:rsid w:val="FAF98CF7"/>
    <w:rsid w:val="FEFF1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Body Text Indent"/>
    <w:basedOn w:val="1"/>
    <w:qFormat/>
    <w:uiPriority w:val="0"/>
    <w:pPr>
      <w:ind w:firstLine="645"/>
    </w:pPr>
    <w:rPr>
      <w:rFonts w:ascii="仿宋_GB2312" w:hAnsi="Calibri" w:eastAsia="仿宋_GB2312"/>
      <w:sz w:val="32"/>
      <w:szCs w:val="32"/>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unhideWhenUsed/>
    <w:qFormat/>
    <w:uiPriority w:val="0"/>
    <w:pPr>
      <w:spacing w:before="100" w:beforeAutospacing="1" w:after="100" w:afterAutospacing="1"/>
      <w:ind w:right="238"/>
      <w:jc w:val="left"/>
    </w:pPr>
    <w:rPr>
      <w:b/>
      <w:kern w:val="0"/>
      <w:sz w:val="24"/>
      <w:szCs w:val="20"/>
    </w:rPr>
  </w:style>
  <w:style w:type="character" w:styleId="11">
    <w:name w:val="Strong"/>
    <w:qFormat/>
    <w:uiPriority w:val="0"/>
    <w:rPr>
      <w:b/>
    </w:rPr>
  </w:style>
  <w:style w:type="character" w:styleId="12">
    <w:name w:val="page number"/>
    <w:basedOn w:val="10"/>
    <w:qFormat/>
    <w:uiPriority w:val="0"/>
  </w:style>
  <w:style w:type="character" w:customStyle="1" w:styleId="13">
    <w:name w:val="页眉 Char"/>
    <w:link w:val="7"/>
    <w:qFormat/>
    <w:uiPriority w:val="0"/>
    <w:rPr>
      <w:rFonts w:ascii="Calibri" w:hAnsi="Calibri" w:eastAsia="宋体"/>
      <w:kern w:val="2"/>
      <w:sz w:val="18"/>
      <w:szCs w:val="18"/>
      <w:lang w:val="en-US" w:eastAsia="zh-CN" w:bidi="ar-SA"/>
    </w:rPr>
  </w:style>
  <w:style w:type="character" w:customStyle="1" w:styleId="14">
    <w:name w:val="页脚 Char"/>
    <w:link w:val="6"/>
    <w:qFormat/>
    <w:uiPriority w:val="0"/>
    <w:rPr>
      <w:rFonts w:eastAsia="宋体"/>
      <w:kern w:val="2"/>
      <w:sz w:val="18"/>
      <w:szCs w:val="18"/>
      <w:lang w:val="en-US" w:eastAsia="zh-CN" w:bidi="ar-SA"/>
    </w:rPr>
  </w:style>
  <w:style w:type="paragraph" w:customStyle="1" w:styleId="15">
    <w:name w:val="Char Char3 Char Char"/>
    <w:basedOn w:val="1"/>
    <w:qFormat/>
    <w:uiPriority w:val="0"/>
    <w:rPr>
      <w:szCs w:val="21"/>
    </w:rPr>
  </w:style>
  <w:style w:type="paragraph" w:customStyle="1" w:styleId="16">
    <w:name w:val="Char1 Char Char Char"/>
    <w:basedOn w:val="1"/>
    <w:qFormat/>
    <w:uiPriority w:val="0"/>
    <w:pPr>
      <w:widowControl/>
      <w:spacing w:after="160" w:line="240" w:lineRule="exact"/>
      <w:jc w:val="left"/>
    </w:pPr>
    <w:rPr>
      <w:szCs w:val="20"/>
    </w:rPr>
  </w:style>
  <w:style w:type="paragraph" w:customStyle="1" w:styleId="17">
    <w:name w:val=" Char Char Char Char Char Char Char"/>
    <w:basedOn w:val="1"/>
    <w:uiPriority w:val="0"/>
    <w:rPr>
      <w:rFonts w:ascii="Tahoma" w:hAnsi="Tahoma"/>
      <w:sz w:val="24"/>
      <w:szCs w:val="20"/>
    </w:rPr>
  </w:style>
  <w:style w:type="paragraph" w:customStyle="1" w:styleId="18">
    <w:name w:val="Char"/>
    <w:basedOn w:val="1"/>
    <w:qFormat/>
    <w:uiPriority w:val="0"/>
    <w:rPr>
      <w:rFonts w:ascii="Tahoma" w:hAnsi="Tahoma"/>
      <w:sz w:val="24"/>
      <w:szCs w:val="20"/>
    </w:rPr>
  </w:style>
  <w:style w:type="character" w:customStyle="1" w:styleId="19">
    <w:name w:val="font31"/>
    <w:basedOn w:val="10"/>
    <w:uiPriority w:val="0"/>
    <w:rPr>
      <w:rFonts w:hint="eastAsia" w:ascii="宋体" w:hAnsi="宋体" w:eastAsia="宋体" w:cs="宋体"/>
      <w:color w:val="000000"/>
      <w:sz w:val="21"/>
      <w:szCs w:val="21"/>
      <w:u w:val="none"/>
    </w:rPr>
  </w:style>
  <w:style w:type="character" w:customStyle="1" w:styleId="20">
    <w:name w:val="font61"/>
    <w:basedOn w:val="10"/>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12301</Words>
  <Characters>13517</Characters>
  <Lines>40</Lines>
  <Paragraphs>11</Paragraphs>
  <TotalTime>4</TotalTime>
  <ScaleCrop>false</ScaleCrop>
  <LinksUpToDate>false</LinksUpToDate>
  <CharactersWithSpaces>13641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2022-06-27T08:46:00Z</dcterms:created>
  <dc:creator>Administrator</dc:creator>
  <cp:lastModifiedBy>琦</cp:lastModifiedBy>
  <cp:lastPrinted>2022-05-26T18:27:00Z</cp:lastPrinted>
  <dcterms:modified xsi:type="dcterms:W3CDTF">2022-09-16T02:05:05Z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36CE742C05C642009A0F7F1B8BC224CB</vt:lpwstr>
  </property>
</Properties>
</file>