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1D0" w:rsidRPr="00CD4D4A" w:rsidRDefault="009271D0" w:rsidP="00CD4D4A">
      <w:pPr>
        <w:widowControl/>
        <w:jc w:val="center"/>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中华人民共和国</w:t>
      </w:r>
    </w:p>
    <w:p w:rsidR="009271D0" w:rsidRPr="00CD4D4A" w:rsidRDefault="009271D0" w:rsidP="00CD4D4A">
      <w:pPr>
        <w:widowControl/>
        <w:jc w:val="center"/>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2015</w:t>
      </w:r>
      <w:r w:rsidRPr="00CD4D4A">
        <w:rPr>
          <w:rFonts w:ascii="Times New Roman" w:hAnsi="宋体" w:hint="eastAsia"/>
          <w:b/>
          <w:bCs/>
          <w:color w:val="333333"/>
          <w:kern w:val="0"/>
          <w:sz w:val="18"/>
          <w:szCs w:val="18"/>
          <w:bdr w:val="none" w:sz="0" w:space="0" w:color="auto" w:frame="1"/>
        </w:rPr>
        <w:t>年国民经济和社会发展统计公报</w:t>
      </w:r>
      <w:r w:rsidRPr="00CD4D4A">
        <w:rPr>
          <w:rFonts w:ascii="Times New Roman" w:hAnsi="Times New Roman"/>
          <w:b/>
          <w:bCs/>
          <w:color w:val="333333"/>
          <w:kern w:val="0"/>
          <w:sz w:val="18"/>
          <w:szCs w:val="18"/>
          <w:bdr w:val="none" w:sz="0" w:space="0" w:color="auto" w:frame="1"/>
          <w:vertAlign w:val="superscript"/>
        </w:rPr>
        <w:t>[1]</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CD4D4A">
        <w:rPr>
          <w:rFonts w:ascii="Times New Roman" w:hAnsi="宋体" w:hint="eastAsia"/>
          <w:color w:val="333333"/>
          <w:kern w:val="0"/>
          <w:sz w:val="18"/>
          <w:szCs w:val="18"/>
        </w:rPr>
        <w:t>中华人民共和国国家统计局</w:t>
      </w:r>
    </w:p>
    <w:p w:rsidR="009271D0" w:rsidRPr="00CD4D4A" w:rsidRDefault="009271D0" w:rsidP="00CD4D4A">
      <w:pPr>
        <w:widowControl/>
        <w:jc w:val="center"/>
        <w:rPr>
          <w:rFonts w:ascii="Times New Roman" w:hAnsi="Times New Roman"/>
          <w:color w:val="333333"/>
          <w:kern w:val="0"/>
          <w:sz w:val="18"/>
          <w:szCs w:val="18"/>
        </w:rPr>
      </w:pPr>
      <w:smartTag w:uri="urn:schemas-microsoft-com:office:smarttags" w:element="chsdate">
        <w:smartTagPr>
          <w:attr w:name="IsROCDate" w:val="False"/>
          <w:attr w:name="IsLunarDate" w:val="False"/>
          <w:attr w:name="Day" w:val="29"/>
          <w:attr w:name="Month" w:val="2"/>
          <w:attr w:name="Year" w:val="2016"/>
        </w:smartTagPr>
        <w:r w:rsidRPr="00CD4D4A">
          <w:rPr>
            <w:rFonts w:ascii="Times New Roman" w:hAnsi="Times New Roman"/>
            <w:color w:val="333333"/>
            <w:kern w:val="0"/>
            <w:sz w:val="18"/>
            <w:szCs w:val="18"/>
          </w:rPr>
          <w:t>2016</w:t>
        </w:r>
        <w:r w:rsidRPr="00CD4D4A">
          <w:rPr>
            <w:rFonts w:ascii="Times New Roman" w:hAnsi="宋体" w:hint="eastAsia"/>
            <w:color w:val="333333"/>
            <w:kern w:val="0"/>
            <w:sz w:val="18"/>
            <w:szCs w:val="18"/>
          </w:rPr>
          <w:t>年</w:t>
        </w:r>
        <w:r w:rsidRPr="00CD4D4A">
          <w:rPr>
            <w:rFonts w:ascii="Times New Roman" w:hAnsi="Times New Roman"/>
            <w:color w:val="333333"/>
            <w:kern w:val="0"/>
            <w:sz w:val="18"/>
            <w:szCs w:val="18"/>
          </w:rPr>
          <w:t>2</w:t>
        </w:r>
        <w:r w:rsidRPr="00CD4D4A">
          <w:rPr>
            <w:rFonts w:ascii="Times New Roman" w:hAnsi="宋体" w:hint="eastAsia"/>
            <w:color w:val="333333"/>
            <w:kern w:val="0"/>
            <w:sz w:val="18"/>
            <w:szCs w:val="18"/>
          </w:rPr>
          <w:t>月</w:t>
        </w:r>
        <w:r w:rsidRPr="00CD4D4A">
          <w:rPr>
            <w:rFonts w:ascii="Times New Roman" w:hAnsi="Times New Roman"/>
            <w:color w:val="333333"/>
            <w:kern w:val="0"/>
            <w:sz w:val="18"/>
            <w:szCs w:val="18"/>
          </w:rPr>
          <w:t>29</w:t>
        </w:r>
        <w:r w:rsidRPr="00CD4D4A">
          <w:rPr>
            <w:rFonts w:ascii="Times New Roman" w:hAnsi="宋体" w:hint="eastAsia"/>
            <w:color w:val="333333"/>
            <w:kern w:val="0"/>
            <w:sz w:val="18"/>
            <w:szCs w:val="18"/>
          </w:rPr>
          <w:t>日</w:t>
        </w:r>
      </w:smartTag>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w:t>
      </w:r>
      <w:r w:rsidRPr="00CD4D4A">
        <w:rPr>
          <w:rFonts w:ascii="Times New Roman" w:hAnsi="Times New Roman"/>
          <w:color w:val="333333"/>
          <w:kern w:val="0"/>
          <w:sz w:val="18"/>
          <w:szCs w:val="18"/>
        </w:rPr>
        <w:t>2015</w:t>
      </w:r>
      <w:r w:rsidRPr="00CD4D4A">
        <w:rPr>
          <w:rFonts w:ascii="Times New Roman" w:hAnsi="宋体" w:hint="eastAsia"/>
          <w:color w:val="333333"/>
          <w:kern w:val="0"/>
          <w:sz w:val="18"/>
          <w:szCs w:val="18"/>
        </w:rPr>
        <w:t>年，面对错综复杂的国际形势和艰巨繁重的国内改革发展稳定任务，党中央、国务院团结带领全国各族人民，按照</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五位一体</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总体布局和</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四个全面</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战略布局的总要求，牢固树立和贯彻落实创新、协调、绿色、开放、共享的发展理念，适应经济发展新常态，坚持改革开放，坚持稳中求进工作总基调，坚持稳增长、调结构、惠民生、防风险，不断创新宏观调控思路与方式，深入推进结构性改革，扎实推动大众创业万众创新，努力促进经济保持中高速增长、迈向中高端水平，转型升级步伐加快，改革开放不断深化，民生事业持续进步，经济社会发展迈上新台阶，实现了</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十二五</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圆满收官，为</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十三五</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经济社会发展、决胜全面建成小康社会奠定了坚实基础。</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一、综合</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初步核算，全年国内生产总值</w:t>
      </w:r>
      <w:r w:rsidRPr="00CD4D4A">
        <w:rPr>
          <w:rFonts w:ascii="Times New Roman" w:hAnsi="Times New Roman"/>
          <w:color w:val="333333"/>
          <w:kern w:val="0"/>
          <w:sz w:val="18"/>
          <w:szCs w:val="18"/>
          <w:vertAlign w:val="superscript"/>
        </w:rPr>
        <w:t>[2]</w:t>
      </w:r>
      <w:r w:rsidRPr="00CD4D4A">
        <w:rPr>
          <w:rFonts w:ascii="Times New Roman" w:hAnsi="Times New Roman"/>
          <w:color w:val="333333"/>
          <w:kern w:val="0"/>
          <w:sz w:val="18"/>
          <w:szCs w:val="18"/>
        </w:rPr>
        <w:t>676708</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6.9%</w:t>
      </w:r>
      <w:r w:rsidRPr="00CD4D4A">
        <w:rPr>
          <w:rFonts w:ascii="Times New Roman" w:hAnsi="宋体" w:hint="eastAsia"/>
          <w:color w:val="333333"/>
          <w:kern w:val="0"/>
          <w:sz w:val="18"/>
          <w:szCs w:val="18"/>
        </w:rPr>
        <w:t>。其中，第一产业增加值</w:t>
      </w:r>
      <w:r w:rsidRPr="00CD4D4A">
        <w:rPr>
          <w:rFonts w:ascii="Times New Roman" w:hAnsi="Times New Roman"/>
          <w:color w:val="333333"/>
          <w:kern w:val="0"/>
          <w:sz w:val="18"/>
          <w:szCs w:val="18"/>
        </w:rPr>
        <w:t>60863</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3.9%</w:t>
      </w:r>
      <w:r w:rsidRPr="00CD4D4A">
        <w:rPr>
          <w:rFonts w:ascii="Times New Roman" w:hAnsi="宋体" w:hint="eastAsia"/>
          <w:color w:val="333333"/>
          <w:kern w:val="0"/>
          <w:sz w:val="18"/>
          <w:szCs w:val="18"/>
        </w:rPr>
        <w:t>；第二产业增加值</w:t>
      </w:r>
      <w:r w:rsidRPr="00CD4D4A">
        <w:rPr>
          <w:rFonts w:ascii="Times New Roman" w:hAnsi="Times New Roman"/>
          <w:color w:val="333333"/>
          <w:kern w:val="0"/>
          <w:sz w:val="18"/>
          <w:szCs w:val="18"/>
        </w:rPr>
        <w:t>274278</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6.0%</w:t>
      </w:r>
      <w:r w:rsidRPr="00CD4D4A">
        <w:rPr>
          <w:rFonts w:ascii="Times New Roman" w:hAnsi="宋体" w:hint="eastAsia"/>
          <w:color w:val="333333"/>
          <w:kern w:val="0"/>
          <w:sz w:val="18"/>
          <w:szCs w:val="18"/>
        </w:rPr>
        <w:t>；第三产业增加值</w:t>
      </w:r>
      <w:r w:rsidRPr="00CD4D4A">
        <w:rPr>
          <w:rFonts w:ascii="Times New Roman" w:hAnsi="Times New Roman"/>
          <w:color w:val="333333"/>
          <w:kern w:val="0"/>
          <w:sz w:val="18"/>
          <w:szCs w:val="18"/>
        </w:rPr>
        <w:t>341567</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8.3%</w:t>
      </w:r>
      <w:r w:rsidRPr="00CD4D4A">
        <w:rPr>
          <w:rFonts w:ascii="Times New Roman" w:hAnsi="宋体" w:hint="eastAsia"/>
          <w:color w:val="333333"/>
          <w:kern w:val="0"/>
          <w:sz w:val="18"/>
          <w:szCs w:val="18"/>
        </w:rPr>
        <w:t>。第一产业增加值占国内生产总值的比重为</w:t>
      </w:r>
      <w:r w:rsidRPr="00CD4D4A">
        <w:rPr>
          <w:rFonts w:ascii="Times New Roman" w:hAnsi="Times New Roman"/>
          <w:color w:val="333333"/>
          <w:kern w:val="0"/>
          <w:sz w:val="18"/>
          <w:szCs w:val="18"/>
        </w:rPr>
        <w:t>9.0%</w:t>
      </w:r>
      <w:r w:rsidRPr="00CD4D4A">
        <w:rPr>
          <w:rFonts w:ascii="Times New Roman" w:hAnsi="宋体" w:hint="eastAsia"/>
          <w:color w:val="333333"/>
          <w:kern w:val="0"/>
          <w:sz w:val="18"/>
          <w:szCs w:val="18"/>
        </w:rPr>
        <w:t>，第二产业增加值比重为</w:t>
      </w:r>
      <w:r w:rsidRPr="00CD4D4A">
        <w:rPr>
          <w:rFonts w:ascii="Times New Roman" w:hAnsi="Times New Roman"/>
          <w:color w:val="333333"/>
          <w:kern w:val="0"/>
          <w:sz w:val="18"/>
          <w:szCs w:val="18"/>
        </w:rPr>
        <w:t>40.5%</w:t>
      </w:r>
      <w:r w:rsidRPr="00CD4D4A">
        <w:rPr>
          <w:rFonts w:ascii="Times New Roman" w:hAnsi="宋体" w:hint="eastAsia"/>
          <w:color w:val="333333"/>
          <w:kern w:val="0"/>
          <w:sz w:val="18"/>
          <w:szCs w:val="18"/>
        </w:rPr>
        <w:t>，第三产业增加值比重为</w:t>
      </w:r>
      <w:r w:rsidRPr="00CD4D4A">
        <w:rPr>
          <w:rFonts w:ascii="Times New Roman" w:hAnsi="Times New Roman"/>
          <w:color w:val="333333"/>
          <w:kern w:val="0"/>
          <w:sz w:val="18"/>
          <w:szCs w:val="18"/>
        </w:rPr>
        <w:t>50.5%</w:t>
      </w:r>
      <w:r w:rsidRPr="00CD4D4A">
        <w:rPr>
          <w:rFonts w:ascii="Times New Roman" w:hAnsi="宋体" w:hint="eastAsia"/>
          <w:color w:val="333333"/>
          <w:kern w:val="0"/>
          <w:sz w:val="18"/>
          <w:szCs w:val="18"/>
        </w:rPr>
        <w:t>，首次突破</w:t>
      </w:r>
      <w:r w:rsidRPr="00CD4D4A">
        <w:rPr>
          <w:rFonts w:ascii="Times New Roman" w:hAnsi="Times New Roman"/>
          <w:color w:val="333333"/>
          <w:kern w:val="0"/>
          <w:sz w:val="18"/>
          <w:szCs w:val="18"/>
        </w:rPr>
        <w:t>50%</w:t>
      </w:r>
      <w:r w:rsidRPr="00CD4D4A">
        <w:rPr>
          <w:rFonts w:ascii="Times New Roman" w:hAnsi="宋体" w:hint="eastAsia"/>
          <w:color w:val="333333"/>
          <w:kern w:val="0"/>
          <w:sz w:val="18"/>
          <w:szCs w:val="18"/>
        </w:rPr>
        <w:t>。全年人均国内生产总值</w:t>
      </w:r>
      <w:r w:rsidRPr="00CD4D4A">
        <w:rPr>
          <w:rFonts w:ascii="Times New Roman" w:hAnsi="Times New Roman"/>
          <w:color w:val="333333"/>
          <w:kern w:val="0"/>
          <w:sz w:val="18"/>
          <w:szCs w:val="18"/>
        </w:rPr>
        <w:t>49351</w:t>
      </w:r>
      <w:r w:rsidRPr="00CD4D4A">
        <w:rPr>
          <w:rFonts w:ascii="Times New Roman" w:hAnsi="宋体" w:hint="eastAsia"/>
          <w:color w:val="333333"/>
          <w:kern w:val="0"/>
          <w:sz w:val="18"/>
          <w:szCs w:val="18"/>
        </w:rPr>
        <w:t>元，比上年增长</w:t>
      </w:r>
      <w:r w:rsidRPr="00CD4D4A">
        <w:rPr>
          <w:rFonts w:ascii="Times New Roman" w:hAnsi="Times New Roman"/>
          <w:color w:val="333333"/>
          <w:kern w:val="0"/>
          <w:sz w:val="18"/>
          <w:szCs w:val="18"/>
        </w:rPr>
        <w:t>6.3%</w:t>
      </w:r>
      <w:r w:rsidRPr="00CD4D4A">
        <w:rPr>
          <w:rFonts w:ascii="Times New Roman" w:hAnsi="宋体" w:hint="eastAsia"/>
          <w:color w:val="333333"/>
          <w:kern w:val="0"/>
          <w:sz w:val="18"/>
          <w:szCs w:val="18"/>
        </w:rPr>
        <w:t>。全年国民总收入</w:t>
      </w:r>
      <w:r w:rsidRPr="00CD4D4A">
        <w:rPr>
          <w:rFonts w:ascii="Times New Roman" w:hAnsi="Times New Roman"/>
          <w:color w:val="333333"/>
          <w:kern w:val="0"/>
          <w:sz w:val="18"/>
          <w:szCs w:val="18"/>
          <w:vertAlign w:val="superscript"/>
        </w:rPr>
        <w:t>[3]</w:t>
      </w:r>
      <w:r w:rsidRPr="00CD4D4A">
        <w:rPr>
          <w:rFonts w:ascii="Times New Roman" w:hAnsi="Times New Roman"/>
          <w:color w:val="333333"/>
          <w:kern w:val="0"/>
          <w:sz w:val="18"/>
          <w:szCs w:val="18"/>
        </w:rPr>
        <w:t>673021</w:t>
      </w:r>
      <w:r w:rsidRPr="00CD4D4A">
        <w:rPr>
          <w:rFonts w:ascii="Times New Roman" w:hAnsi="宋体" w:hint="eastAsia"/>
          <w:color w:val="333333"/>
          <w:kern w:val="0"/>
          <w:sz w:val="18"/>
          <w:szCs w:val="18"/>
        </w:rPr>
        <w:t>亿元。</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i1025" type="#_x0000_t75" alt="http://www.stats.gov.cn/tjsj/zxfb/201602/W020160229379124205472_r75.gif" style="width:396.75pt;height:226.5pt;visibility:visible">
            <v:imagedata r:id="rId4"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23" o:spid="_x0000_i1026" type="#_x0000_t75" alt="http://www.stats.gov.cn/tjsj/zxfb/201602/W020160229379124225716_r75.gif" style="width:396.75pt;height:226.5pt;visibility:visible">
            <v:imagedata r:id="rId5"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年末全国大陆总人口</w:t>
      </w:r>
      <w:r w:rsidRPr="00CD4D4A">
        <w:rPr>
          <w:rFonts w:ascii="Times New Roman" w:hAnsi="Times New Roman"/>
          <w:color w:val="333333"/>
          <w:kern w:val="0"/>
          <w:sz w:val="18"/>
          <w:szCs w:val="18"/>
        </w:rPr>
        <w:t>137462</w:t>
      </w:r>
      <w:r w:rsidRPr="00CD4D4A">
        <w:rPr>
          <w:rFonts w:ascii="Times New Roman" w:hAnsi="宋体" w:hint="eastAsia"/>
          <w:color w:val="333333"/>
          <w:kern w:val="0"/>
          <w:sz w:val="18"/>
          <w:szCs w:val="18"/>
        </w:rPr>
        <w:t>万人，比上年末增加</w:t>
      </w:r>
      <w:r w:rsidRPr="00CD4D4A">
        <w:rPr>
          <w:rFonts w:ascii="Times New Roman" w:hAnsi="Times New Roman"/>
          <w:color w:val="333333"/>
          <w:kern w:val="0"/>
          <w:sz w:val="18"/>
          <w:szCs w:val="18"/>
        </w:rPr>
        <w:t>680</w:t>
      </w:r>
      <w:r w:rsidRPr="00CD4D4A">
        <w:rPr>
          <w:rFonts w:ascii="Times New Roman" w:hAnsi="宋体" w:hint="eastAsia"/>
          <w:color w:val="333333"/>
          <w:kern w:val="0"/>
          <w:sz w:val="18"/>
          <w:szCs w:val="18"/>
        </w:rPr>
        <w:t>万人，其中城镇常住人口</w:t>
      </w:r>
      <w:r w:rsidRPr="00CD4D4A">
        <w:rPr>
          <w:rFonts w:ascii="Times New Roman" w:hAnsi="Times New Roman"/>
          <w:color w:val="333333"/>
          <w:kern w:val="0"/>
          <w:sz w:val="18"/>
          <w:szCs w:val="18"/>
        </w:rPr>
        <w:t>77116</w:t>
      </w:r>
      <w:r w:rsidRPr="00CD4D4A">
        <w:rPr>
          <w:rFonts w:ascii="Times New Roman" w:hAnsi="宋体" w:hint="eastAsia"/>
          <w:color w:val="333333"/>
          <w:kern w:val="0"/>
          <w:sz w:val="18"/>
          <w:szCs w:val="18"/>
        </w:rPr>
        <w:t>万人，占总人口比重（常住人口城镇化率）为</w:t>
      </w:r>
      <w:r w:rsidRPr="00CD4D4A">
        <w:rPr>
          <w:rFonts w:ascii="Times New Roman" w:hAnsi="Times New Roman"/>
          <w:color w:val="333333"/>
          <w:kern w:val="0"/>
          <w:sz w:val="18"/>
          <w:szCs w:val="18"/>
        </w:rPr>
        <w:t>56.10%</w:t>
      </w:r>
      <w:r w:rsidRPr="00CD4D4A">
        <w:rPr>
          <w:rFonts w:ascii="Times New Roman" w:hAnsi="宋体" w:hint="eastAsia"/>
          <w:color w:val="333333"/>
          <w:kern w:val="0"/>
          <w:sz w:val="18"/>
          <w:szCs w:val="18"/>
        </w:rPr>
        <w:t>，比上年末提高</w:t>
      </w:r>
      <w:r w:rsidRPr="00CD4D4A">
        <w:rPr>
          <w:rFonts w:ascii="Times New Roman" w:hAnsi="Times New Roman"/>
          <w:color w:val="333333"/>
          <w:kern w:val="0"/>
          <w:sz w:val="18"/>
          <w:szCs w:val="18"/>
        </w:rPr>
        <w:t>1.33</w:t>
      </w:r>
      <w:r w:rsidRPr="00CD4D4A">
        <w:rPr>
          <w:rFonts w:ascii="Times New Roman" w:hAnsi="宋体" w:hint="eastAsia"/>
          <w:color w:val="333333"/>
          <w:kern w:val="0"/>
          <w:sz w:val="18"/>
          <w:szCs w:val="18"/>
        </w:rPr>
        <w:t>个百分点。全年出生人口</w:t>
      </w:r>
      <w:r w:rsidRPr="00CD4D4A">
        <w:rPr>
          <w:rFonts w:ascii="Times New Roman" w:hAnsi="Times New Roman"/>
          <w:color w:val="333333"/>
          <w:kern w:val="0"/>
          <w:sz w:val="18"/>
          <w:szCs w:val="18"/>
        </w:rPr>
        <w:t>1655</w:t>
      </w:r>
      <w:r w:rsidRPr="00CD4D4A">
        <w:rPr>
          <w:rFonts w:ascii="Times New Roman" w:hAnsi="宋体" w:hint="eastAsia"/>
          <w:color w:val="333333"/>
          <w:kern w:val="0"/>
          <w:sz w:val="18"/>
          <w:szCs w:val="18"/>
        </w:rPr>
        <w:t>万人，出生率为</w:t>
      </w:r>
      <w:r w:rsidRPr="00CD4D4A">
        <w:rPr>
          <w:rFonts w:ascii="Times New Roman" w:hAnsi="Times New Roman"/>
          <w:color w:val="333333"/>
          <w:kern w:val="0"/>
          <w:sz w:val="18"/>
          <w:szCs w:val="18"/>
        </w:rPr>
        <w:t>12.07‰</w:t>
      </w:r>
      <w:r w:rsidRPr="00CD4D4A">
        <w:rPr>
          <w:rFonts w:ascii="Times New Roman" w:hAnsi="宋体" w:hint="eastAsia"/>
          <w:color w:val="333333"/>
          <w:kern w:val="0"/>
          <w:sz w:val="18"/>
          <w:szCs w:val="18"/>
        </w:rPr>
        <w:t>；死亡人口</w:t>
      </w:r>
      <w:r w:rsidRPr="00CD4D4A">
        <w:rPr>
          <w:rFonts w:ascii="Times New Roman" w:hAnsi="Times New Roman"/>
          <w:color w:val="333333"/>
          <w:kern w:val="0"/>
          <w:sz w:val="18"/>
          <w:szCs w:val="18"/>
        </w:rPr>
        <w:t>975</w:t>
      </w:r>
      <w:r w:rsidRPr="00CD4D4A">
        <w:rPr>
          <w:rFonts w:ascii="Times New Roman" w:hAnsi="宋体" w:hint="eastAsia"/>
          <w:color w:val="333333"/>
          <w:kern w:val="0"/>
          <w:sz w:val="18"/>
          <w:szCs w:val="18"/>
        </w:rPr>
        <w:t>万人，死亡率为</w:t>
      </w:r>
      <w:r w:rsidRPr="00CD4D4A">
        <w:rPr>
          <w:rFonts w:ascii="Times New Roman" w:hAnsi="Times New Roman"/>
          <w:color w:val="333333"/>
          <w:kern w:val="0"/>
          <w:sz w:val="18"/>
          <w:szCs w:val="18"/>
        </w:rPr>
        <w:t>7.11‰</w:t>
      </w:r>
      <w:r w:rsidRPr="00CD4D4A">
        <w:rPr>
          <w:rFonts w:ascii="Times New Roman" w:hAnsi="宋体" w:hint="eastAsia"/>
          <w:color w:val="333333"/>
          <w:kern w:val="0"/>
          <w:sz w:val="18"/>
          <w:szCs w:val="18"/>
        </w:rPr>
        <w:t>；自然增长率为</w:t>
      </w:r>
      <w:r w:rsidRPr="00CD4D4A">
        <w:rPr>
          <w:rFonts w:ascii="Times New Roman" w:hAnsi="Times New Roman"/>
          <w:color w:val="333333"/>
          <w:kern w:val="0"/>
          <w:sz w:val="18"/>
          <w:szCs w:val="18"/>
        </w:rPr>
        <w:t>4.96‰</w:t>
      </w:r>
      <w:r w:rsidRPr="00CD4D4A">
        <w:rPr>
          <w:rFonts w:ascii="Times New Roman" w:hAnsi="宋体" w:hint="eastAsia"/>
          <w:color w:val="333333"/>
          <w:kern w:val="0"/>
          <w:sz w:val="18"/>
          <w:szCs w:val="18"/>
        </w:rPr>
        <w:t>。全国人户分离的人口</w:t>
      </w:r>
      <w:r w:rsidRPr="00CD4D4A">
        <w:rPr>
          <w:rFonts w:ascii="Times New Roman" w:hAnsi="Times New Roman"/>
          <w:color w:val="333333"/>
          <w:kern w:val="0"/>
          <w:sz w:val="18"/>
          <w:szCs w:val="18"/>
          <w:vertAlign w:val="superscript"/>
        </w:rPr>
        <w:t>[4]</w:t>
      </w:r>
      <w:r w:rsidRPr="00CD4D4A">
        <w:rPr>
          <w:rFonts w:ascii="Times New Roman" w:hAnsi="Times New Roman"/>
          <w:color w:val="333333"/>
          <w:kern w:val="0"/>
          <w:sz w:val="18"/>
          <w:szCs w:val="18"/>
        </w:rPr>
        <w:t>2.94</w:t>
      </w:r>
      <w:r w:rsidRPr="00CD4D4A">
        <w:rPr>
          <w:rFonts w:ascii="Times New Roman" w:hAnsi="宋体" w:hint="eastAsia"/>
          <w:color w:val="333333"/>
          <w:kern w:val="0"/>
          <w:sz w:val="18"/>
          <w:szCs w:val="18"/>
        </w:rPr>
        <w:t>亿人，其中流动人口</w:t>
      </w:r>
      <w:r w:rsidRPr="00CD4D4A">
        <w:rPr>
          <w:rFonts w:ascii="Times New Roman" w:hAnsi="Times New Roman"/>
          <w:color w:val="333333"/>
          <w:kern w:val="0"/>
          <w:sz w:val="18"/>
          <w:szCs w:val="18"/>
          <w:vertAlign w:val="superscript"/>
        </w:rPr>
        <w:t>[5]</w:t>
      </w:r>
      <w:r w:rsidRPr="00CD4D4A">
        <w:rPr>
          <w:rFonts w:ascii="Times New Roman" w:hAnsi="Times New Roman"/>
          <w:color w:val="333333"/>
          <w:kern w:val="0"/>
          <w:sz w:val="18"/>
          <w:szCs w:val="18"/>
        </w:rPr>
        <w:t>2.47</w:t>
      </w:r>
      <w:r w:rsidRPr="00CD4D4A">
        <w:rPr>
          <w:rFonts w:ascii="Times New Roman" w:hAnsi="宋体" w:hint="eastAsia"/>
          <w:color w:val="333333"/>
          <w:kern w:val="0"/>
          <w:sz w:val="18"/>
          <w:szCs w:val="18"/>
        </w:rPr>
        <w:t>亿人。人均预期寿命</w:t>
      </w:r>
      <w:r w:rsidRPr="00CD4D4A">
        <w:rPr>
          <w:rFonts w:ascii="Times New Roman" w:hAnsi="Times New Roman"/>
          <w:color w:val="333333"/>
          <w:kern w:val="0"/>
          <w:sz w:val="18"/>
          <w:szCs w:val="18"/>
        </w:rPr>
        <w:t>76.34</w:t>
      </w:r>
      <w:r w:rsidRPr="00CD4D4A">
        <w:rPr>
          <w:rFonts w:ascii="Times New Roman" w:hAnsi="宋体" w:hint="eastAsia"/>
          <w:color w:val="333333"/>
          <w:kern w:val="0"/>
          <w:sz w:val="18"/>
          <w:szCs w:val="18"/>
        </w:rPr>
        <w:t>岁。</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1  2015</w:t>
      </w:r>
      <w:r w:rsidRPr="00CD4D4A">
        <w:rPr>
          <w:rFonts w:ascii="Times New Roman" w:hAnsi="宋体" w:hint="eastAsia"/>
          <w:b/>
          <w:bCs/>
          <w:snapToGrid w:val="0"/>
          <w:color w:val="333333"/>
          <w:kern w:val="0"/>
          <w:sz w:val="18"/>
          <w:szCs w:val="18"/>
          <w:bdr w:val="none" w:sz="0" w:space="0" w:color="auto" w:frame="1"/>
        </w:rPr>
        <w:t>年年末人口数及其构成</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8640" w:type="dxa"/>
        <w:jc w:val="center"/>
        <w:tblCellMar>
          <w:left w:w="0" w:type="dxa"/>
          <w:right w:w="0" w:type="dxa"/>
        </w:tblCellMar>
        <w:tblLook w:val="00A0"/>
      </w:tblPr>
      <w:tblGrid>
        <w:gridCol w:w="4307"/>
        <w:gridCol w:w="2166"/>
        <w:gridCol w:w="2167"/>
      </w:tblGrid>
      <w:tr w:rsidR="009271D0" w:rsidRPr="00CD4D4A" w:rsidTr="00DB1FD3">
        <w:trPr>
          <w:trHeight w:val="567"/>
          <w:jc w:val="center"/>
        </w:trPr>
        <w:tc>
          <w:tcPr>
            <w:tcW w:w="4307" w:type="dxa"/>
            <w:tcBorders>
              <w:top w:val="single" w:sz="8" w:space="0" w:color="auto"/>
              <w:left w:val="nil"/>
              <w:bottom w:val="single" w:sz="4" w:space="0" w:color="auto"/>
              <w:right w:val="single" w:sz="4" w:space="0" w:color="auto"/>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指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标</w:t>
            </w:r>
          </w:p>
        </w:tc>
        <w:tc>
          <w:tcPr>
            <w:tcW w:w="2166" w:type="dxa"/>
            <w:tcBorders>
              <w:top w:val="single" w:sz="8" w:space="0" w:color="auto"/>
              <w:left w:val="single" w:sz="4" w:space="0" w:color="auto"/>
              <w:bottom w:val="single" w:sz="4" w:space="0" w:color="auto"/>
              <w:right w:val="single" w:sz="4" w:space="0" w:color="auto"/>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年末数（万人）</w:t>
            </w:r>
          </w:p>
        </w:tc>
        <w:tc>
          <w:tcPr>
            <w:tcW w:w="2167" w:type="dxa"/>
            <w:tcBorders>
              <w:top w:val="single" w:sz="8" w:space="0" w:color="auto"/>
              <w:left w:val="single" w:sz="4" w:space="0" w:color="auto"/>
              <w:bottom w:val="single" w:sz="4" w:space="0" w:color="auto"/>
              <w:right w:val="nil"/>
            </w:tcBorders>
            <w:vAlign w:val="center"/>
          </w:tcPr>
          <w:p w:rsidR="009271D0" w:rsidRPr="00CD4D4A" w:rsidRDefault="009271D0" w:rsidP="00CD4D4A">
            <w:pPr>
              <w:widowControl/>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比重（</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r>
      <w:tr w:rsidR="009271D0" w:rsidRPr="00CD4D4A" w:rsidTr="00DB1FD3">
        <w:trPr>
          <w:trHeight w:val="283"/>
          <w:jc w:val="center"/>
        </w:trPr>
        <w:tc>
          <w:tcPr>
            <w:tcW w:w="4307" w:type="dxa"/>
            <w:tcBorders>
              <w:top w:val="single" w:sz="4" w:space="0" w:color="auto"/>
              <w:left w:val="nil"/>
              <w:bottom w:val="nil"/>
              <w:right w:val="single" w:sz="4" w:space="0" w:color="auto"/>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全国总人口</w:t>
            </w:r>
          </w:p>
        </w:tc>
        <w:tc>
          <w:tcPr>
            <w:tcW w:w="2166" w:type="dxa"/>
            <w:tcBorders>
              <w:top w:val="single" w:sz="4" w:space="0" w:color="auto"/>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137462</w:t>
            </w:r>
          </w:p>
        </w:tc>
        <w:tc>
          <w:tcPr>
            <w:tcW w:w="2167" w:type="dxa"/>
            <w:tcBorders>
              <w:top w:val="single" w:sz="4" w:space="0" w:color="auto"/>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100.0</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其中：城镇</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77116</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56.10</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9271D0">
            <w:pPr>
              <w:widowControl/>
              <w:ind w:right="57" w:firstLineChars="326"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乡村</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60346</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43.90</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其中：男性</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70414</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51.2</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9271D0">
            <w:pPr>
              <w:widowControl/>
              <w:ind w:right="57" w:firstLineChars="326"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女性</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67048</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48.8</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w:t>
            </w:r>
            <w:r w:rsidRPr="00CD4D4A">
              <w:rPr>
                <w:rFonts w:ascii="Times New Roman" w:hAnsi="Times New Roman"/>
                <w:snapToGrid w:val="0"/>
                <w:color w:val="333333"/>
                <w:kern w:val="0"/>
                <w:sz w:val="18"/>
                <w:szCs w:val="18"/>
              </w:rPr>
              <w:t>0-15</w:t>
            </w:r>
            <w:r w:rsidRPr="00CD4D4A">
              <w:rPr>
                <w:rFonts w:ascii="Times New Roman" w:hAnsi="宋体" w:hint="eastAsia"/>
                <w:snapToGrid w:val="0"/>
                <w:color w:val="333333"/>
                <w:kern w:val="0"/>
                <w:sz w:val="18"/>
                <w:szCs w:val="18"/>
              </w:rPr>
              <w:t>岁（含不满</w:t>
            </w:r>
            <w:r w:rsidRPr="00CD4D4A">
              <w:rPr>
                <w:rFonts w:ascii="Times New Roman" w:hAnsi="Times New Roman"/>
                <w:snapToGrid w:val="0"/>
                <w:color w:val="333333"/>
                <w:kern w:val="0"/>
                <w:sz w:val="18"/>
                <w:szCs w:val="18"/>
              </w:rPr>
              <w:t>16</w:t>
            </w:r>
            <w:r w:rsidRPr="00CD4D4A">
              <w:rPr>
                <w:rFonts w:ascii="Times New Roman" w:hAnsi="宋体" w:hint="eastAsia"/>
                <w:snapToGrid w:val="0"/>
                <w:color w:val="333333"/>
                <w:kern w:val="0"/>
                <w:sz w:val="18"/>
                <w:szCs w:val="18"/>
              </w:rPr>
              <w:t>周岁）</w:t>
            </w:r>
            <w:r w:rsidRPr="00CD4D4A">
              <w:rPr>
                <w:rFonts w:ascii="Times New Roman" w:hAnsi="Times New Roman"/>
                <w:snapToGrid w:val="0"/>
                <w:color w:val="333333"/>
                <w:kern w:val="0"/>
                <w:sz w:val="18"/>
                <w:szCs w:val="18"/>
              </w:rPr>
              <w:t>[6]</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24166</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17.6</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9271D0">
            <w:pPr>
              <w:widowControl/>
              <w:ind w:right="57" w:firstLineChars="333" w:firstLine="31680"/>
              <w:jc w:val="lef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16-59</w:t>
            </w:r>
            <w:r w:rsidRPr="00CD4D4A">
              <w:rPr>
                <w:rFonts w:ascii="Times New Roman" w:hAnsi="宋体" w:hint="eastAsia"/>
                <w:snapToGrid w:val="0"/>
                <w:color w:val="333333"/>
                <w:kern w:val="0"/>
                <w:sz w:val="18"/>
                <w:szCs w:val="18"/>
              </w:rPr>
              <w:t>岁（含不满</w:t>
            </w:r>
            <w:r w:rsidRPr="00CD4D4A">
              <w:rPr>
                <w:rFonts w:ascii="Times New Roman" w:hAnsi="Times New Roman"/>
                <w:snapToGrid w:val="0"/>
                <w:color w:val="333333"/>
                <w:kern w:val="0"/>
                <w:sz w:val="18"/>
                <w:szCs w:val="18"/>
              </w:rPr>
              <w:t>60</w:t>
            </w:r>
            <w:r w:rsidRPr="00CD4D4A">
              <w:rPr>
                <w:rFonts w:ascii="Times New Roman" w:hAnsi="宋体" w:hint="eastAsia"/>
                <w:snapToGrid w:val="0"/>
                <w:color w:val="333333"/>
                <w:kern w:val="0"/>
                <w:sz w:val="18"/>
                <w:szCs w:val="18"/>
              </w:rPr>
              <w:t>周岁）</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91096</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66.3</w:t>
            </w:r>
          </w:p>
        </w:tc>
      </w:tr>
      <w:tr w:rsidR="009271D0" w:rsidRPr="00CD4D4A" w:rsidTr="00DB1FD3">
        <w:trPr>
          <w:trHeight w:val="283"/>
          <w:jc w:val="center"/>
        </w:trPr>
        <w:tc>
          <w:tcPr>
            <w:tcW w:w="4307" w:type="dxa"/>
            <w:tcBorders>
              <w:top w:val="nil"/>
              <w:left w:val="nil"/>
              <w:bottom w:val="nil"/>
              <w:right w:val="single" w:sz="4" w:space="0" w:color="auto"/>
            </w:tcBorders>
            <w:vAlign w:val="center"/>
          </w:tcPr>
          <w:p w:rsidR="009271D0" w:rsidRPr="00CD4D4A" w:rsidRDefault="009271D0" w:rsidP="009271D0">
            <w:pPr>
              <w:widowControl/>
              <w:ind w:right="57" w:firstLineChars="333" w:firstLine="31680"/>
              <w:jc w:val="lef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60</w:t>
            </w:r>
            <w:r w:rsidRPr="00CD4D4A">
              <w:rPr>
                <w:rFonts w:ascii="Times New Roman" w:hAnsi="宋体" w:hint="eastAsia"/>
                <w:snapToGrid w:val="0"/>
                <w:color w:val="333333"/>
                <w:kern w:val="0"/>
                <w:sz w:val="18"/>
                <w:szCs w:val="18"/>
              </w:rPr>
              <w:t>周岁及以上</w:t>
            </w:r>
          </w:p>
        </w:tc>
        <w:tc>
          <w:tcPr>
            <w:tcW w:w="2166" w:type="dxa"/>
            <w:tcBorders>
              <w:top w:val="nil"/>
              <w:left w:val="single" w:sz="4" w:space="0" w:color="auto"/>
              <w:bottom w:val="nil"/>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22200</w:t>
            </w:r>
          </w:p>
        </w:tc>
        <w:tc>
          <w:tcPr>
            <w:tcW w:w="2167" w:type="dxa"/>
            <w:tcBorders>
              <w:top w:val="nil"/>
              <w:left w:val="single" w:sz="4" w:space="0" w:color="auto"/>
              <w:bottom w:val="nil"/>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16.1</w:t>
            </w:r>
          </w:p>
        </w:tc>
      </w:tr>
      <w:tr w:rsidR="009271D0" w:rsidRPr="00CD4D4A" w:rsidTr="00DB1FD3">
        <w:trPr>
          <w:trHeight w:val="283"/>
          <w:jc w:val="center"/>
        </w:trPr>
        <w:tc>
          <w:tcPr>
            <w:tcW w:w="4307" w:type="dxa"/>
            <w:tcBorders>
              <w:top w:val="nil"/>
              <w:left w:val="nil"/>
              <w:bottom w:val="single" w:sz="8" w:space="0" w:color="auto"/>
              <w:right w:val="single" w:sz="4" w:space="0" w:color="auto"/>
            </w:tcBorders>
            <w:vAlign w:val="center"/>
          </w:tcPr>
          <w:p w:rsidR="009271D0" w:rsidRPr="00CD4D4A" w:rsidRDefault="009271D0" w:rsidP="009271D0">
            <w:pPr>
              <w:widowControl/>
              <w:ind w:right="57" w:firstLineChars="432"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w:t>
            </w:r>
            <w:r w:rsidRPr="00CD4D4A">
              <w:rPr>
                <w:rFonts w:ascii="Times New Roman" w:hAnsi="Times New Roman"/>
                <w:snapToGrid w:val="0"/>
                <w:color w:val="333333"/>
                <w:kern w:val="0"/>
                <w:sz w:val="18"/>
                <w:szCs w:val="18"/>
              </w:rPr>
              <w:t>65</w:t>
            </w:r>
            <w:r w:rsidRPr="00CD4D4A">
              <w:rPr>
                <w:rFonts w:ascii="Times New Roman" w:hAnsi="宋体" w:hint="eastAsia"/>
                <w:snapToGrid w:val="0"/>
                <w:color w:val="333333"/>
                <w:kern w:val="0"/>
                <w:sz w:val="18"/>
                <w:szCs w:val="18"/>
              </w:rPr>
              <w:t>周岁及以上</w:t>
            </w:r>
          </w:p>
        </w:tc>
        <w:tc>
          <w:tcPr>
            <w:tcW w:w="2166" w:type="dxa"/>
            <w:tcBorders>
              <w:top w:val="nil"/>
              <w:left w:val="single" w:sz="4" w:space="0" w:color="auto"/>
              <w:bottom w:val="single" w:sz="8" w:space="0" w:color="auto"/>
              <w:right w:val="single" w:sz="4" w:space="0" w:color="auto"/>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14386</w:t>
            </w:r>
          </w:p>
        </w:tc>
        <w:tc>
          <w:tcPr>
            <w:tcW w:w="2167" w:type="dxa"/>
            <w:tcBorders>
              <w:top w:val="nil"/>
              <w:left w:val="single" w:sz="4" w:space="0" w:color="auto"/>
              <w:bottom w:val="single" w:sz="8" w:space="0" w:color="auto"/>
              <w:right w:val="nil"/>
            </w:tcBorders>
            <w:vAlign w:val="center"/>
          </w:tcPr>
          <w:p w:rsidR="009271D0" w:rsidRPr="00CD4D4A" w:rsidRDefault="009271D0" w:rsidP="00CD4D4A">
            <w:pPr>
              <w:widowControl/>
              <w:ind w:left="57" w:right="68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10.5</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年末全国就业人员</w:t>
      </w:r>
      <w:r w:rsidRPr="00CD4D4A">
        <w:rPr>
          <w:rFonts w:ascii="Times New Roman" w:hAnsi="Times New Roman"/>
          <w:color w:val="333333"/>
          <w:kern w:val="0"/>
          <w:sz w:val="18"/>
          <w:szCs w:val="18"/>
        </w:rPr>
        <w:t>77451</w:t>
      </w:r>
      <w:r w:rsidRPr="00CD4D4A">
        <w:rPr>
          <w:rFonts w:ascii="Times New Roman" w:hAnsi="宋体" w:hint="eastAsia"/>
          <w:color w:val="333333"/>
          <w:kern w:val="0"/>
          <w:sz w:val="18"/>
          <w:szCs w:val="18"/>
        </w:rPr>
        <w:t>万人，其中城镇就业人员</w:t>
      </w:r>
      <w:r w:rsidRPr="00CD4D4A">
        <w:rPr>
          <w:rFonts w:ascii="Times New Roman" w:hAnsi="Times New Roman"/>
          <w:color w:val="333333"/>
          <w:kern w:val="0"/>
          <w:sz w:val="18"/>
          <w:szCs w:val="18"/>
        </w:rPr>
        <w:t>40410</w:t>
      </w:r>
      <w:r w:rsidRPr="00CD4D4A">
        <w:rPr>
          <w:rFonts w:ascii="Times New Roman" w:hAnsi="宋体" w:hint="eastAsia"/>
          <w:color w:val="333333"/>
          <w:kern w:val="0"/>
          <w:sz w:val="18"/>
          <w:szCs w:val="18"/>
        </w:rPr>
        <w:t>万人。全年城镇新增就业</w:t>
      </w:r>
      <w:r w:rsidRPr="00CD4D4A">
        <w:rPr>
          <w:rFonts w:ascii="Times New Roman" w:hAnsi="Times New Roman"/>
          <w:color w:val="333333"/>
          <w:kern w:val="0"/>
          <w:sz w:val="18"/>
          <w:szCs w:val="18"/>
        </w:rPr>
        <w:t>1312</w:t>
      </w:r>
      <w:r w:rsidRPr="00CD4D4A">
        <w:rPr>
          <w:rFonts w:ascii="Times New Roman" w:hAnsi="宋体" w:hint="eastAsia"/>
          <w:color w:val="333333"/>
          <w:kern w:val="0"/>
          <w:sz w:val="18"/>
          <w:szCs w:val="18"/>
        </w:rPr>
        <w:t>万人。年末城镇登记失业率为</w:t>
      </w:r>
      <w:r w:rsidRPr="00CD4D4A">
        <w:rPr>
          <w:rFonts w:ascii="Times New Roman" w:hAnsi="Times New Roman"/>
          <w:color w:val="333333"/>
          <w:kern w:val="0"/>
          <w:sz w:val="18"/>
          <w:szCs w:val="18"/>
        </w:rPr>
        <w:t>4.05%</w:t>
      </w:r>
      <w:r w:rsidRPr="00CD4D4A">
        <w:rPr>
          <w:rFonts w:ascii="Times New Roman" w:hAnsi="宋体" w:hint="eastAsia"/>
          <w:color w:val="333333"/>
          <w:kern w:val="0"/>
          <w:sz w:val="18"/>
          <w:szCs w:val="18"/>
        </w:rPr>
        <w:t>。全国农民工</w:t>
      </w:r>
      <w:r w:rsidRPr="00CD4D4A">
        <w:rPr>
          <w:rFonts w:ascii="Times New Roman" w:hAnsi="Times New Roman"/>
          <w:color w:val="333333"/>
          <w:kern w:val="0"/>
          <w:sz w:val="18"/>
          <w:szCs w:val="18"/>
          <w:vertAlign w:val="superscript"/>
        </w:rPr>
        <w:t>[7]</w:t>
      </w:r>
      <w:r w:rsidRPr="00CD4D4A">
        <w:rPr>
          <w:rFonts w:ascii="Times New Roman" w:hAnsi="宋体" w:hint="eastAsia"/>
          <w:color w:val="333333"/>
          <w:kern w:val="0"/>
          <w:sz w:val="18"/>
          <w:szCs w:val="18"/>
        </w:rPr>
        <w:t>总量</w:t>
      </w:r>
      <w:r w:rsidRPr="00CD4D4A">
        <w:rPr>
          <w:rFonts w:ascii="Times New Roman" w:hAnsi="Times New Roman"/>
          <w:color w:val="333333"/>
          <w:kern w:val="0"/>
          <w:sz w:val="18"/>
          <w:szCs w:val="18"/>
        </w:rPr>
        <w:t>27747</w:t>
      </w:r>
      <w:r w:rsidRPr="00CD4D4A">
        <w:rPr>
          <w:rFonts w:ascii="Times New Roman" w:hAnsi="宋体" w:hint="eastAsia"/>
          <w:color w:val="333333"/>
          <w:kern w:val="0"/>
          <w:sz w:val="18"/>
          <w:szCs w:val="18"/>
        </w:rPr>
        <w:t>万人，比上年增长</w:t>
      </w:r>
      <w:r w:rsidRPr="00CD4D4A">
        <w:rPr>
          <w:rFonts w:ascii="Times New Roman" w:hAnsi="Times New Roman"/>
          <w:color w:val="333333"/>
          <w:kern w:val="0"/>
          <w:sz w:val="18"/>
          <w:szCs w:val="18"/>
        </w:rPr>
        <w:t>1.3%</w:t>
      </w:r>
      <w:r w:rsidRPr="00CD4D4A">
        <w:rPr>
          <w:rFonts w:ascii="Times New Roman" w:hAnsi="宋体" w:hint="eastAsia"/>
          <w:color w:val="333333"/>
          <w:kern w:val="0"/>
          <w:sz w:val="18"/>
          <w:szCs w:val="18"/>
        </w:rPr>
        <w:t>。其中，外出农民工</w:t>
      </w:r>
      <w:r w:rsidRPr="00CD4D4A">
        <w:rPr>
          <w:rFonts w:ascii="Times New Roman" w:hAnsi="Times New Roman"/>
          <w:color w:val="333333"/>
          <w:kern w:val="0"/>
          <w:sz w:val="18"/>
          <w:szCs w:val="18"/>
        </w:rPr>
        <w:t>16884</w:t>
      </w:r>
      <w:r w:rsidRPr="00CD4D4A">
        <w:rPr>
          <w:rFonts w:ascii="Times New Roman" w:hAnsi="宋体" w:hint="eastAsia"/>
          <w:color w:val="333333"/>
          <w:kern w:val="0"/>
          <w:sz w:val="18"/>
          <w:szCs w:val="18"/>
        </w:rPr>
        <w:t>万人，增长</w:t>
      </w:r>
      <w:r w:rsidRPr="00CD4D4A">
        <w:rPr>
          <w:rFonts w:ascii="Times New Roman" w:hAnsi="Times New Roman"/>
          <w:color w:val="333333"/>
          <w:kern w:val="0"/>
          <w:sz w:val="18"/>
          <w:szCs w:val="18"/>
        </w:rPr>
        <w:t>0.4%</w:t>
      </w:r>
      <w:r w:rsidRPr="00CD4D4A">
        <w:rPr>
          <w:rFonts w:ascii="Times New Roman" w:hAnsi="宋体" w:hint="eastAsia"/>
          <w:color w:val="333333"/>
          <w:kern w:val="0"/>
          <w:sz w:val="18"/>
          <w:szCs w:val="18"/>
        </w:rPr>
        <w:t>；本地农民工</w:t>
      </w:r>
      <w:r w:rsidRPr="00CD4D4A">
        <w:rPr>
          <w:rFonts w:ascii="Times New Roman" w:hAnsi="Times New Roman"/>
          <w:color w:val="333333"/>
          <w:kern w:val="0"/>
          <w:sz w:val="18"/>
          <w:szCs w:val="18"/>
        </w:rPr>
        <w:t>10863</w:t>
      </w:r>
      <w:r w:rsidRPr="00CD4D4A">
        <w:rPr>
          <w:rFonts w:ascii="Times New Roman" w:hAnsi="宋体" w:hint="eastAsia"/>
          <w:color w:val="333333"/>
          <w:kern w:val="0"/>
          <w:sz w:val="18"/>
          <w:szCs w:val="18"/>
        </w:rPr>
        <w:t>万人，增长</w:t>
      </w:r>
      <w:r w:rsidRPr="00CD4D4A">
        <w:rPr>
          <w:rFonts w:ascii="Times New Roman" w:hAnsi="Times New Roman"/>
          <w:color w:val="333333"/>
          <w:kern w:val="0"/>
          <w:sz w:val="18"/>
          <w:szCs w:val="18"/>
        </w:rPr>
        <w:t>2.7%</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22" o:spid="_x0000_i1027" type="#_x0000_t75" alt="http://www.stats.gov.cn/tjsj/zxfb/201602/W020160229379124241531_r75.gif" style="width:396.75pt;height:213pt;visibility:visible">
            <v:imagedata r:id="rId6"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全年全员劳动生产率</w:t>
      </w:r>
      <w:r w:rsidRPr="00CD4D4A">
        <w:rPr>
          <w:rFonts w:ascii="Times New Roman" w:hAnsi="Times New Roman"/>
          <w:color w:val="333333"/>
          <w:kern w:val="0"/>
          <w:sz w:val="18"/>
          <w:szCs w:val="18"/>
          <w:vertAlign w:val="superscript"/>
        </w:rPr>
        <w:t>[8]</w:t>
      </w:r>
      <w:r w:rsidRPr="00CD4D4A">
        <w:rPr>
          <w:rFonts w:ascii="Times New Roman" w:hAnsi="宋体" w:hint="eastAsia"/>
          <w:color w:val="333333"/>
          <w:kern w:val="0"/>
          <w:sz w:val="18"/>
          <w:szCs w:val="18"/>
        </w:rPr>
        <w:t>为</w:t>
      </w:r>
      <w:r w:rsidRPr="00CD4D4A">
        <w:rPr>
          <w:rFonts w:ascii="Times New Roman" w:hAnsi="Times New Roman"/>
          <w:color w:val="333333"/>
          <w:kern w:val="0"/>
          <w:sz w:val="18"/>
          <w:szCs w:val="18"/>
        </w:rPr>
        <w:t>76978</w:t>
      </w:r>
      <w:r w:rsidRPr="00CD4D4A">
        <w:rPr>
          <w:rFonts w:ascii="Times New Roman" w:hAnsi="宋体" w:hint="eastAsia"/>
          <w:color w:val="333333"/>
          <w:kern w:val="0"/>
          <w:sz w:val="18"/>
          <w:szCs w:val="18"/>
        </w:rPr>
        <w:t>元</w:t>
      </w:r>
      <w:r w:rsidRPr="00CD4D4A">
        <w:rPr>
          <w:rFonts w:ascii="Times New Roman" w:hAnsi="Times New Roman"/>
          <w:color w:val="333333"/>
          <w:kern w:val="0"/>
          <w:sz w:val="18"/>
          <w:szCs w:val="18"/>
        </w:rPr>
        <w:t>/</w:t>
      </w:r>
      <w:r w:rsidRPr="00CD4D4A">
        <w:rPr>
          <w:rFonts w:ascii="Times New Roman" w:hAnsi="宋体" w:hint="eastAsia"/>
          <w:color w:val="333333"/>
          <w:kern w:val="0"/>
          <w:sz w:val="18"/>
          <w:szCs w:val="18"/>
        </w:rPr>
        <w:t>人，比上年提高</w:t>
      </w:r>
      <w:r w:rsidRPr="00CD4D4A">
        <w:rPr>
          <w:rFonts w:ascii="Times New Roman" w:hAnsi="Times New Roman"/>
          <w:color w:val="333333"/>
          <w:kern w:val="0"/>
          <w:sz w:val="18"/>
          <w:szCs w:val="18"/>
        </w:rPr>
        <w:t>6.6%</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21" o:spid="_x0000_i1028" type="#_x0000_t75" alt="http://www.stats.gov.cn/tjsj/zxfb/201602/W020160229379124254960_r75.gif" style="width:396.75pt;height:226.5pt;visibility:visible">
            <v:imagedata r:id="rId7"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全年居民消费价格比上年上涨</w:t>
      </w:r>
      <w:r w:rsidRPr="00CD4D4A">
        <w:rPr>
          <w:rFonts w:ascii="Times New Roman" w:hAnsi="Times New Roman"/>
          <w:color w:val="333333"/>
          <w:kern w:val="0"/>
          <w:sz w:val="18"/>
          <w:szCs w:val="18"/>
        </w:rPr>
        <w:t>1.4%</w:t>
      </w:r>
      <w:r w:rsidRPr="00CD4D4A">
        <w:rPr>
          <w:rFonts w:ascii="Times New Roman" w:hAnsi="宋体" w:hint="eastAsia"/>
          <w:color w:val="333333"/>
          <w:kern w:val="0"/>
          <w:sz w:val="18"/>
          <w:szCs w:val="18"/>
        </w:rPr>
        <w:t>，其中食品价格上涨</w:t>
      </w:r>
      <w:r w:rsidRPr="00CD4D4A">
        <w:rPr>
          <w:rFonts w:ascii="Times New Roman" w:hAnsi="Times New Roman"/>
          <w:color w:val="333333"/>
          <w:kern w:val="0"/>
          <w:sz w:val="18"/>
          <w:szCs w:val="18"/>
        </w:rPr>
        <w:t>2.3%</w:t>
      </w:r>
      <w:r w:rsidRPr="00CD4D4A">
        <w:rPr>
          <w:rFonts w:ascii="Times New Roman" w:hAnsi="宋体" w:hint="eastAsia"/>
          <w:color w:val="333333"/>
          <w:kern w:val="0"/>
          <w:sz w:val="18"/>
          <w:szCs w:val="18"/>
        </w:rPr>
        <w:t>。固定资产投资价格下降</w:t>
      </w:r>
      <w:r w:rsidRPr="00CD4D4A">
        <w:rPr>
          <w:rFonts w:ascii="Times New Roman" w:hAnsi="Times New Roman"/>
          <w:color w:val="333333"/>
          <w:kern w:val="0"/>
          <w:sz w:val="18"/>
          <w:szCs w:val="18"/>
        </w:rPr>
        <w:t>1.8%</w:t>
      </w:r>
      <w:r w:rsidRPr="00CD4D4A">
        <w:rPr>
          <w:rFonts w:ascii="Times New Roman" w:hAnsi="宋体" w:hint="eastAsia"/>
          <w:color w:val="333333"/>
          <w:kern w:val="0"/>
          <w:sz w:val="18"/>
          <w:szCs w:val="18"/>
        </w:rPr>
        <w:t>。工业生产者出厂价格下降</w:t>
      </w:r>
      <w:r w:rsidRPr="00CD4D4A">
        <w:rPr>
          <w:rFonts w:ascii="Times New Roman" w:hAnsi="Times New Roman"/>
          <w:color w:val="333333"/>
          <w:kern w:val="0"/>
          <w:sz w:val="18"/>
          <w:szCs w:val="18"/>
        </w:rPr>
        <w:t>5.2%</w:t>
      </w:r>
      <w:r w:rsidRPr="00CD4D4A">
        <w:rPr>
          <w:rFonts w:ascii="Times New Roman" w:hAnsi="宋体" w:hint="eastAsia"/>
          <w:color w:val="333333"/>
          <w:kern w:val="0"/>
          <w:sz w:val="18"/>
          <w:szCs w:val="18"/>
        </w:rPr>
        <w:t>。工业生产者购进价格下降</w:t>
      </w:r>
      <w:r w:rsidRPr="00CD4D4A">
        <w:rPr>
          <w:rFonts w:ascii="Times New Roman" w:hAnsi="Times New Roman"/>
          <w:color w:val="333333"/>
          <w:kern w:val="0"/>
          <w:sz w:val="18"/>
          <w:szCs w:val="18"/>
        </w:rPr>
        <w:t>6.1%</w:t>
      </w:r>
      <w:r w:rsidRPr="00CD4D4A">
        <w:rPr>
          <w:rFonts w:ascii="Times New Roman" w:hAnsi="宋体" w:hint="eastAsia"/>
          <w:color w:val="333333"/>
          <w:kern w:val="0"/>
          <w:sz w:val="18"/>
          <w:szCs w:val="18"/>
        </w:rPr>
        <w:t>。农产品生产者价格</w:t>
      </w:r>
      <w:r w:rsidRPr="00CD4D4A">
        <w:rPr>
          <w:rFonts w:ascii="Times New Roman" w:hAnsi="Times New Roman"/>
          <w:color w:val="333333"/>
          <w:kern w:val="0"/>
          <w:sz w:val="18"/>
          <w:szCs w:val="18"/>
          <w:vertAlign w:val="superscript"/>
        </w:rPr>
        <w:t>[9]</w:t>
      </w:r>
      <w:r w:rsidRPr="00CD4D4A">
        <w:rPr>
          <w:rFonts w:ascii="Times New Roman" w:hAnsi="宋体" w:hint="eastAsia"/>
          <w:color w:val="333333"/>
          <w:kern w:val="0"/>
          <w:sz w:val="18"/>
          <w:szCs w:val="18"/>
        </w:rPr>
        <w:t>上涨</w:t>
      </w:r>
      <w:r w:rsidRPr="00CD4D4A">
        <w:rPr>
          <w:rFonts w:ascii="Times New Roman" w:hAnsi="Times New Roman"/>
          <w:color w:val="333333"/>
          <w:kern w:val="0"/>
          <w:sz w:val="18"/>
          <w:szCs w:val="18"/>
        </w:rPr>
        <w:t>1.7%</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20" o:spid="_x0000_i1029" type="#_x0000_t75" alt="http://www.stats.gov.cn/tjsj/zxfb/201602/W020160229379124261219_r75.gif" style="width:396.75pt;height:226.5pt;visibility:visible">
            <v:imagedata r:id="rId8"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3996"/>
        <w:gridCol w:w="1672"/>
        <w:gridCol w:w="1304"/>
        <w:gridCol w:w="1334"/>
      </w:tblGrid>
      <w:tr w:rsidR="009271D0" w:rsidRPr="00CD4D4A" w:rsidTr="002E09A2">
        <w:trPr>
          <w:trHeight w:val="567"/>
          <w:jc w:val="center"/>
        </w:trPr>
        <w:tc>
          <w:tcPr>
            <w:tcW w:w="8306" w:type="dxa"/>
            <w:gridSpan w:val="4"/>
            <w:tcBorders>
              <w:top w:val="nil"/>
              <w:left w:val="nil"/>
              <w:bottom w:val="nil"/>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2  2015</w:t>
            </w:r>
            <w:r w:rsidRPr="00CD4D4A">
              <w:rPr>
                <w:rFonts w:ascii="Times New Roman" w:hAnsi="宋体" w:hint="eastAsia"/>
                <w:b/>
                <w:bCs/>
                <w:snapToGrid w:val="0"/>
                <w:color w:val="333333"/>
                <w:kern w:val="0"/>
                <w:sz w:val="18"/>
                <w:szCs w:val="18"/>
                <w:bdr w:val="none" w:sz="0" w:space="0" w:color="auto" w:frame="1"/>
              </w:rPr>
              <w:t>年居民消费价格比上年涨跌幅度</w:t>
            </w:r>
          </w:p>
        </w:tc>
      </w:tr>
      <w:tr w:rsidR="009271D0" w:rsidRPr="00CD4D4A" w:rsidTr="00741F7B">
        <w:trPr>
          <w:trHeight w:val="283"/>
          <w:jc w:val="center"/>
        </w:trPr>
        <w:tc>
          <w:tcPr>
            <w:tcW w:w="8306" w:type="dxa"/>
            <w:gridSpan w:val="4"/>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单位：</w:t>
            </w:r>
            <w:r w:rsidRPr="00CD4D4A">
              <w:rPr>
                <w:rFonts w:ascii="Times New Roman" w:hAnsi="Times New Roman"/>
                <w:snapToGrid w:val="0"/>
                <w:color w:val="333333"/>
                <w:kern w:val="0"/>
                <w:sz w:val="18"/>
                <w:szCs w:val="18"/>
              </w:rPr>
              <w:t>%</w:t>
            </w:r>
          </w:p>
        </w:tc>
      </w:tr>
      <w:tr w:rsidR="009271D0" w:rsidRPr="00CD4D4A" w:rsidTr="00741F7B">
        <w:trPr>
          <w:trHeight w:val="481"/>
          <w:jc w:val="center"/>
        </w:trPr>
        <w:tc>
          <w:tcPr>
            <w:tcW w:w="3996" w:type="dxa"/>
            <w:vMerge w:val="restart"/>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指　　　　标</w:t>
            </w:r>
          </w:p>
        </w:tc>
        <w:tc>
          <w:tcPr>
            <w:tcW w:w="1672" w:type="dxa"/>
            <w:vMerge w:val="restart"/>
            <w:tcBorders>
              <w:top w:val="single" w:sz="8" w:space="0" w:color="000000"/>
              <w:left w:val="single" w:sz="4" w:space="0" w:color="000000"/>
              <w:bottom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全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国</w:t>
            </w:r>
          </w:p>
        </w:tc>
        <w:tc>
          <w:tcPr>
            <w:tcW w:w="2638" w:type="dxa"/>
            <w:gridSpan w:val="2"/>
            <w:tcBorders>
              <w:top w:val="single" w:sz="8"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p>
        </w:tc>
      </w:tr>
      <w:tr w:rsidR="009271D0" w:rsidRPr="00CD4D4A" w:rsidTr="00741F7B">
        <w:trPr>
          <w:trHeight w:val="283"/>
          <w:jc w:val="center"/>
        </w:trPr>
        <w:tc>
          <w:tcPr>
            <w:tcW w:w="0" w:type="auto"/>
            <w:vMerge/>
            <w:tcBorders>
              <w:top w:val="single" w:sz="4" w:space="0" w:color="000000"/>
              <w:left w:val="nil"/>
              <w:bottom w:val="single" w:sz="4" w:space="0" w:color="000000"/>
              <w:right w:val="single" w:sz="4" w:space="0" w:color="000000"/>
            </w:tcBorders>
            <w:vAlign w:val="center"/>
          </w:tcPr>
          <w:p w:rsidR="009271D0" w:rsidRPr="00CD4D4A" w:rsidRDefault="009271D0" w:rsidP="00CD4D4A">
            <w:pPr>
              <w:widowControl/>
              <w:jc w:val="left"/>
              <w:rPr>
                <w:rFonts w:ascii="Times New Roman" w:hAnsi="Times New Roman"/>
                <w:color w:val="333333"/>
                <w:kern w:val="0"/>
                <w:sz w:val="18"/>
                <w:szCs w:val="18"/>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jc w:val="left"/>
              <w:rPr>
                <w:rFonts w:ascii="Times New Roman" w:hAnsi="Times New Roman"/>
                <w:color w:val="333333"/>
                <w:kern w:val="0"/>
                <w:sz w:val="18"/>
                <w:szCs w:val="18"/>
              </w:rPr>
            </w:pPr>
          </w:p>
        </w:tc>
        <w:tc>
          <w:tcPr>
            <w:tcW w:w="1304" w:type="dxa"/>
            <w:tcBorders>
              <w:top w:val="single" w:sz="4"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城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市</w:t>
            </w:r>
          </w:p>
        </w:tc>
        <w:tc>
          <w:tcPr>
            <w:tcW w:w="1334" w:type="dxa"/>
            <w:tcBorders>
              <w:top w:val="single" w:sz="4"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农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村</w:t>
            </w:r>
          </w:p>
        </w:tc>
      </w:tr>
      <w:tr w:rsidR="009271D0" w:rsidRPr="00CD4D4A" w:rsidTr="00741F7B">
        <w:trPr>
          <w:trHeight w:val="283"/>
          <w:jc w:val="center"/>
        </w:trPr>
        <w:tc>
          <w:tcPr>
            <w:tcW w:w="3996" w:type="dxa"/>
            <w:tcBorders>
              <w:top w:val="single" w:sz="4" w:space="0" w:color="000000"/>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居民消费价格</w:t>
            </w:r>
          </w:p>
        </w:tc>
        <w:tc>
          <w:tcPr>
            <w:tcW w:w="1672"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w:t>
            </w:r>
          </w:p>
        </w:tc>
        <w:tc>
          <w:tcPr>
            <w:tcW w:w="1304"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w:t>
            </w:r>
          </w:p>
        </w:tc>
        <w:tc>
          <w:tcPr>
            <w:tcW w:w="1334"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其中：食品</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9271D0">
            <w:pPr>
              <w:widowControl/>
              <w:tabs>
                <w:tab w:val="left" w:pos="2303"/>
              </w:tabs>
              <w:ind w:right="57" w:firstLineChars="4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烟酒及用品</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9271D0">
            <w:pPr>
              <w:widowControl/>
              <w:ind w:right="57" w:firstLineChars="450" w:firstLine="31680"/>
              <w:jc w:val="left"/>
              <w:rPr>
                <w:rFonts w:ascii="Times New Roman" w:hAnsi="Times New Roman"/>
                <w:color w:val="333333"/>
                <w:kern w:val="0"/>
                <w:sz w:val="18"/>
                <w:szCs w:val="18"/>
              </w:rPr>
            </w:pPr>
            <w:r w:rsidRPr="00CD4D4A">
              <w:rPr>
                <w:rFonts w:ascii="Times New Roman" w:hAnsi="宋体" w:hint="eastAsia"/>
                <w:snapToGrid w:val="0"/>
                <w:color w:val="000000"/>
                <w:kern w:val="0"/>
                <w:sz w:val="18"/>
                <w:szCs w:val="18"/>
              </w:rPr>
              <w:t>衣着</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2.8</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家庭设备用品及维修服务</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0.9</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医疗保健和个人用品</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交通和通信</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w:t>
            </w:r>
          </w:p>
        </w:tc>
      </w:tr>
      <w:tr w:rsidR="009271D0" w:rsidRPr="00CD4D4A" w:rsidTr="00741F7B">
        <w:trPr>
          <w:trHeight w:val="283"/>
          <w:jc w:val="center"/>
        </w:trPr>
        <w:tc>
          <w:tcPr>
            <w:tcW w:w="3996"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娱乐教育文化用品及服务</w:t>
            </w:r>
          </w:p>
        </w:tc>
        <w:tc>
          <w:tcPr>
            <w:tcW w:w="167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w:t>
            </w:r>
          </w:p>
        </w:tc>
        <w:tc>
          <w:tcPr>
            <w:tcW w:w="1304"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w:t>
            </w:r>
          </w:p>
        </w:tc>
        <w:tc>
          <w:tcPr>
            <w:tcW w:w="1334"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w:t>
            </w:r>
          </w:p>
        </w:tc>
      </w:tr>
      <w:tr w:rsidR="009271D0" w:rsidRPr="00CD4D4A" w:rsidTr="00741F7B">
        <w:trPr>
          <w:trHeight w:val="283"/>
          <w:jc w:val="center"/>
        </w:trPr>
        <w:tc>
          <w:tcPr>
            <w:tcW w:w="3996" w:type="dxa"/>
            <w:tcBorders>
              <w:top w:val="nil"/>
              <w:left w:val="nil"/>
              <w:bottom w:val="single" w:sz="8" w:space="0" w:color="000000"/>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居住</w:t>
            </w:r>
            <w:r w:rsidRPr="00CD4D4A">
              <w:rPr>
                <w:rFonts w:ascii="Times New Roman" w:hAnsi="Times New Roman"/>
                <w:snapToGrid w:val="0"/>
                <w:color w:val="333333"/>
                <w:kern w:val="0"/>
                <w:sz w:val="18"/>
                <w:szCs w:val="18"/>
                <w:vertAlign w:val="superscript"/>
              </w:rPr>
              <w:t>[10]</w:t>
            </w:r>
          </w:p>
        </w:tc>
        <w:tc>
          <w:tcPr>
            <w:tcW w:w="1672"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0.7</w:t>
            </w:r>
          </w:p>
        </w:tc>
        <w:tc>
          <w:tcPr>
            <w:tcW w:w="1304"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w:t>
            </w:r>
          </w:p>
        </w:tc>
        <w:tc>
          <w:tcPr>
            <w:tcW w:w="1334"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-0.3</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年末</w:t>
      </w:r>
      <w:r w:rsidRPr="00CD4D4A">
        <w:rPr>
          <w:rFonts w:ascii="Times New Roman" w:hAnsi="Times New Roman"/>
          <w:color w:val="333333"/>
          <w:kern w:val="0"/>
          <w:sz w:val="18"/>
          <w:szCs w:val="18"/>
        </w:rPr>
        <w:t>70</w:t>
      </w:r>
      <w:r w:rsidRPr="00CD4D4A">
        <w:rPr>
          <w:rFonts w:ascii="Times New Roman" w:hAnsi="宋体" w:hint="eastAsia"/>
          <w:color w:val="333333"/>
          <w:kern w:val="0"/>
          <w:sz w:val="18"/>
          <w:szCs w:val="18"/>
        </w:rPr>
        <w:t>个大中城市新建商品住宅销售价格月同比上涨的城市个数为</w:t>
      </w:r>
      <w:r w:rsidRPr="00CD4D4A">
        <w:rPr>
          <w:rFonts w:ascii="Times New Roman" w:hAnsi="Times New Roman"/>
          <w:color w:val="333333"/>
          <w:kern w:val="0"/>
          <w:sz w:val="18"/>
          <w:szCs w:val="18"/>
        </w:rPr>
        <w:t>21</w:t>
      </w:r>
      <w:r w:rsidRPr="00CD4D4A">
        <w:rPr>
          <w:rFonts w:ascii="Times New Roman" w:hAnsi="宋体" w:hint="eastAsia"/>
          <w:color w:val="333333"/>
          <w:kern w:val="0"/>
          <w:sz w:val="18"/>
          <w:szCs w:val="18"/>
        </w:rPr>
        <w:t>个，比年初增加</w:t>
      </w:r>
      <w:r w:rsidRPr="00CD4D4A">
        <w:rPr>
          <w:rFonts w:ascii="Times New Roman" w:hAnsi="Times New Roman"/>
          <w:color w:val="333333"/>
          <w:kern w:val="0"/>
          <w:sz w:val="18"/>
          <w:szCs w:val="18"/>
        </w:rPr>
        <w:t>20</w:t>
      </w:r>
      <w:r w:rsidRPr="00CD4D4A">
        <w:rPr>
          <w:rFonts w:ascii="Times New Roman" w:hAnsi="宋体" w:hint="eastAsia"/>
          <w:color w:val="333333"/>
          <w:kern w:val="0"/>
          <w:sz w:val="18"/>
          <w:szCs w:val="18"/>
        </w:rPr>
        <w:t>个；下降的为</w:t>
      </w:r>
      <w:r w:rsidRPr="00CD4D4A">
        <w:rPr>
          <w:rFonts w:ascii="Times New Roman" w:hAnsi="Times New Roman"/>
          <w:color w:val="333333"/>
          <w:kern w:val="0"/>
          <w:sz w:val="18"/>
          <w:szCs w:val="18"/>
        </w:rPr>
        <w:t>49</w:t>
      </w:r>
      <w:r w:rsidRPr="00CD4D4A">
        <w:rPr>
          <w:rFonts w:ascii="Times New Roman" w:hAnsi="宋体" w:hint="eastAsia"/>
          <w:color w:val="333333"/>
          <w:kern w:val="0"/>
          <w:sz w:val="18"/>
          <w:szCs w:val="18"/>
        </w:rPr>
        <w:t>个，减少</w:t>
      </w:r>
      <w:r w:rsidRPr="00CD4D4A">
        <w:rPr>
          <w:rFonts w:ascii="Times New Roman" w:hAnsi="Times New Roman"/>
          <w:color w:val="333333"/>
          <w:kern w:val="0"/>
          <w:sz w:val="18"/>
          <w:szCs w:val="18"/>
        </w:rPr>
        <w:t>20</w:t>
      </w:r>
      <w:r w:rsidRPr="00CD4D4A">
        <w:rPr>
          <w:rFonts w:ascii="Times New Roman" w:hAnsi="宋体" w:hint="eastAsia"/>
          <w:color w:val="333333"/>
          <w:kern w:val="0"/>
          <w:sz w:val="18"/>
          <w:szCs w:val="18"/>
        </w:rPr>
        <w:t>个。</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9" o:spid="_x0000_i1030" type="#_x0000_t75" alt="http://www.stats.gov.cn/tjsj/zxfb/201602/W020160229379124287064_r75.gif" style="width:396.75pt;height:226.5pt;visibility:visible">
            <v:imagedata r:id="rId9"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全年全国一般公共预算收入</w:t>
      </w:r>
      <w:r w:rsidRPr="00CD4D4A">
        <w:rPr>
          <w:rFonts w:ascii="Times New Roman" w:hAnsi="Times New Roman"/>
          <w:color w:val="333333"/>
          <w:kern w:val="0"/>
          <w:sz w:val="18"/>
          <w:szCs w:val="18"/>
        </w:rPr>
        <w:t>152217</w:t>
      </w:r>
      <w:r w:rsidRPr="00CD4D4A">
        <w:rPr>
          <w:rFonts w:ascii="Times New Roman" w:hAnsi="宋体" w:hint="eastAsia"/>
          <w:color w:val="333333"/>
          <w:kern w:val="0"/>
          <w:sz w:val="18"/>
          <w:szCs w:val="18"/>
        </w:rPr>
        <w:t>亿元，比上年同口径</w:t>
      </w:r>
      <w:r w:rsidRPr="00CD4D4A">
        <w:rPr>
          <w:rFonts w:ascii="Times New Roman" w:hAnsi="Times New Roman"/>
          <w:color w:val="333333"/>
          <w:kern w:val="0"/>
          <w:sz w:val="18"/>
          <w:szCs w:val="18"/>
          <w:vertAlign w:val="superscript"/>
        </w:rPr>
        <w:t>[11]</w:t>
      </w:r>
      <w:r w:rsidRPr="00CD4D4A">
        <w:rPr>
          <w:rFonts w:ascii="Times New Roman" w:hAnsi="宋体" w:hint="eastAsia"/>
          <w:color w:val="333333"/>
          <w:kern w:val="0"/>
          <w:sz w:val="18"/>
          <w:szCs w:val="18"/>
        </w:rPr>
        <w:t>增加</w:t>
      </w:r>
      <w:r w:rsidRPr="00CD4D4A">
        <w:rPr>
          <w:rFonts w:ascii="Times New Roman" w:hAnsi="Times New Roman"/>
          <w:color w:val="333333"/>
          <w:kern w:val="0"/>
          <w:sz w:val="18"/>
          <w:szCs w:val="18"/>
        </w:rPr>
        <w:t>8324</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5.8%</w:t>
      </w:r>
      <w:r w:rsidRPr="00CD4D4A">
        <w:rPr>
          <w:rFonts w:ascii="Times New Roman" w:hAnsi="宋体" w:hint="eastAsia"/>
          <w:color w:val="333333"/>
          <w:kern w:val="0"/>
          <w:sz w:val="18"/>
          <w:szCs w:val="18"/>
        </w:rPr>
        <w:t>，其中税收收入</w:t>
      </w:r>
      <w:r w:rsidRPr="00CD4D4A">
        <w:rPr>
          <w:rFonts w:ascii="Times New Roman" w:hAnsi="Times New Roman"/>
          <w:color w:val="333333"/>
          <w:kern w:val="0"/>
          <w:sz w:val="18"/>
          <w:szCs w:val="18"/>
        </w:rPr>
        <w:t>124892</w:t>
      </w:r>
      <w:r w:rsidRPr="00CD4D4A">
        <w:rPr>
          <w:rFonts w:ascii="Times New Roman" w:hAnsi="宋体" w:hint="eastAsia"/>
          <w:color w:val="333333"/>
          <w:kern w:val="0"/>
          <w:sz w:val="18"/>
          <w:szCs w:val="18"/>
        </w:rPr>
        <w:t>亿元，增加</w:t>
      </w:r>
      <w:r w:rsidRPr="00CD4D4A">
        <w:rPr>
          <w:rFonts w:ascii="Times New Roman" w:hAnsi="Times New Roman"/>
          <w:color w:val="333333"/>
          <w:kern w:val="0"/>
          <w:sz w:val="18"/>
          <w:szCs w:val="18"/>
        </w:rPr>
        <w:t>5717</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4.8%</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8" o:spid="_x0000_i1031" type="#_x0000_t75" alt="http://www.stats.gov.cn/tjsj/zxfb/201602/W020160229379124294316_r75.gif" style="width:396.75pt;height:226.5pt;visibility:visible">
            <v:imagedata r:id="rId10"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eastAsia="楷体" w:hAnsi="楷体" w:hint="eastAsia"/>
          <w:color w:val="333333"/>
          <w:kern w:val="0"/>
          <w:sz w:val="18"/>
          <w:szCs w:val="18"/>
        </w:rPr>
        <w:t xml:space="preserve">　　注：图中</w:t>
      </w:r>
      <w:r w:rsidRPr="00CD4D4A">
        <w:rPr>
          <w:rFonts w:ascii="Times New Roman" w:eastAsia="楷体" w:hAnsi="Times New Roman"/>
          <w:color w:val="333333"/>
          <w:kern w:val="0"/>
          <w:sz w:val="18"/>
          <w:szCs w:val="18"/>
        </w:rPr>
        <w:t>2011</w:t>
      </w:r>
      <w:r w:rsidRPr="00CD4D4A">
        <w:rPr>
          <w:rFonts w:ascii="Times New Roman" w:eastAsia="楷体" w:hAnsi="楷体" w:hint="eastAsia"/>
          <w:color w:val="333333"/>
          <w:kern w:val="0"/>
          <w:sz w:val="18"/>
          <w:szCs w:val="18"/>
        </w:rPr>
        <w:t>年至</w:t>
      </w:r>
      <w:r w:rsidRPr="00CD4D4A">
        <w:rPr>
          <w:rFonts w:ascii="Times New Roman" w:eastAsia="楷体" w:hAnsi="Times New Roman"/>
          <w:color w:val="333333"/>
          <w:kern w:val="0"/>
          <w:sz w:val="18"/>
          <w:szCs w:val="18"/>
        </w:rPr>
        <w:t>2014</w:t>
      </w:r>
      <w:r w:rsidRPr="00CD4D4A">
        <w:rPr>
          <w:rFonts w:ascii="Times New Roman" w:eastAsia="楷体" w:hAnsi="楷体" w:hint="eastAsia"/>
          <w:color w:val="333333"/>
          <w:kern w:val="0"/>
          <w:sz w:val="18"/>
          <w:szCs w:val="18"/>
        </w:rPr>
        <w:t>年数据为全国一般公共预算收入决算数，</w:t>
      </w:r>
      <w:r w:rsidRPr="00CD4D4A">
        <w:rPr>
          <w:rFonts w:ascii="Times New Roman" w:eastAsia="楷体" w:hAnsi="Times New Roman"/>
          <w:color w:val="333333"/>
          <w:kern w:val="0"/>
          <w:sz w:val="18"/>
          <w:szCs w:val="18"/>
        </w:rPr>
        <w:t>2015</w:t>
      </w:r>
      <w:r w:rsidRPr="00CD4D4A">
        <w:rPr>
          <w:rFonts w:ascii="Times New Roman" w:eastAsia="楷体" w:hAnsi="楷体" w:hint="eastAsia"/>
          <w:color w:val="333333"/>
          <w:kern w:val="0"/>
          <w:sz w:val="18"/>
          <w:szCs w:val="18"/>
        </w:rPr>
        <w:t>年为执行数。</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年末国家外汇储备</w:t>
      </w:r>
      <w:r w:rsidRPr="00CD4D4A">
        <w:rPr>
          <w:rFonts w:ascii="Times New Roman" w:hAnsi="Times New Roman"/>
          <w:color w:val="333333"/>
          <w:kern w:val="0"/>
          <w:sz w:val="18"/>
          <w:szCs w:val="18"/>
        </w:rPr>
        <w:t>33304</w:t>
      </w:r>
      <w:r w:rsidRPr="00CD4D4A">
        <w:rPr>
          <w:rFonts w:ascii="Times New Roman" w:hAnsi="宋体" w:hint="eastAsia"/>
          <w:color w:val="333333"/>
          <w:kern w:val="0"/>
          <w:sz w:val="18"/>
          <w:szCs w:val="18"/>
        </w:rPr>
        <w:t>亿美元，比上年末减少</w:t>
      </w:r>
      <w:r w:rsidRPr="00CD4D4A">
        <w:rPr>
          <w:rFonts w:ascii="Times New Roman" w:hAnsi="Times New Roman"/>
          <w:color w:val="333333"/>
          <w:kern w:val="0"/>
          <w:sz w:val="18"/>
          <w:szCs w:val="18"/>
        </w:rPr>
        <w:t>5127</w:t>
      </w:r>
      <w:r w:rsidRPr="00CD4D4A">
        <w:rPr>
          <w:rFonts w:ascii="Times New Roman" w:hAnsi="宋体" w:hint="eastAsia"/>
          <w:color w:val="333333"/>
          <w:kern w:val="0"/>
          <w:sz w:val="18"/>
          <w:szCs w:val="18"/>
        </w:rPr>
        <w:t>亿美元。全年人民币平均汇率为</w:t>
      </w:r>
      <w:r w:rsidRPr="00CD4D4A">
        <w:rPr>
          <w:rFonts w:ascii="Times New Roman" w:hAnsi="Times New Roman"/>
          <w:color w:val="333333"/>
          <w:kern w:val="0"/>
          <w:sz w:val="18"/>
          <w:szCs w:val="18"/>
        </w:rPr>
        <w:t>1</w:t>
      </w:r>
      <w:r w:rsidRPr="00CD4D4A">
        <w:rPr>
          <w:rFonts w:ascii="Times New Roman" w:hAnsi="宋体" w:hint="eastAsia"/>
          <w:color w:val="333333"/>
          <w:kern w:val="0"/>
          <w:sz w:val="18"/>
          <w:szCs w:val="18"/>
        </w:rPr>
        <w:t>美元兑</w:t>
      </w:r>
      <w:r w:rsidRPr="00CD4D4A">
        <w:rPr>
          <w:rFonts w:ascii="Times New Roman" w:hAnsi="Times New Roman"/>
          <w:color w:val="333333"/>
          <w:kern w:val="0"/>
          <w:sz w:val="18"/>
          <w:szCs w:val="18"/>
        </w:rPr>
        <w:t>6.2284</w:t>
      </w:r>
      <w:r w:rsidRPr="00CD4D4A">
        <w:rPr>
          <w:rFonts w:ascii="Times New Roman" w:hAnsi="宋体" w:hint="eastAsia"/>
          <w:color w:val="333333"/>
          <w:kern w:val="0"/>
          <w:sz w:val="18"/>
          <w:szCs w:val="18"/>
        </w:rPr>
        <w:t>元人民币，比上年贬值</w:t>
      </w:r>
      <w:r w:rsidRPr="00CD4D4A">
        <w:rPr>
          <w:rFonts w:ascii="Times New Roman" w:hAnsi="Times New Roman"/>
          <w:color w:val="333333"/>
          <w:kern w:val="0"/>
          <w:sz w:val="18"/>
          <w:szCs w:val="18"/>
        </w:rPr>
        <w:t>1.4%</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7" o:spid="_x0000_i1032" type="#_x0000_t75" alt="http://www.stats.gov.cn/tjsj/zxfb/201602/W020160229379124303914_r75.gif" style="width:396.75pt;height:226.5pt;visibility:visible">
            <v:imagedata r:id="rId11"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二、农业</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全年粮食种植面积</w:t>
      </w:r>
      <w:r w:rsidRPr="00CD4D4A">
        <w:rPr>
          <w:rFonts w:ascii="Times New Roman" w:hAnsi="Times New Roman"/>
          <w:color w:val="333333"/>
          <w:kern w:val="0"/>
          <w:sz w:val="18"/>
          <w:szCs w:val="18"/>
        </w:rPr>
        <w:t>11334</w:t>
      </w:r>
      <w:r w:rsidRPr="00CD4D4A">
        <w:rPr>
          <w:rFonts w:ascii="Times New Roman" w:hAnsi="宋体" w:hint="eastAsia"/>
          <w:color w:val="333333"/>
          <w:kern w:val="0"/>
          <w:sz w:val="18"/>
          <w:szCs w:val="18"/>
        </w:rPr>
        <w:t>万公顷，比上年增加</w:t>
      </w:r>
      <w:r w:rsidRPr="00CD4D4A">
        <w:rPr>
          <w:rFonts w:ascii="Times New Roman" w:hAnsi="Times New Roman"/>
          <w:color w:val="333333"/>
          <w:kern w:val="0"/>
          <w:sz w:val="18"/>
          <w:szCs w:val="18"/>
        </w:rPr>
        <w:t>62</w:t>
      </w:r>
      <w:r w:rsidRPr="00CD4D4A">
        <w:rPr>
          <w:rFonts w:ascii="Times New Roman" w:hAnsi="宋体" w:hint="eastAsia"/>
          <w:color w:val="333333"/>
          <w:kern w:val="0"/>
          <w:sz w:val="18"/>
          <w:szCs w:val="18"/>
        </w:rPr>
        <w:t>万公顷。棉花种植面积</w:t>
      </w:r>
      <w:r w:rsidRPr="00CD4D4A">
        <w:rPr>
          <w:rFonts w:ascii="Times New Roman" w:hAnsi="Times New Roman"/>
          <w:color w:val="333333"/>
          <w:kern w:val="0"/>
          <w:sz w:val="18"/>
          <w:szCs w:val="18"/>
        </w:rPr>
        <w:t>380</w:t>
      </w:r>
      <w:r w:rsidRPr="00CD4D4A">
        <w:rPr>
          <w:rFonts w:ascii="Times New Roman" w:hAnsi="宋体" w:hint="eastAsia"/>
          <w:color w:val="333333"/>
          <w:kern w:val="0"/>
          <w:sz w:val="18"/>
          <w:szCs w:val="18"/>
        </w:rPr>
        <w:t>万公顷，减少</w:t>
      </w:r>
      <w:r w:rsidRPr="00CD4D4A">
        <w:rPr>
          <w:rFonts w:ascii="Times New Roman" w:hAnsi="Times New Roman"/>
          <w:color w:val="333333"/>
          <w:kern w:val="0"/>
          <w:sz w:val="18"/>
          <w:szCs w:val="18"/>
        </w:rPr>
        <w:t>42</w:t>
      </w:r>
      <w:r w:rsidRPr="00CD4D4A">
        <w:rPr>
          <w:rFonts w:ascii="Times New Roman" w:hAnsi="宋体" w:hint="eastAsia"/>
          <w:color w:val="333333"/>
          <w:kern w:val="0"/>
          <w:sz w:val="18"/>
          <w:szCs w:val="18"/>
        </w:rPr>
        <w:t>万公顷。油料种植面积</w:t>
      </w:r>
      <w:r w:rsidRPr="00CD4D4A">
        <w:rPr>
          <w:rFonts w:ascii="Times New Roman" w:hAnsi="Times New Roman"/>
          <w:color w:val="333333"/>
          <w:kern w:val="0"/>
          <w:sz w:val="18"/>
          <w:szCs w:val="18"/>
        </w:rPr>
        <w:t>1406</w:t>
      </w:r>
      <w:r w:rsidRPr="00CD4D4A">
        <w:rPr>
          <w:rFonts w:ascii="Times New Roman" w:hAnsi="宋体" w:hint="eastAsia"/>
          <w:color w:val="333333"/>
          <w:kern w:val="0"/>
          <w:sz w:val="18"/>
          <w:szCs w:val="18"/>
        </w:rPr>
        <w:t>万公顷，增加</w:t>
      </w:r>
      <w:smartTag w:uri="urn:schemas-microsoft-com:office:smarttags" w:element="chmetcnv">
        <w:smartTagPr>
          <w:attr w:name="TCSC" w:val="1"/>
          <w:attr w:name="NumberType" w:val="1"/>
          <w:attr w:name="Negative" w:val="False"/>
          <w:attr w:name="HasSpace" w:val="False"/>
          <w:attr w:name="SourceValue" w:val="10000"/>
          <w:attr w:name="UnitName" w:val="公顷"/>
        </w:smartTagPr>
        <w:r w:rsidRPr="00CD4D4A">
          <w:rPr>
            <w:rFonts w:ascii="Times New Roman" w:hAnsi="Times New Roman"/>
            <w:color w:val="333333"/>
            <w:kern w:val="0"/>
            <w:sz w:val="18"/>
            <w:szCs w:val="18"/>
          </w:rPr>
          <w:t>1</w:t>
        </w:r>
        <w:r w:rsidRPr="00CD4D4A">
          <w:rPr>
            <w:rFonts w:ascii="Times New Roman" w:hAnsi="宋体" w:hint="eastAsia"/>
            <w:color w:val="333333"/>
            <w:kern w:val="0"/>
            <w:sz w:val="18"/>
            <w:szCs w:val="18"/>
          </w:rPr>
          <w:t>万公顷</w:t>
        </w:r>
      </w:smartTag>
      <w:r w:rsidRPr="00CD4D4A">
        <w:rPr>
          <w:rFonts w:ascii="Times New Roman" w:hAnsi="宋体" w:hint="eastAsia"/>
          <w:color w:val="333333"/>
          <w:kern w:val="0"/>
          <w:sz w:val="18"/>
          <w:szCs w:val="18"/>
        </w:rPr>
        <w:t>。糖料种植面积</w:t>
      </w:r>
      <w:r w:rsidRPr="00CD4D4A">
        <w:rPr>
          <w:rFonts w:ascii="Times New Roman" w:hAnsi="Times New Roman"/>
          <w:color w:val="333333"/>
          <w:kern w:val="0"/>
          <w:sz w:val="18"/>
          <w:szCs w:val="18"/>
        </w:rPr>
        <w:t>174</w:t>
      </w:r>
      <w:r w:rsidRPr="00CD4D4A">
        <w:rPr>
          <w:rFonts w:ascii="Times New Roman" w:hAnsi="宋体" w:hint="eastAsia"/>
          <w:color w:val="333333"/>
          <w:kern w:val="0"/>
          <w:sz w:val="18"/>
          <w:szCs w:val="18"/>
        </w:rPr>
        <w:t>万公顷，减少</w:t>
      </w:r>
      <w:r w:rsidRPr="00CD4D4A">
        <w:rPr>
          <w:rFonts w:ascii="Times New Roman" w:hAnsi="Times New Roman"/>
          <w:color w:val="333333"/>
          <w:kern w:val="0"/>
          <w:sz w:val="18"/>
          <w:szCs w:val="18"/>
        </w:rPr>
        <w:t>16</w:t>
      </w:r>
      <w:r w:rsidRPr="00CD4D4A">
        <w:rPr>
          <w:rFonts w:ascii="Times New Roman" w:hAnsi="宋体" w:hint="eastAsia"/>
          <w:color w:val="333333"/>
          <w:kern w:val="0"/>
          <w:sz w:val="18"/>
          <w:szCs w:val="18"/>
        </w:rPr>
        <w:t>万公顷。</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全年粮食产量</w:t>
      </w:r>
      <w:r w:rsidRPr="00CD4D4A">
        <w:rPr>
          <w:rFonts w:ascii="Times New Roman" w:hAnsi="Times New Roman"/>
          <w:color w:val="333333"/>
          <w:kern w:val="0"/>
          <w:sz w:val="18"/>
          <w:szCs w:val="18"/>
        </w:rPr>
        <w:t>62144</w:t>
      </w:r>
      <w:r w:rsidRPr="00CD4D4A">
        <w:rPr>
          <w:rFonts w:ascii="Times New Roman" w:hAnsi="宋体" w:hint="eastAsia"/>
          <w:color w:val="333333"/>
          <w:kern w:val="0"/>
          <w:sz w:val="18"/>
          <w:szCs w:val="18"/>
        </w:rPr>
        <w:t>万吨，比上年增加</w:t>
      </w:r>
      <w:r w:rsidRPr="00CD4D4A">
        <w:rPr>
          <w:rFonts w:ascii="Times New Roman" w:hAnsi="Times New Roman"/>
          <w:color w:val="333333"/>
          <w:kern w:val="0"/>
          <w:sz w:val="18"/>
          <w:szCs w:val="18"/>
        </w:rPr>
        <w:t>1441</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2.4%</w:t>
      </w:r>
      <w:r w:rsidRPr="00CD4D4A">
        <w:rPr>
          <w:rFonts w:ascii="Times New Roman" w:hAnsi="宋体" w:hint="eastAsia"/>
          <w:color w:val="333333"/>
          <w:kern w:val="0"/>
          <w:sz w:val="18"/>
          <w:szCs w:val="18"/>
        </w:rPr>
        <w:t>。其中，夏粮产量</w:t>
      </w:r>
      <w:r w:rsidRPr="00CD4D4A">
        <w:rPr>
          <w:rFonts w:ascii="Times New Roman" w:hAnsi="Times New Roman"/>
          <w:color w:val="333333"/>
          <w:kern w:val="0"/>
          <w:sz w:val="18"/>
          <w:szCs w:val="18"/>
        </w:rPr>
        <w:t>14112</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3.3%</w:t>
      </w:r>
      <w:r w:rsidRPr="00CD4D4A">
        <w:rPr>
          <w:rFonts w:ascii="Times New Roman" w:hAnsi="宋体" w:hint="eastAsia"/>
          <w:color w:val="333333"/>
          <w:kern w:val="0"/>
          <w:sz w:val="18"/>
          <w:szCs w:val="18"/>
        </w:rPr>
        <w:t>；早稻产量</w:t>
      </w:r>
      <w:r w:rsidRPr="00CD4D4A">
        <w:rPr>
          <w:rFonts w:ascii="Times New Roman" w:hAnsi="Times New Roman"/>
          <w:color w:val="333333"/>
          <w:kern w:val="0"/>
          <w:sz w:val="18"/>
          <w:szCs w:val="18"/>
        </w:rPr>
        <w:t>3369</w:t>
      </w:r>
      <w:r w:rsidRPr="00CD4D4A">
        <w:rPr>
          <w:rFonts w:ascii="Times New Roman" w:hAnsi="宋体" w:hint="eastAsia"/>
          <w:color w:val="333333"/>
          <w:kern w:val="0"/>
          <w:sz w:val="18"/>
          <w:szCs w:val="18"/>
        </w:rPr>
        <w:t>万吨，减产</w:t>
      </w:r>
      <w:r w:rsidRPr="00CD4D4A">
        <w:rPr>
          <w:rFonts w:ascii="Times New Roman" w:hAnsi="Times New Roman"/>
          <w:color w:val="333333"/>
          <w:kern w:val="0"/>
          <w:sz w:val="18"/>
          <w:szCs w:val="18"/>
        </w:rPr>
        <w:t>0.9%</w:t>
      </w:r>
      <w:r w:rsidRPr="00CD4D4A">
        <w:rPr>
          <w:rFonts w:ascii="Times New Roman" w:hAnsi="宋体" w:hint="eastAsia"/>
          <w:color w:val="333333"/>
          <w:kern w:val="0"/>
          <w:sz w:val="18"/>
          <w:szCs w:val="18"/>
        </w:rPr>
        <w:t>；秋粮产量</w:t>
      </w:r>
      <w:r w:rsidRPr="00CD4D4A">
        <w:rPr>
          <w:rFonts w:ascii="Times New Roman" w:hAnsi="Times New Roman"/>
          <w:color w:val="333333"/>
          <w:kern w:val="0"/>
          <w:sz w:val="18"/>
          <w:szCs w:val="18"/>
        </w:rPr>
        <w:t>44662</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2.3%</w:t>
      </w:r>
      <w:r w:rsidRPr="00CD4D4A">
        <w:rPr>
          <w:rFonts w:ascii="Times New Roman" w:hAnsi="宋体" w:hint="eastAsia"/>
          <w:color w:val="333333"/>
          <w:kern w:val="0"/>
          <w:sz w:val="18"/>
          <w:szCs w:val="18"/>
        </w:rPr>
        <w:t>。全年谷物产量</w:t>
      </w:r>
      <w:r w:rsidRPr="00CD4D4A">
        <w:rPr>
          <w:rFonts w:ascii="Times New Roman" w:hAnsi="Times New Roman"/>
          <w:color w:val="333333"/>
          <w:kern w:val="0"/>
          <w:sz w:val="18"/>
          <w:szCs w:val="18"/>
        </w:rPr>
        <w:t>57225</w:t>
      </w:r>
      <w:r w:rsidRPr="00CD4D4A">
        <w:rPr>
          <w:rFonts w:ascii="Times New Roman" w:hAnsi="宋体" w:hint="eastAsia"/>
          <w:color w:val="333333"/>
          <w:kern w:val="0"/>
          <w:sz w:val="18"/>
          <w:szCs w:val="18"/>
        </w:rPr>
        <w:t>万吨，比上年增产</w:t>
      </w:r>
      <w:r w:rsidRPr="00CD4D4A">
        <w:rPr>
          <w:rFonts w:ascii="Times New Roman" w:hAnsi="Times New Roman"/>
          <w:color w:val="333333"/>
          <w:kern w:val="0"/>
          <w:sz w:val="18"/>
          <w:szCs w:val="18"/>
        </w:rPr>
        <w:t>2.7%</w:t>
      </w:r>
      <w:r w:rsidRPr="00CD4D4A">
        <w:rPr>
          <w:rFonts w:ascii="Times New Roman" w:hAnsi="宋体" w:hint="eastAsia"/>
          <w:color w:val="333333"/>
          <w:kern w:val="0"/>
          <w:sz w:val="18"/>
          <w:szCs w:val="18"/>
        </w:rPr>
        <w:t>。其中，稻谷产量</w:t>
      </w:r>
      <w:r w:rsidRPr="00CD4D4A">
        <w:rPr>
          <w:rFonts w:ascii="Times New Roman" w:hAnsi="Times New Roman"/>
          <w:color w:val="333333"/>
          <w:kern w:val="0"/>
          <w:sz w:val="18"/>
          <w:szCs w:val="18"/>
        </w:rPr>
        <w:t>20825</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0.8%</w:t>
      </w:r>
      <w:r w:rsidRPr="00CD4D4A">
        <w:rPr>
          <w:rFonts w:ascii="Times New Roman" w:hAnsi="宋体" w:hint="eastAsia"/>
          <w:color w:val="333333"/>
          <w:kern w:val="0"/>
          <w:sz w:val="18"/>
          <w:szCs w:val="18"/>
        </w:rPr>
        <w:t>；小麦产量</w:t>
      </w:r>
      <w:r w:rsidRPr="00CD4D4A">
        <w:rPr>
          <w:rFonts w:ascii="Times New Roman" w:hAnsi="Times New Roman"/>
          <w:color w:val="333333"/>
          <w:kern w:val="0"/>
          <w:sz w:val="18"/>
          <w:szCs w:val="18"/>
        </w:rPr>
        <w:t>13019</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3.2%</w:t>
      </w:r>
      <w:r w:rsidRPr="00CD4D4A">
        <w:rPr>
          <w:rFonts w:ascii="Times New Roman" w:hAnsi="宋体" w:hint="eastAsia"/>
          <w:color w:val="333333"/>
          <w:kern w:val="0"/>
          <w:sz w:val="18"/>
          <w:szCs w:val="18"/>
        </w:rPr>
        <w:t>；玉米产量</w:t>
      </w:r>
      <w:r w:rsidRPr="00CD4D4A">
        <w:rPr>
          <w:rFonts w:ascii="Times New Roman" w:hAnsi="Times New Roman"/>
          <w:color w:val="333333"/>
          <w:kern w:val="0"/>
          <w:sz w:val="18"/>
          <w:szCs w:val="18"/>
        </w:rPr>
        <w:t>22458</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4.1%</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6" o:spid="_x0000_i1033" type="#_x0000_t75" alt="http://www.stats.gov.cn/tjsj/zxfb/201602/W020160229379124316630_r75.gif" style="width:396.75pt;height:226.5pt;visibility:visible">
            <v:imagedata r:id="rId12"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全年棉花产量</w:t>
      </w:r>
      <w:r w:rsidRPr="00CD4D4A">
        <w:rPr>
          <w:rFonts w:ascii="Times New Roman" w:hAnsi="Times New Roman"/>
          <w:color w:val="333333"/>
          <w:kern w:val="0"/>
          <w:sz w:val="18"/>
          <w:szCs w:val="18"/>
        </w:rPr>
        <w:t>561</w:t>
      </w:r>
      <w:r w:rsidRPr="00CD4D4A">
        <w:rPr>
          <w:rFonts w:ascii="Times New Roman" w:hAnsi="宋体" w:hint="eastAsia"/>
          <w:color w:val="333333"/>
          <w:kern w:val="0"/>
          <w:sz w:val="18"/>
          <w:szCs w:val="18"/>
        </w:rPr>
        <w:t>万吨，比上年减产</w:t>
      </w:r>
      <w:r w:rsidRPr="00CD4D4A">
        <w:rPr>
          <w:rFonts w:ascii="Times New Roman" w:hAnsi="Times New Roman"/>
          <w:color w:val="333333"/>
          <w:kern w:val="0"/>
          <w:sz w:val="18"/>
          <w:szCs w:val="18"/>
        </w:rPr>
        <w:t>9.3%</w:t>
      </w:r>
      <w:r w:rsidRPr="00CD4D4A">
        <w:rPr>
          <w:rFonts w:ascii="Times New Roman" w:hAnsi="宋体" w:hint="eastAsia"/>
          <w:color w:val="333333"/>
          <w:kern w:val="0"/>
          <w:sz w:val="18"/>
          <w:szCs w:val="18"/>
        </w:rPr>
        <w:t>。油料产量</w:t>
      </w:r>
      <w:r w:rsidRPr="00CD4D4A">
        <w:rPr>
          <w:rFonts w:ascii="Times New Roman" w:hAnsi="Times New Roman"/>
          <w:color w:val="333333"/>
          <w:kern w:val="0"/>
          <w:sz w:val="18"/>
          <w:szCs w:val="18"/>
        </w:rPr>
        <w:t>3547</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1.1%</w:t>
      </w:r>
      <w:r w:rsidRPr="00CD4D4A">
        <w:rPr>
          <w:rFonts w:ascii="Times New Roman" w:hAnsi="宋体" w:hint="eastAsia"/>
          <w:color w:val="333333"/>
          <w:kern w:val="0"/>
          <w:sz w:val="18"/>
          <w:szCs w:val="18"/>
        </w:rPr>
        <w:t>。糖料产量</w:t>
      </w:r>
      <w:r w:rsidRPr="00CD4D4A">
        <w:rPr>
          <w:rFonts w:ascii="Times New Roman" w:hAnsi="Times New Roman"/>
          <w:color w:val="333333"/>
          <w:kern w:val="0"/>
          <w:sz w:val="18"/>
          <w:szCs w:val="18"/>
        </w:rPr>
        <w:t>12529</w:t>
      </w:r>
      <w:r w:rsidRPr="00CD4D4A">
        <w:rPr>
          <w:rFonts w:ascii="Times New Roman" w:hAnsi="宋体" w:hint="eastAsia"/>
          <w:color w:val="333333"/>
          <w:kern w:val="0"/>
          <w:sz w:val="18"/>
          <w:szCs w:val="18"/>
        </w:rPr>
        <w:t>万吨，减产</w:t>
      </w:r>
      <w:r w:rsidRPr="00CD4D4A">
        <w:rPr>
          <w:rFonts w:ascii="Times New Roman" w:hAnsi="Times New Roman"/>
          <w:color w:val="333333"/>
          <w:kern w:val="0"/>
          <w:sz w:val="18"/>
          <w:szCs w:val="18"/>
        </w:rPr>
        <w:t>6.2%</w:t>
      </w:r>
      <w:r w:rsidRPr="00CD4D4A">
        <w:rPr>
          <w:rFonts w:ascii="Times New Roman" w:hAnsi="宋体" w:hint="eastAsia"/>
          <w:color w:val="333333"/>
          <w:kern w:val="0"/>
          <w:sz w:val="18"/>
          <w:szCs w:val="18"/>
        </w:rPr>
        <w:t>。茶叶产量</w:t>
      </w:r>
      <w:r w:rsidRPr="00CD4D4A">
        <w:rPr>
          <w:rFonts w:ascii="Times New Roman" w:hAnsi="Times New Roman"/>
          <w:color w:val="333333"/>
          <w:kern w:val="0"/>
          <w:sz w:val="18"/>
          <w:szCs w:val="18"/>
        </w:rPr>
        <w:t>224</w:t>
      </w:r>
      <w:r w:rsidRPr="00CD4D4A">
        <w:rPr>
          <w:rFonts w:ascii="Times New Roman" w:hAnsi="宋体" w:hint="eastAsia"/>
          <w:color w:val="333333"/>
          <w:kern w:val="0"/>
          <w:sz w:val="18"/>
          <w:szCs w:val="18"/>
        </w:rPr>
        <w:t>万吨，增产</w:t>
      </w:r>
      <w:r w:rsidRPr="00CD4D4A">
        <w:rPr>
          <w:rFonts w:ascii="Times New Roman" w:hAnsi="Times New Roman"/>
          <w:color w:val="333333"/>
          <w:kern w:val="0"/>
          <w:sz w:val="18"/>
          <w:szCs w:val="18"/>
        </w:rPr>
        <w:t>6.9%</w:t>
      </w:r>
      <w:r w:rsidRPr="00CD4D4A">
        <w:rPr>
          <w:rFonts w:ascii="Times New Roman" w:hAnsi="宋体" w:hint="eastAsia"/>
          <w:color w:val="333333"/>
          <w:kern w:val="0"/>
          <w:sz w:val="18"/>
          <w:szCs w:val="18"/>
        </w:rPr>
        <w:t>。</w:t>
      </w: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全年肉类总产量</w:t>
      </w:r>
      <w:r w:rsidRPr="00CD4D4A">
        <w:rPr>
          <w:rFonts w:ascii="Times New Roman" w:hAnsi="Times New Roman"/>
          <w:color w:val="333333"/>
          <w:kern w:val="0"/>
          <w:sz w:val="18"/>
          <w:szCs w:val="18"/>
        </w:rPr>
        <w:t>8625</w:t>
      </w:r>
      <w:r w:rsidRPr="00CD4D4A">
        <w:rPr>
          <w:rFonts w:ascii="Times New Roman" w:hAnsi="宋体" w:hint="eastAsia"/>
          <w:color w:val="333333"/>
          <w:kern w:val="0"/>
          <w:sz w:val="18"/>
          <w:szCs w:val="18"/>
        </w:rPr>
        <w:t>万吨，比上年下降</w:t>
      </w:r>
      <w:r w:rsidRPr="00CD4D4A">
        <w:rPr>
          <w:rFonts w:ascii="Times New Roman" w:hAnsi="Times New Roman"/>
          <w:color w:val="333333"/>
          <w:kern w:val="0"/>
          <w:sz w:val="18"/>
          <w:szCs w:val="18"/>
        </w:rPr>
        <w:t>1.0%</w:t>
      </w:r>
      <w:r w:rsidRPr="00CD4D4A">
        <w:rPr>
          <w:rFonts w:ascii="Times New Roman" w:hAnsi="宋体" w:hint="eastAsia"/>
          <w:color w:val="333333"/>
          <w:kern w:val="0"/>
          <w:sz w:val="18"/>
          <w:szCs w:val="18"/>
        </w:rPr>
        <w:t>。其中，猪肉产量</w:t>
      </w:r>
      <w:r w:rsidRPr="00CD4D4A">
        <w:rPr>
          <w:rFonts w:ascii="Times New Roman" w:hAnsi="Times New Roman"/>
          <w:color w:val="333333"/>
          <w:kern w:val="0"/>
          <w:sz w:val="18"/>
          <w:szCs w:val="18"/>
        </w:rPr>
        <w:t>5487</w:t>
      </w:r>
      <w:r w:rsidRPr="00CD4D4A">
        <w:rPr>
          <w:rFonts w:ascii="Times New Roman" w:hAnsi="宋体" w:hint="eastAsia"/>
          <w:color w:val="333333"/>
          <w:kern w:val="0"/>
          <w:sz w:val="18"/>
          <w:szCs w:val="18"/>
        </w:rPr>
        <w:t>万吨，下降</w:t>
      </w:r>
      <w:r w:rsidRPr="00CD4D4A">
        <w:rPr>
          <w:rFonts w:ascii="Times New Roman" w:hAnsi="Times New Roman"/>
          <w:color w:val="333333"/>
          <w:kern w:val="0"/>
          <w:sz w:val="18"/>
          <w:szCs w:val="18"/>
        </w:rPr>
        <w:t>3.3%</w:t>
      </w:r>
      <w:r w:rsidRPr="00CD4D4A">
        <w:rPr>
          <w:rFonts w:ascii="Times New Roman" w:hAnsi="宋体" w:hint="eastAsia"/>
          <w:color w:val="333333"/>
          <w:kern w:val="0"/>
          <w:sz w:val="18"/>
          <w:szCs w:val="18"/>
        </w:rPr>
        <w:t>；牛肉产量</w:t>
      </w:r>
      <w:r w:rsidRPr="00CD4D4A">
        <w:rPr>
          <w:rFonts w:ascii="Times New Roman" w:hAnsi="Times New Roman"/>
          <w:color w:val="333333"/>
          <w:kern w:val="0"/>
          <w:sz w:val="18"/>
          <w:szCs w:val="18"/>
        </w:rPr>
        <w:t>700</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1.6%</w:t>
      </w:r>
      <w:r w:rsidRPr="00CD4D4A">
        <w:rPr>
          <w:rFonts w:ascii="Times New Roman" w:hAnsi="宋体" w:hint="eastAsia"/>
          <w:color w:val="333333"/>
          <w:kern w:val="0"/>
          <w:sz w:val="18"/>
          <w:szCs w:val="18"/>
        </w:rPr>
        <w:t>；羊肉产量</w:t>
      </w:r>
      <w:r w:rsidRPr="00CD4D4A">
        <w:rPr>
          <w:rFonts w:ascii="Times New Roman" w:hAnsi="Times New Roman"/>
          <w:color w:val="333333"/>
          <w:kern w:val="0"/>
          <w:sz w:val="18"/>
          <w:szCs w:val="18"/>
        </w:rPr>
        <w:t>441</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2.9%</w:t>
      </w:r>
      <w:r w:rsidRPr="00CD4D4A">
        <w:rPr>
          <w:rFonts w:ascii="Times New Roman" w:hAnsi="宋体" w:hint="eastAsia"/>
          <w:color w:val="333333"/>
          <w:kern w:val="0"/>
          <w:sz w:val="18"/>
          <w:szCs w:val="18"/>
        </w:rPr>
        <w:t>；禽肉产量</w:t>
      </w:r>
      <w:r w:rsidRPr="00CD4D4A">
        <w:rPr>
          <w:rFonts w:ascii="Times New Roman" w:hAnsi="Times New Roman"/>
          <w:color w:val="333333"/>
          <w:kern w:val="0"/>
          <w:sz w:val="18"/>
          <w:szCs w:val="18"/>
        </w:rPr>
        <w:t>1826</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4.3%</w:t>
      </w:r>
      <w:r w:rsidRPr="00CD4D4A">
        <w:rPr>
          <w:rFonts w:ascii="Times New Roman" w:hAnsi="宋体" w:hint="eastAsia"/>
          <w:color w:val="333333"/>
          <w:kern w:val="0"/>
          <w:sz w:val="18"/>
          <w:szCs w:val="18"/>
        </w:rPr>
        <w:t>。禽蛋产量</w:t>
      </w:r>
      <w:r w:rsidRPr="00CD4D4A">
        <w:rPr>
          <w:rFonts w:ascii="Times New Roman" w:hAnsi="Times New Roman"/>
          <w:color w:val="333333"/>
          <w:kern w:val="0"/>
          <w:sz w:val="18"/>
          <w:szCs w:val="18"/>
        </w:rPr>
        <w:t>2999</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3.6%</w:t>
      </w:r>
      <w:r w:rsidRPr="00CD4D4A">
        <w:rPr>
          <w:rFonts w:ascii="Times New Roman" w:hAnsi="宋体" w:hint="eastAsia"/>
          <w:color w:val="333333"/>
          <w:kern w:val="0"/>
          <w:sz w:val="18"/>
          <w:szCs w:val="18"/>
        </w:rPr>
        <w:t>。牛奶产量</w:t>
      </w:r>
      <w:r w:rsidRPr="00CD4D4A">
        <w:rPr>
          <w:rFonts w:ascii="Times New Roman" w:hAnsi="Times New Roman"/>
          <w:color w:val="333333"/>
          <w:kern w:val="0"/>
          <w:sz w:val="18"/>
          <w:szCs w:val="18"/>
        </w:rPr>
        <w:t>3755</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0.8%</w:t>
      </w:r>
      <w:r w:rsidRPr="00CD4D4A">
        <w:rPr>
          <w:rFonts w:ascii="Times New Roman" w:hAnsi="宋体" w:hint="eastAsia"/>
          <w:color w:val="333333"/>
          <w:kern w:val="0"/>
          <w:sz w:val="18"/>
          <w:szCs w:val="18"/>
        </w:rPr>
        <w:t>。年末生猪存栏</w:t>
      </w:r>
      <w:r w:rsidRPr="00CD4D4A">
        <w:rPr>
          <w:rFonts w:ascii="Times New Roman" w:hAnsi="Times New Roman"/>
          <w:color w:val="333333"/>
          <w:kern w:val="0"/>
          <w:sz w:val="18"/>
          <w:szCs w:val="18"/>
        </w:rPr>
        <w:t>45113</w:t>
      </w:r>
      <w:r w:rsidRPr="00CD4D4A">
        <w:rPr>
          <w:rFonts w:ascii="Times New Roman" w:hAnsi="宋体" w:hint="eastAsia"/>
          <w:color w:val="333333"/>
          <w:kern w:val="0"/>
          <w:sz w:val="18"/>
          <w:szCs w:val="18"/>
        </w:rPr>
        <w:t>万头，下降</w:t>
      </w:r>
      <w:r w:rsidRPr="00CD4D4A">
        <w:rPr>
          <w:rFonts w:ascii="Times New Roman" w:hAnsi="Times New Roman"/>
          <w:color w:val="333333"/>
          <w:kern w:val="0"/>
          <w:sz w:val="18"/>
          <w:szCs w:val="18"/>
        </w:rPr>
        <w:t>3.2%</w:t>
      </w:r>
      <w:r w:rsidRPr="00CD4D4A">
        <w:rPr>
          <w:rFonts w:ascii="Times New Roman" w:hAnsi="宋体" w:hint="eastAsia"/>
          <w:color w:val="333333"/>
          <w:kern w:val="0"/>
          <w:sz w:val="18"/>
          <w:szCs w:val="18"/>
        </w:rPr>
        <w:t>；生猪出栏</w:t>
      </w:r>
      <w:r w:rsidRPr="00CD4D4A">
        <w:rPr>
          <w:rFonts w:ascii="Times New Roman" w:hAnsi="Times New Roman"/>
          <w:color w:val="333333"/>
          <w:kern w:val="0"/>
          <w:sz w:val="18"/>
          <w:szCs w:val="18"/>
        </w:rPr>
        <w:t>70825</w:t>
      </w:r>
      <w:r w:rsidRPr="00CD4D4A">
        <w:rPr>
          <w:rFonts w:ascii="Times New Roman" w:hAnsi="宋体" w:hint="eastAsia"/>
          <w:color w:val="333333"/>
          <w:kern w:val="0"/>
          <w:sz w:val="18"/>
          <w:szCs w:val="18"/>
        </w:rPr>
        <w:t>万头，下降</w:t>
      </w:r>
      <w:r w:rsidRPr="00CD4D4A">
        <w:rPr>
          <w:rFonts w:ascii="Times New Roman" w:hAnsi="Times New Roman"/>
          <w:color w:val="333333"/>
          <w:kern w:val="0"/>
          <w:sz w:val="18"/>
          <w:szCs w:val="18"/>
        </w:rPr>
        <w:t>3.7%</w:t>
      </w:r>
      <w:r w:rsidRPr="00CD4D4A">
        <w:rPr>
          <w:rFonts w:ascii="Times New Roman" w:hAnsi="宋体" w:hint="eastAsia"/>
          <w:color w:val="333333"/>
          <w:kern w:val="0"/>
          <w:sz w:val="18"/>
          <w:szCs w:val="18"/>
        </w:rPr>
        <w:t>。</w:t>
      </w: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全年水产品产量</w:t>
      </w:r>
      <w:r w:rsidRPr="00CD4D4A">
        <w:rPr>
          <w:rFonts w:ascii="Times New Roman" w:hAnsi="Times New Roman"/>
          <w:color w:val="333333"/>
          <w:kern w:val="0"/>
          <w:sz w:val="18"/>
          <w:szCs w:val="18"/>
        </w:rPr>
        <w:t>6690</w:t>
      </w:r>
      <w:r w:rsidRPr="00CD4D4A">
        <w:rPr>
          <w:rFonts w:ascii="Times New Roman" w:hAnsi="宋体" w:hint="eastAsia"/>
          <w:color w:val="333333"/>
          <w:kern w:val="0"/>
          <w:sz w:val="18"/>
          <w:szCs w:val="18"/>
        </w:rPr>
        <w:t>万吨，比上年增长</w:t>
      </w:r>
      <w:r w:rsidRPr="00CD4D4A">
        <w:rPr>
          <w:rFonts w:ascii="Times New Roman" w:hAnsi="Times New Roman"/>
          <w:color w:val="333333"/>
          <w:kern w:val="0"/>
          <w:sz w:val="18"/>
          <w:szCs w:val="18"/>
        </w:rPr>
        <w:t>3.5%</w:t>
      </w:r>
      <w:r w:rsidRPr="00CD4D4A">
        <w:rPr>
          <w:rFonts w:ascii="Times New Roman" w:hAnsi="宋体" w:hint="eastAsia"/>
          <w:color w:val="333333"/>
          <w:kern w:val="0"/>
          <w:sz w:val="18"/>
          <w:szCs w:val="18"/>
        </w:rPr>
        <w:t>。其中，养殖水产品产量</w:t>
      </w:r>
      <w:r w:rsidRPr="00CD4D4A">
        <w:rPr>
          <w:rFonts w:ascii="Times New Roman" w:hAnsi="Times New Roman"/>
          <w:color w:val="333333"/>
          <w:kern w:val="0"/>
          <w:sz w:val="18"/>
          <w:szCs w:val="18"/>
        </w:rPr>
        <w:t>4942</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4.1%</w:t>
      </w:r>
      <w:r w:rsidRPr="00CD4D4A">
        <w:rPr>
          <w:rFonts w:ascii="Times New Roman" w:hAnsi="宋体" w:hint="eastAsia"/>
          <w:color w:val="333333"/>
          <w:kern w:val="0"/>
          <w:sz w:val="18"/>
          <w:szCs w:val="18"/>
        </w:rPr>
        <w:t>；捕捞水产品产量</w:t>
      </w:r>
      <w:r w:rsidRPr="00CD4D4A">
        <w:rPr>
          <w:rFonts w:ascii="Times New Roman" w:hAnsi="Times New Roman"/>
          <w:color w:val="333333"/>
          <w:kern w:val="0"/>
          <w:sz w:val="18"/>
          <w:szCs w:val="18"/>
        </w:rPr>
        <w:t>1748</w:t>
      </w:r>
      <w:r w:rsidRPr="00CD4D4A">
        <w:rPr>
          <w:rFonts w:ascii="Times New Roman" w:hAnsi="宋体" w:hint="eastAsia"/>
          <w:color w:val="333333"/>
          <w:kern w:val="0"/>
          <w:sz w:val="18"/>
          <w:szCs w:val="18"/>
        </w:rPr>
        <w:t>万吨，增长</w:t>
      </w:r>
      <w:r w:rsidRPr="00CD4D4A">
        <w:rPr>
          <w:rFonts w:ascii="Times New Roman" w:hAnsi="Times New Roman"/>
          <w:color w:val="333333"/>
          <w:kern w:val="0"/>
          <w:sz w:val="18"/>
          <w:szCs w:val="18"/>
        </w:rPr>
        <w:t>0.5%</w:t>
      </w:r>
      <w:r w:rsidRPr="00CD4D4A">
        <w:rPr>
          <w:rFonts w:ascii="Times New Roman" w:hAnsi="宋体" w:hint="eastAsia"/>
          <w:color w:val="333333"/>
          <w:kern w:val="0"/>
          <w:sz w:val="18"/>
          <w:szCs w:val="18"/>
        </w:rPr>
        <w:t>。</w:t>
      </w: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全年木材产量</w:t>
      </w:r>
      <w:r w:rsidRPr="00CD4D4A">
        <w:rPr>
          <w:rFonts w:ascii="Times New Roman" w:hAnsi="Times New Roman"/>
          <w:color w:val="333333"/>
          <w:kern w:val="0"/>
          <w:sz w:val="18"/>
          <w:szCs w:val="18"/>
        </w:rPr>
        <w:t>6832</w:t>
      </w:r>
      <w:r w:rsidRPr="00CD4D4A">
        <w:rPr>
          <w:rFonts w:ascii="Times New Roman" w:hAnsi="宋体" w:hint="eastAsia"/>
          <w:color w:val="333333"/>
          <w:kern w:val="0"/>
          <w:sz w:val="18"/>
          <w:szCs w:val="18"/>
        </w:rPr>
        <w:t>万立方米，比上年下降</w:t>
      </w:r>
      <w:r w:rsidRPr="00CD4D4A">
        <w:rPr>
          <w:rFonts w:ascii="Times New Roman" w:hAnsi="Times New Roman"/>
          <w:color w:val="333333"/>
          <w:kern w:val="0"/>
          <w:sz w:val="18"/>
          <w:szCs w:val="18"/>
        </w:rPr>
        <w:t>17.0%</w:t>
      </w:r>
      <w:r w:rsidRPr="00CD4D4A">
        <w:rPr>
          <w:rFonts w:ascii="Times New Roman" w:hAnsi="宋体" w:hint="eastAsia"/>
          <w:color w:val="333333"/>
          <w:kern w:val="0"/>
          <w:sz w:val="18"/>
          <w:szCs w:val="18"/>
        </w:rPr>
        <w:t>。</w:t>
      </w: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全年新增耕地灌溉面积</w:t>
      </w:r>
      <w:r w:rsidRPr="00CD4D4A">
        <w:rPr>
          <w:rFonts w:ascii="Times New Roman" w:hAnsi="Times New Roman"/>
          <w:color w:val="333333"/>
          <w:kern w:val="0"/>
          <w:sz w:val="18"/>
          <w:szCs w:val="18"/>
        </w:rPr>
        <w:t>158</w:t>
      </w:r>
      <w:r w:rsidRPr="00CD4D4A">
        <w:rPr>
          <w:rFonts w:ascii="Times New Roman" w:hAnsi="宋体" w:hint="eastAsia"/>
          <w:color w:val="333333"/>
          <w:kern w:val="0"/>
          <w:sz w:val="18"/>
          <w:szCs w:val="18"/>
        </w:rPr>
        <w:t>万公顷，新增节水灌溉面积</w:t>
      </w:r>
      <w:r w:rsidRPr="00CD4D4A">
        <w:rPr>
          <w:rFonts w:ascii="Times New Roman" w:hAnsi="Times New Roman"/>
          <w:color w:val="333333"/>
          <w:kern w:val="0"/>
          <w:sz w:val="18"/>
          <w:szCs w:val="18"/>
        </w:rPr>
        <w:t>254</w:t>
      </w:r>
      <w:r w:rsidRPr="00CD4D4A">
        <w:rPr>
          <w:rFonts w:ascii="Times New Roman" w:hAnsi="宋体" w:hint="eastAsia"/>
          <w:color w:val="333333"/>
          <w:kern w:val="0"/>
          <w:sz w:val="18"/>
          <w:szCs w:val="18"/>
        </w:rPr>
        <w:t>万公顷。</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三、工业和建筑业</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全年全部工业增加值</w:t>
      </w:r>
      <w:r w:rsidRPr="00CD4D4A">
        <w:rPr>
          <w:rFonts w:ascii="Times New Roman" w:hAnsi="Times New Roman"/>
          <w:color w:val="333333"/>
          <w:kern w:val="0"/>
          <w:sz w:val="18"/>
          <w:szCs w:val="18"/>
        </w:rPr>
        <w:t>228974</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5.9%</w:t>
      </w:r>
      <w:r w:rsidRPr="00CD4D4A">
        <w:rPr>
          <w:rFonts w:ascii="Times New Roman" w:hAnsi="宋体" w:hint="eastAsia"/>
          <w:color w:val="333333"/>
          <w:kern w:val="0"/>
          <w:sz w:val="18"/>
          <w:szCs w:val="18"/>
        </w:rPr>
        <w:t>。规模以上工业增加值增长</w:t>
      </w:r>
      <w:r w:rsidRPr="00CD4D4A">
        <w:rPr>
          <w:rFonts w:ascii="Times New Roman" w:hAnsi="Times New Roman"/>
          <w:color w:val="333333"/>
          <w:kern w:val="0"/>
          <w:sz w:val="18"/>
          <w:szCs w:val="18"/>
        </w:rPr>
        <w:t>6.1%</w:t>
      </w:r>
      <w:r w:rsidRPr="00CD4D4A">
        <w:rPr>
          <w:rFonts w:ascii="Times New Roman" w:hAnsi="宋体" w:hint="eastAsia"/>
          <w:color w:val="333333"/>
          <w:kern w:val="0"/>
          <w:sz w:val="18"/>
          <w:szCs w:val="18"/>
        </w:rPr>
        <w:t>。在规模以上工业中，分经济类型看，国有控股企业增长</w:t>
      </w:r>
      <w:r w:rsidRPr="00CD4D4A">
        <w:rPr>
          <w:rFonts w:ascii="Times New Roman" w:hAnsi="Times New Roman"/>
          <w:color w:val="333333"/>
          <w:kern w:val="0"/>
          <w:sz w:val="18"/>
          <w:szCs w:val="18"/>
        </w:rPr>
        <w:t>1.4%</w:t>
      </w:r>
      <w:r w:rsidRPr="00CD4D4A">
        <w:rPr>
          <w:rFonts w:ascii="Times New Roman" w:hAnsi="宋体" w:hint="eastAsia"/>
          <w:color w:val="333333"/>
          <w:kern w:val="0"/>
          <w:sz w:val="18"/>
          <w:szCs w:val="18"/>
        </w:rPr>
        <w:t>；集体企业增长</w:t>
      </w:r>
      <w:r w:rsidRPr="00CD4D4A">
        <w:rPr>
          <w:rFonts w:ascii="Times New Roman" w:hAnsi="Times New Roman"/>
          <w:color w:val="333333"/>
          <w:kern w:val="0"/>
          <w:sz w:val="18"/>
          <w:szCs w:val="18"/>
        </w:rPr>
        <w:t>1.2%</w:t>
      </w:r>
      <w:r w:rsidRPr="00CD4D4A">
        <w:rPr>
          <w:rFonts w:ascii="Times New Roman" w:hAnsi="宋体" w:hint="eastAsia"/>
          <w:color w:val="333333"/>
          <w:kern w:val="0"/>
          <w:sz w:val="18"/>
          <w:szCs w:val="18"/>
        </w:rPr>
        <w:t>，股份制企业增长</w:t>
      </w:r>
      <w:r w:rsidRPr="00CD4D4A">
        <w:rPr>
          <w:rFonts w:ascii="Times New Roman" w:hAnsi="Times New Roman"/>
          <w:color w:val="333333"/>
          <w:kern w:val="0"/>
          <w:sz w:val="18"/>
          <w:szCs w:val="18"/>
        </w:rPr>
        <w:t>7.3%</w:t>
      </w:r>
      <w:r w:rsidRPr="00CD4D4A">
        <w:rPr>
          <w:rFonts w:ascii="Times New Roman" w:hAnsi="宋体" w:hint="eastAsia"/>
          <w:color w:val="333333"/>
          <w:kern w:val="0"/>
          <w:sz w:val="18"/>
          <w:szCs w:val="18"/>
        </w:rPr>
        <w:t>，外商及港澳台商投资企业增长</w:t>
      </w:r>
      <w:r w:rsidRPr="00CD4D4A">
        <w:rPr>
          <w:rFonts w:ascii="Times New Roman" w:hAnsi="Times New Roman"/>
          <w:color w:val="333333"/>
          <w:kern w:val="0"/>
          <w:sz w:val="18"/>
          <w:szCs w:val="18"/>
        </w:rPr>
        <w:t>3.7%</w:t>
      </w:r>
      <w:r w:rsidRPr="00CD4D4A">
        <w:rPr>
          <w:rFonts w:ascii="Times New Roman" w:hAnsi="宋体" w:hint="eastAsia"/>
          <w:color w:val="333333"/>
          <w:kern w:val="0"/>
          <w:sz w:val="18"/>
          <w:szCs w:val="18"/>
        </w:rPr>
        <w:t>；私营企业增长</w:t>
      </w:r>
      <w:r w:rsidRPr="00CD4D4A">
        <w:rPr>
          <w:rFonts w:ascii="Times New Roman" w:hAnsi="Times New Roman"/>
          <w:color w:val="333333"/>
          <w:kern w:val="0"/>
          <w:sz w:val="18"/>
          <w:szCs w:val="18"/>
        </w:rPr>
        <w:t>8.6%</w:t>
      </w:r>
      <w:r w:rsidRPr="00CD4D4A">
        <w:rPr>
          <w:rFonts w:ascii="Times New Roman" w:hAnsi="宋体" w:hint="eastAsia"/>
          <w:color w:val="333333"/>
          <w:kern w:val="0"/>
          <w:sz w:val="18"/>
          <w:szCs w:val="18"/>
        </w:rPr>
        <w:t>。分门类看，采矿业增长</w:t>
      </w:r>
      <w:r w:rsidRPr="00CD4D4A">
        <w:rPr>
          <w:rFonts w:ascii="Times New Roman" w:hAnsi="Times New Roman"/>
          <w:color w:val="333333"/>
          <w:kern w:val="0"/>
          <w:sz w:val="18"/>
          <w:szCs w:val="18"/>
        </w:rPr>
        <w:t>2.7%</w:t>
      </w:r>
      <w:r w:rsidRPr="00CD4D4A">
        <w:rPr>
          <w:rFonts w:ascii="Times New Roman" w:hAnsi="宋体" w:hint="eastAsia"/>
          <w:color w:val="333333"/>
          <w:kern w:val="0"/>
          <w:sz w:val="18"/>
          <w:szCs w:val="18"/>
        </w:rPr>
        <w:t>，制造业增长</w:t>
      </w:r>
      <w:r w:rsidRPr="00CD4D4A">
        <w:rPr>
          <w:rFonts w:ascii="Times New Roman" w:hAnsi="Times New Roman"/>
          <w:color w:val="333333"/>
          <w:kern w:val="0"/>
          <w:sz w:val="18"/>
          <w:szCs w:val="18"/>
        </w:rPr>
        <w:t>7.0%</w:t>
      </w:r>
      <w:r w:rsidRPr="00CD4D4A">
        <w:rPr>
          <w:rFonts w:ascii="Times New Roman" w:hAnsi="宋体" w:hint="eastAsia"/>
          <w:color w:val="333333"/>
          <w:kern w:val="0"/>
          <w:sz w:val="18"/>
          <w:szCs w:val="18"/>
        </w:rPr>
        <w:t>，电力、热力、燃气及水生产和供应业增长</w:t>
      </w:r>
      <w:r w:rsidRPr="00CD4D4A">
        <w:rPr>
          <w:rFonts w:ascii="Times New Roman" w:hAnsi="Times New Roman"/>
          <w:color w:val="333333"/>
          <w:kern w:val="0"/>
          <w:sz w:val="18"/>
          <w:szCs w:val="18"/>
        </w:rPr>
        <w:t>1.4%</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5" o:spid="_x0000_i1034" type="#_x0000_t75" alt="http://www.stats.gov.cn/tjsj/zxfb/201602/W020160229379124325870_r75.gif" style="width:396.75pt;height:226.5pt;visibility:visible">
            <v:imagedata r:id="rId13"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全年规模以上工业中，农副食品加工业增加值比上年增长</w:t>
      </w:r>
      <w:r w:rsidRPr="00CD4D4A">
        <w:rPr>
          <w:rFonts w:ascii="Times New Roman" w:hAnsi="Times New Roman"/>
          <w:color w:val="333333"/>
          <w:kern w:val="0"/>
          <w:sz w:val="18"/>
          <w:szCs w:val="18"/>
        </w:rPr>
        <w:t>5.5%</w:t>
      </w:r>
      <w:r w:rsidRPr="00CD4D4A">
        <w:rPr>
          <w:rFonts w:ascii="Times New Roman" w:hAnsi="宋体" w:hint="eastAsia"/>
          <w:color w:val="333333"/>
          <w:kern w:val="0"/>
          <w:sz w:val="18"/>
          <w:szCs w:val="18"/>
        </w:rPr>
        <w:t>，纺织业增长</w:t>
      </w:r>
      <w:r w:rsidRPr="00CD4D4A">
        <w:rPr>
          <w:rFonts w:ascii="Times New Roman" w:hAnsi="Times New Roman"/>
          <w:color w:val="333333"/>
          <w:kern w:val="0"/>
          <w:sz w:val="18"/>
          <w:szCs w:val="18"/>
        </w:rPr>
        <w:t>7.0%</w:t>
      </w:r>
      <w:r w:rsidRPr="00CD4D4A">
        <w:rPr>
          <w:rFonts w:ascii="Times New Roman" w:hAnsi="宋体" w:hint="eastAsia"/>
          <w:color w:val="333333"/>
          <w:kern w:val="0"/>
          <w:sz w:val="18"/>
          <w:szCs w:val="18"/>
        </w:rPr>
        <w:t>，化学原料和化学制品制造业增长</w:t>
      </w:r>
      <w:r w:rsidRPr="00CD4D4A">
        <w:rPr>
          <w:rFonts w:ascii="Times New Roman" w:hAnsi="Times New Roman"/>
          <w:color w:val="333333"/>
          <w:kern w:val="0"/>
          <w:sz w:val="18"/>
          <w:szCs w:val="18"/>
        </w:rPr>
        <w:t>9.5%</w:t>
      </w:r>
      <w:r w:rsidRPr="00CD4D4A">
        <w:rPr>
          <w:rFonts w:ascii="Times New Roman" w:hAnsi="宋体" w:hint="eastAsia"/>
          <w:color w:val="333333"/>
          <w:kern w:val="0"/>
          <w:sz w:val="18"/>
          <w:szCs w:val="18"/>
        </w:rPr>
        <w:t>，非金属矿物制品业增长</w:t>
      </w:r>
      <w:r w:rsidRPr="00CD4D4A">
        <w:rPr>
          <w:rFonts w:ascii="Times New Roman" w:hAnsi="Times New Roman"/>
          <w:color w:val="333333"/>
          <w:kern w:val="0"/>
          <w:sz w:val="18"/>
          <w:szCs w:val="18"/>
        </w:rPr>
        <w:t>6.5%</w:t>
      </w:r>
      <w:r w:rsidRPr="00CD4D4A">
        <w:rPr>
          <w:rFonts w:ascii="Times New Roman" w:hAnsi="宋体" w:hint="eastAsia"/>
          <w:color w:val="333333"/>
          <w:kern w:val="0"/>
          <w:sz w:val="18"/>
          <w:szCs w:val="18"/>
        </w:rPr>
        <w:t>，黑色金属冶炼和压延加工业增长</w:t>
      </w:r>
      <w:r w:rsidRPr="00CD4D4A">
        <w:rPr>
          <w:rFonts w:ascii="Times New Roman" w:hAnsi="Times New Roman"/>
          <w:color w:val="333333"/>
          <w:kern w:val="0"/>
          <w:sz w:val="18"/>
          <w:szCs w:val="18"/>
        </w:rPr>
        <w:t>5.4%</w:t>
      </w:r>
      <w:r w:rsidRPr="00CD4D4A">
        <w:rPr>
          <w:rFonts w:ascii="Times New Roman" w:hAnsi="宋体" w:hint="eastAsia"/>
          <w:color w:val="333333"/>
          <w:kern w:val="0"/>
          <w:sz w:val="18"/>
          <w:szCs w:val="18"/>
        </w:rPr>
        <w:t>，通用设备制造业增长</w:t>
      </w:r>
      <w:r w:rsidRPr="00CD4D4A">
        <w:rPr>
          <w:rFonts w:ascii="Times New Roman" w:hAnsi="Times New Roman"/>
          <w:color w:val="333333"/>
          <w:kern w:val="0"/>
          <w:sz w:val="18"/>
          <w:szCs w:val="18"/>
        </w:rPr>
        <w:t>2.9%</w:t>
      </w:r>
      <w:r w:rsidRPr="00CD4D4A">
        <w:rPr>
          <w:rFonts w:ascii="Times New Roman" w:hAnsi="宋体" w:hint="eastAsia"/>
          <w:color w:val="333333"/>
          <w:kern w:val="0"/>
          <w:sz w:val="18"/>
          <w:szCs w:val="18"/>
        </w:rPr>
        <w:t>，专用设备制造业增长</w:t>
      </w:r>
      <w:r w:rsidRPr="00CD4D4A">
        <w:rPr>
          <w:rFonts w:ascii="Times New Roman" w:hAnsi="Times New Roman"/>
          <w:color w:val="333333"/>
          <w:kern w:val="0"/>
          <w:sz w:val="18"/>
          <w:szCs w:val="18"/>
        </w:rPr>
        <w:t>3.4%</w:t>
      </w:r>
      <w:r w:rsidRPr="00CD4D4A">
        <w:rPr>
          <w:rFonts w:ascii="Times New Roman" w:hAnsi="宋体" w:hint="eastAsia"/>
          <w:color w:val="333333"/>
          <w:kern w:val="0"/>
          <w:sz w:val="18"/>
          <w:szCs w:val="18"/>
        </w:rPr>
        <w:t>，汽车制造业增长</w:t>
      </w:r>
      <w:r w:rsidRPr="00CD4D4A">
        <w:rPr>
          <w:rFonts w:ascii="Times New Roman" w:hAnsi="Times New Roman"/>
          <w:color w:val="333333"/>
          <w:kern w:val="0"/>
          <w:sz w:val="18"/>
          <w:szCs w:val="18"/>
        </w:rPr>
        <w:t>6.7%</w:t>
      </w:r>
      <w:r w:rsidRPr="00CD4D4A">
        <w:rPr>
          <w:rFonts w:ascii="Times New Roman" w:hAnsi="宋体" w:hint="eastAsia"/>
          <w:color w:val="333333"/>
          <w:kern w:val="0"/>
          <w:sz w:val="18"/>
          <w:szCs w:val="18"/>
        </w:rPr>
        <w:t>，电气机械和器材制造业增长</w:t>
      </w:r>
      <w:r w:rsidRPr="00CD4D4A">
        <w:rPr>
          <w:rFonts w:ascii="Times New Roman" w:hAnsi="Times New Roman"/>
          <w:color w:val="333333"/>
          <w:kern w:val="0"/>
          <w:sz w:val="18"/>
          <w:szCs w:val="18"/>
        </w:rPr>
        <w:t>7.3%</w:t>
      </w:r>
      <w:r w:rsidRPr="00CD4D4A">
        <w:rPr>
          <w:rFonts w:ascii="Times New Roman" w:hAnsi="宋体" w:hint="eastAsia"/>
          <w:color w:val="333333"/>
          <w:kern w:val="0"/>
          <w:sz w:val="18"/>
          <w:szCs w:val="18"/>
        </w:rPr>
        <w:t>，计算机、通信和其他电子设备制造业增长</w:t>
      </w:r>
      <w:r w:rsidRPr="00CD4D4A">
        <w:rPr>
          <w:rFonts w:ascii="Times New Roman" w:hAnsi="Times New Roman"/>
          <w:color w:val="333333"/>
          <w:kern w:val="0"/>
          <w:sz w:val="18"/>
          <w:szCs w:val="18"/>
        </w:rPr>
        <w:t>10.5%</w:t>
      </w:r>
      <w:r w:rsidRPr="00CD4D4A">
        <w:rPr>
          <w:rFonts w:ascii="Times New Roman" w:hAnsi="宋体" w:hint="eastAsia"/>
          <w:color w:val="333333"/>
          <w:kern w:val="0"/>
          <w:sz w:val="18"/>
          <w:szCs w:val="18"/>
        </w:rPr>
        <w:t>，电力、热力生产和供应业增长</w:t>
      </w:r>
      <w:r w:rsidRPr="00CD4D4A">
        <w:rPr>
          <w:rFonts w:ascii="Times New Roman" w:hAnsi="Times New Roman"/>
          <w:color w:val="333333"/>
          <w:kern w:val="0"/>
          <w:sz w:val="18"/>
          <w:szCs w:val="18"/>
        </w:rPr>
        <w:t>0.5%</w:t>
      </w:r>
      <w:r w:rsidRPr="00CD4D4A">
        <w:rPr>
          <w:rFonts w:ascii="Times New Roman" w:hAnsi="宋体" w:hint="eastAsia"/>
          <w:color w:val="333333"/>
          <w:kern w:val="0"/>
          <w:sz w:val="18"/>
          <w:szCs w:val="18"/>
        </w:rPr>
        <w:t>。六大高耗能行业</w:t>
      </w:r>
      <w:r w:rsidRPr="00CD4D4A">
        <w:rPr>
          <w:rFonts w:ascii="Times New Roman" w:hAnsi="Times New Roman"/>
          <w:color w:val="333333"/>
          <w:kern w:val="0"/>
          <w:sz w:val="18"/>
          <w:szCs w:val="18"/>
          <w:vertAlign w:val="superscript"/>
        </w:rPr>
        <w:t>[12]</w:t>
      </w:r>
      <w:r w:rsidRPr="00CD4D4A">
        <w:rPr>
          <w:rFonts w:ascii="Times New Roman" w:hAnsi="宋体" w:hint="eastAsia"/>
          <w:color w:val="333333"/>
          <w:kern w:val="0"/>
          <w:sz w:val="18"/>
          <w:szCs w:val="18"/>
        </w:rPr>
        <w:t>增加值比上年增长</w:t>
      </w:r>
      <w:r w:rsidRPr="00CD4D4A">
        <w:rPr>
          <w:rFonts w:ascii="Times New Roman" w:hAnsi="Times New Roman"/>
          <w:color w:val="333333"/>
          <w:kern w:val="0"/>
          <w:sz w:val="18"/>
          <w:szCs w:val="18"/>
        </w:rPr>
        <w:t>6.3%</w:t>
      </w:r>
      <w:r w:rsidRPr="00CD4D4A">
        <w:rPr>
          <w:rFonts w:ascii="Times New Roman" w:hAnsi="宋体" w:hint="eastAsia"/>
          <w:color w:val="333333"/>
          <w:kern w:val="0"/>
          <w:sz w:val="18"/>
          <w:szCs w:val="18"/>
        </w:rPr>
        <w:t>，占规模以上工业增加值的比重为</w:t>
      </w:r>
      <w:r w:rsidRPr="00CD4D4A">
        <w:rPr>
          <w:rFonts w:ascii="Times New Roman" w:hAnsi="Times New Roman"/>
          <w:color w:val="333333"/>
          <w:kern w:val="0"/>
          <w:sz w:val="18"/>
          <w:szCs w:val="18"/>
        </w:rPr>
        <w:t>27.8%</w:t>
      </w:r>
      <w:r w:rsidRPr="00CD4D4A">
        <w:rPr>
          <w:rFonts w:ascii="Times New Roman" w:hAnsi="宋体" w:hint="eastAsia"/>
          <w:color w:val="333333"/>
          <w:kern w:val="0"/>
          <w:sz w:val="18"/>
          <w:szCs w:val="18"/>
        </w:rPr>
        <w:t>。高技术制造业</w:t>
      </w:r>
      <w:r w:rsidRPr="00CD4D4A">
        <w:rPr>
          <w:rFonts w:ascii="Times New Roman" w:hAnsi="Times New Roman"/>
          <w:color w:val="333333"/>
          <w:kern w:val="0"/>
          <w:sz w:val="18"/>
          <w:szCs w:val="18"/>
          <w:vertAlign w:val="superscript"/>
        </w:rPr>
        <w:t>[13]</w:t>
      </w:r>
      <w:r w:rsidRPr="00CD4D4A">
        <w:rPr>
          <w:rFonts w:ascii="Times New Roman" w:hAnsi="宋体" w:hint="eastAsia"/>
          <w:color w:val="333333"/>
          <w:kern w:val="0"/>
          <w:sz w:val="18"/>
          <w:szCs w:val="18"/>
        </w:rPr>
        <w:t>增加值增长</w:t>
      </w:r>
      <w:r w:rsidRPr="00CD4D4A">
        <w:rPr>
          <w:rFonts w:ascii="Times New Roman" w:hAnsi="Times New Roman"/>
          <w:color w:val="333333"/>
          <w:kern w:val="0"/>
          <w:sz w:val="18"/>
          <w:szCs w:val="18"/>
        </w:rPr>
        <w:t>10.2%</w:t>
      </w:r>
      <w:r w:rsidRPr="00CD4D4A">
        <w:rPr>
          <w:rFonts w:ascii="Times New Roman" w:hAnsi="宋体" w:hint="eastAsia"/>
          <w:color w:val="333333"/>
          <w:kern w:val="0"/>
          <w:sz w:val="18"/>
          <w:szCs w:val="18"/>
        </w:rPr>
        <w:t>，占规模以上工业增加值的比重为</w:t>
      </w:r>
      <w:r w:rsidRPr="00CD4D4A">
        <w:rPr>
          <w:rFonts w:ascii="Times New Roman" w:hAnsi="Times New Roman"/>
          <w:color w:val="333333"/>
          <w:kern w:val="0"/>
          <w:sz w:val="18"/>
          <w:szCs w:val="18"/>
        </w:rPr>
        <w:t>11.8%</w:t>
      </w:r>
      <w:r w:rsidRPr="00CD4D4A">
        <w:rPr>
          <w:rFonts w:ascii="Times New Roman" w:hAnsi="宋体" w:hint="eastAsia"/>
          <w:color w:val="333333"/>
          <w:kern w:val="0"/>
          <w:sz w:val="18"/>
          <w:szCs w:val="18"/>
        </w:rPr>
        <w:t>。装备制造业</w:t>
      </w:r>
      <w:r w:rsidRPr="00CD4D4A">
        <w:rPr>
          <w:rFonts w:ascii="Times New Roman" w:hAnsi="Times New Roman"/>
          <w:color w:val="333333"/>
          <w:kern w:val="0"/>
          <w:sz w:val="18"/>
          <w:szCs w:val="18"/>
          <w:vertAlign w:val="superscript"/>
        </w:rPr>
        <w:t>[14]</w:t>
      </w:r>
      <w:r w:rsidRPr="00CD4D4A">
        <w:rPr>
          <w:rFonts w:ascii="Times New Roman" w:hAnsi="宋体" w:hint="eastAsia"/>
          <w:color w:val="333333"/>
          <w:kern w:val="0"/>
          <w:sz w:val="18"/>
          <w:szCs w:val="18"/>
        </w:rPr>
        <w:t>增加值增长</w:t>
      </w:r>
      <w:r w:rsidRPr="00CD4D4A">
        <w:rPr>
          <w:rFonts w:ascii="Times New Roman" w:hAnsi="Times New Roman"/>
          <w:color w:val="333333"/>
          <w:kern w:val="0"/>
          <w:sz w:val="18"/>
          <w:szCs w:val="18"/>
        </w:rPr>
        <w:t>6.8%</w:t>
      </w:r>
      <w:r w:rsidRPr="00CD4D4A">
        <w:rPr>
          <w:rFonts w:ascii="Times New Roman" w:hAnsi="宋体" w:hint="eastAsia"/>
          <w:color w:val="333333"/>
          <w:kern w:val="0"/>
          <w:sz w:val="18"/>
          <w:szCs w:val="18"/>
        </w:rPr>
        <w:t>，占规模以上工业增加值的比重为</w:t>
      </w:r>
      <w:r w:rsidRPr="00CD4D4A">
        <w:rPr>
          <w:rFonts w:ascii="Times New Roman" w:hAnsi="Times New Roman"/>
          <w:color w:val="333333"/>
          <w:kern w:val="0"/>
          <w:sz w:val="18"/>
          <w:szCs w:val="18"/>
        </w:rPr>
        <w:t>31.8%</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3390"/>
        <w:gridCol w:w="1430"/>
        <w:gridCol w:w="1701"/>
        <w:gridCol w:w="1785"/>
      </w:tblGrid>
      <w:tr w:rsidR="009271D0" w:rsidRPr="00CD4D4A" w:rsidTr="00741F7B">
        <w:trPr>
          <w:trHeight w:val="567"/>
          <w:jc w:val="center"/>
        </w:trPr>
        <w:tc>
          <w:tcPr>
            <w:tcW w:w="8306" w:type="dxa"/>
            <w:gridSpan w:val="4"/>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3  2015</w:t>
            </w:r>
            <w:r w:rsidRPr="00CD4D4A">
              <w:rPr>
                <w:rFonts w:ascii="Times New Roman" w:hAnsi="宋体" w:hint="eastAsia"/>
                <w:b/>
                <w:bCs/>
                <w:snapToGrid w:val="0"/>
                <w:color w:val="333333"/>
                <w:kern w:val="0"/>
                <w:sz w:val="18"/>
                <w:szCs w:val="18"/>
                <w:bdr w:val="none" w:sz="0" w:space="0" w:color="auto" w:frame="1"/>
              </w:rPr>
              <w:t>年主要工业产品产量及其增长速度</w:t>
            </w:r>
          </w:p>
        </w:tc>
      </w:tr>
      <w:tr w:rsidR="009271D0" w:rsidRPr="00CD4D4A" w:rsidTr="00741F7B">
        <w:trPr>
          <w:trHeight w:val="567"/>
          <w:jc w:val="center"/>
        </w:trPr>
        <w:tc>
          <w:tcPr>
            <w:tcW w:w="3390"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产品名称</w:t>
            </w:r>
          </w:p>
        </w:tc>
        <w:tc>
          <w:tcPr>
            <w:tcW w:w="1430"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单　位</w:t>
            </w:r>
          </w:p>
        </w:tc>
        <w:tc>
          <w:tcPr>
            <w:tcW w:w="1701"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产　量</w:t>
            </w:r>
          </w:p>
        </w:tc>
        <w:tc>
          <w:tcPr>
            <w:tcW w:w="1785"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r>
      <w:tr w:rsidR="009271D0" w:rsidRPr="00CD4D4A" w:rsidTr="00741F7B">
        <w:trPr>
          <w:trHeight w:val="283"/>
          <w:jc w:val="center"/>
        </w:trPr>
        <w:tc>
          <w:tcPr>
            <w:tcW w:w="3390" w:type="dxa"/>
            <w:tcBorders>
              <w:top w:val="single" w:sz="4" w:space="0" w:color="000000"/>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纱</w:t>
            </w:r>
          </w:p>
        </w:tc>
        <w:tc>
          <w:tcPr>
            <w:tcW w:w="1430"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3538.0 </w:t>
            </w:r>
          </w:p>
        </w:tc>
        <w:tc>
          <w:tcPr>
            <w:tcW w:w="1785"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4.7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布</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亿米</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892.6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-0.1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化学纤维</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4831.7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10.1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成品糖</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1474.1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-10.3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卷烟</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亿支</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25890.7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-0.8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彩色电视机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14475.7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2.5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其中：液晶电视机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14391.9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leftChars="27" w:left="31680" w:right="57" w:firstLineChars="225"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其中：智能电视</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8383.5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14.9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家用电冰箱</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7992.8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-9.1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房间空气调节器</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14200.4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一次能源生产总量</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亿吨标准煤</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36.2</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0.0</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原煤</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37.5</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原油</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21455.6</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天然气</w:t>
            </w:r>
            <w:r w:rsidRPr="00CD4D4A">
              <w:rPr>
                <w:rFonts w:ascii="Times New Roman" w:hAnsi="Times New Roman"/>
                <w:snapToGrid w:val="0"/>
                <w:color w:val="333333"/>
                <w:kern w:val="0"/>
                <w:sz w:val="18"/>
                <w:szCs w:val="18"/>
              </w:rPr>
              <w:t>[15]</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亿立方米</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1346.1</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3.4</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发电量</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亿千瓦小时</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58105.8</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0.3</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CD4D4A">
            <w:pPr>
              <w:widowControl/>
              <w:ind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其中：火电</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亿千瓦小时</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42420.4</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CD4D4A">
            <w:pPr>
              <w:widowControl/>
              <w:ind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水电</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亿千瓦小时</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11264.2</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5.0</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CD4D4A">
            <w:pPr>
              <w:widowControl/>
              <w:ind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核电</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亿千瓦小时</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1707.9</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28.9</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粗钢</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80382.5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-2.2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钢材</w:t>
            </w:r>
            <w:r w:rsidRPr="00CD4D4A">
              <w:rPr>
                <w:rFonts w:ascii="Times New Roman" w:hAnsi="Times New Roman"/>
                <w:snapToGrid w:val="0"/>
                <w:color w:val="333333"/>
                <w:kern w:val="0"/>
                <w:sz w:val="18"/>
                <w:szCs w:val="18"/>
              </w:rPr>
              <w:t>[16]</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112349.6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-0.1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十种有色金属</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5155.8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6.8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其中：精炼铜（电解铜）</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796.2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4.2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4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原铝（电解铝）</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3141.0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水泥</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23.6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-5.3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硫酸（折</w:t>
            </w:r>
            <w:r w:rsidRPr="00CD4D4A">
              <w:rPr>
                <w:rFonts w:ascii="Times New Roman" w:hAnsi="Times New Roman"/>
                <w:snapToGrid w:val="0"/>
                <w:color w:val="333333"/>
                <w:kern w:val="0"/>
                <w:sz w:val="18"/>
                <w:szCs w:val="18"/>
              </w:rPr>
              <w:t>100%</w:t>
            </w:r>
            <w:r w:rsidRPr="00CD4D4A">
              <w:rPr>
                <w:rFonts w:ascii="Times New Roman" w:hAnsi="宋体" w:hint="eastAsia"/>
                <w:snapToGrid w:val="0"/>
                <w:color w:val="333333"/>
                <w:kern w:val="0"/>
                <w:sz w:val="18"/>
                <w:szCs w:val="18"/>
              </w:rPr>
              <w:t>）</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8975.7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0.8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烧碱（折</w:t>
            </w:r>
            <w:r w:rsidRPr="00CD4D4A">
              <w:rPr>
                <w:rFonts w:ascii="Times New Roman" w:hAnsi="Times New Roman"/>
                <w:snapToGrid w:val="0"/>
                <w:color w:val="333333"/>
                <w:kern w:val="0"/>
                <w:sz w:val="18"/>
                <w:szCs w:val="18"/>
              </w:rPr>
              <w:t>100%</w:t>
            </w:r>
            <w:r w:rsidRPr="00CD4D4A">
              <w:rPr>
                <w:rFonts w:ascii="Times New Roman" w:hAnsi="宋体" w:hint="eastAsia"/>
                <w:snapToGrid w:val="0"/>
                <w:color w:val="333333"/>
                <w:kern w:val="0"/>
                <w:sz w:val="18"/>
                <w:szCs w:val="18"/>
              </w:rPr>
              <w:t>）</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3020.7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-1.4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乙烯</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1714.6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化肥（折</w:t>
            </w:r>
            <w:r w:rsidRPr="00CD4D4A">
              <w:rPr>
                <w:rFonts w:ascii="Times New Roman" w:hAnsi="Times New Roman"/>
                <w:snapToGrid w:val="0"/>
                <w:color w:val="333333"/>
                <w:kern w:val="0"/>
                <w:sz w:val="18"/>
                <w:szCs w:val="18"/>
              </w:rPr>
              <w:t>100%</w:t>
            </w:r>
            <w:r w:rsidRPr="00CD4D4A">
              <w:rPr>
                <w:rFonts w:ascii="Times New Roman" w:hAnsi="宋体" w:hint="eastAsia"/>
                <w:snapToGrid w:val="0"/>
                <w:color w:val="333333"/>
                <w:kern w:val="0"/>
                <w:sz w:val="18"/>
                <w:szCs w:val="18"/>
              </w:rPr>
              <w:t>）</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7432.0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8.1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发电机组（发电设备）</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万千瓦</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12431.4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-17.4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汽车</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万辆</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2450.4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3.3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其中：基本型乘用车（轿车）</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万辆</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1163.0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-6.8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leftChars="27" w:left="31680" w:right="57" w:firstLineChars="40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运动型多用途乘用车（</w:t>
            </w:r>
            <w:r w:rsidRPr="00CD4D4A">
              <w:rPr>
                <w:rFonts w:ascii="Times New Roman" w:hAnsi="Times New Roman"/>
                <w:snapToGrid w:val="0"/>
                <w:color w:val="333333"/>
                <w:kern w:val="0"/>
                <w:sz w:val="18"/>
                <w:szCs w:val="18"/>
              </w:rPr>
              <w:t>SUV</w:t>
            </w:r>
            <w:r w:rsidRPr="00CD4D4A">
              <w:rPr>
                <w:rFonts w:ascii="Times New Roman" w:hAnsi="宋体" w:hint="eastAsia"/>
                <w:snapToGrid w:val="0"/>
                <w:color w:val="333333"/>
                <w:kern w:val="0"/>
                <w:sz w:val="18"/>
                <w:szCs w:val="18"/>
              </w:rPr>
              <w:t>）</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万辆</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602.4</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48.0</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其中：新能源汽车</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万辆</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32.8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161.2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大中型拖拉机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68.8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6.9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集成电路</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亿块</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1087.2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7.1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程控交换机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万线</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1880.3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-12.5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移动通信手持机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181261.4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7.8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其中：智能手机</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139943.1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11.3 </w:t>
            </w:r>
          </w:p>
        </w:tc>
      </w:tr>
      <w:tr w:rsidR="009271D0" w:rsidRPr="00CD4D4A" w:rsidTr="00741F7B">
        <w:trPr>
          <w:trHeight w:val="283"/>
          <w:jc w:val="center"/>
        </w:trPr>
        <w:tc>
          <w:tcPr>
            <w:tcW w:w="3390"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微型计算机设备</w:t>
            </w:r>
          </w:p>
        </w:tc>
        <w:tc>
          <w:tcPr>
            <w:tcW w:w="1430"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万台</w:t>
            </w:r>
          </w:p>
        </w:tc>
        <w:tc>
          <w:tcPr>
            <w:tcW w:w="1701"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31418.7 </w:t>
            </w:r>
          </w:p>
        </w:tc>
        <w:tc>
          <w:tcPr>
            <w:tcW w:w="1785" w:type="dxa"/>
            <w:tcBorders>
              <w:top w:val="nil"/>
              <w:left w:val="single" w:sz="4" w:space="0" w:color="000000"/>
              <w:bottom w:val="nil"/>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-10.4 </w:t>
            </w:r>
          </w:p>
        </w:tc>
      </w:tr>
      <w:tr w:rsidR="009271D0" w:rsidRPr="00CD4D4A" w:rsidTr="00741F7B">
        <w:trPr>
          <w:trHeight w:val="283"/>
          <w:jc w:val="center"/>
        </w:trPr>
        <w:tc>
          <w:tcPr>
            <w:tcW w:w="3390"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工业机器人</w:t>
            </w:r>
          </w:p>
        </w:tc>
        <w:tc>
          <w:tcPr>
            <w:tcW w:w="1430"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台（套）</w:t>
            </w:r>
          </w:p>
        </w:tc>
        <w:tc>
          <w:tcPr>
            <w:tcW w:w="1701"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32996.0 </w:t>
            </w:r>
          </w:p>
        </w:tc>
        <w:tc>
          <w:tcPr>
            <w:tcW w:w="1785"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 xml:space="preserve">21.7 </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年末全国发电装机容量</w:t>
      </w:r>
      <w:r w:rsidRPr="00CD4D4A">
        <w:rPr>
          <w:rFonts w:ascii="Times New Roman" w:hAnsi="Times New Roman"/>
          <w:color w:val="333333"/>
          <w:kern w:val="0"/>
          <w:sz w:val="18"/>
          <w:szCs w:val="18"/>
        </w:rPr>
        <w:t>150828</w:t>
      </w:r>
      <w:r w:rsidRPr="00CD4D4A">
        <w:rPr>
          <w:rFonts w:ascii="Times New Roman" w:hAnsi="宋体" w:hint="eastAsia"/>
          <w:color w:val="333333"/>
          <w:kern w:val="0"/>
          <w:sz w:val="18"/>
          <w:szCs w:val="18"/>
        </w:rPr>
        <w:t>万千瓦，比上年末增长</w:t>
      </w:r>
      <w:r w:rsidRPr="00CD4D4A">
        <w:rPr>
          <w:rFonts w:ascii="Times New Roman" w:hAnsi="Times New Roman"/>
          <w:color w:val="333333"/>
          <w:kern w:val="0"/>
          <w:sz w:val="18"/>
          <w:szCs w:val="18"/>
        </w:rPr>
        <w:t>10.5%</w:t>
      </w:r>
      <w:r w:rsidRPr="00CD4D4A">
        <w:rPr>
          <w:rFonts w:ascii="Times New Roman" w:hAnsi="宋体" w:hint="eastAsia"/>
          <w:color w:val="333333"/>
          <w:kern w:val="0"/>
          <w:sz w:val="18"/>
          <w:szCs w:val="18"/>
        </w:rPr>
        <w:t>。其中</w:t>
      </w:r>
      <w:r w:rsidRPr="00CD4D4A">
        <w:rPr>
          <w:rFonts w:ascii="Times New Roman" w:hAnsi="Times New Roman"/>
          <w:color w:val="333333"/>
          <w:kern w:val="0"/>
          <w:sz w:val="18"/>
          <w:szCs w:val="18"/>
          <w:vertAlign w:val="superscript"/>
        </w:rPr>
        <w:t>[17]</w:t>
      </w:r>
      <w:r w:rsidRPr="00CD4D4A">
        <w:rPr>
          <w:rFonts w:ascii="Times New Roman" w:hAnsi="宋体" w:hint="eastAsia"/>
          <w:color w:val="333333"/>
          <w:kern w:val="0"/>
          <w:sz w:val="18"/>
          <w:szCs w:val="18"/>
        </w:rPr>
        <w:t>，火电装机容量</w:t>
      </w:r>
      <w:r w:rsidRPr="00CD4D4A">
        <w:rPr>
          <w:rFonts w:ascii="Times New Roman" w:hAnsi="Times New Roman"/>
          <w:color w:val="333333"/>
          <w:kern w:val="0"/>
          <w:sz w:val="18"/>
          <w:szCs w:val="18"/>
        </w:rPr>
        <w:t>99021</w:t>
      </w:r>
      <w:r w:rsidRPr="00CD4D4A">
        <w:rPr>
          <w:rFonts w:ascii="Times New Roman" w:hAnsi="宋体" w:hint="eastAsia"/>
          <w:color w:val="333333"/>
          <w:kern w:val="0"/>
          <w:sz w:val="18"/>
          <w:szCs w:val="18"/>
        </w:rPr>
        <w:t>万千瓦，增长</w:t>
      </w:r>
      <w:r w:rsidRPr="00CD4D4A">
        <w:rPr>
          <w:rFonts w:ascii="Times New Roman" w:hAnsi="Times New Roman"/>
          <w:color w:val="333333"/>
          <w:kern w:val="0"/>
          <w:sz w:val="18"/>
          <w:szCs w:val="18"/>
        </w:rPr>
        <w:t>7.8%</w:t>
      </w:r>
      <w:r w:rsidRPr="00CD4D4A">
        <w:rPr>
          <w:rFonts w:ascii="Times New Roman" w:hAnsi="宋体" w:hint="eastAsia"/>
          <w:color w:val="333333"/>
          <w:kern w:val="0"/>
          <w:sz w:val="18"/>
          <w:szCs w:val="18"/>
        </w:rPr>
        <w:t>；水电装机容量</w:t>
      </w:r>
      <w:r w:rsidRPr="00CD4D4A">
        <w:rPr>
          <w:rFonts w:ascii="Times New Roman" w:hAnsi="Times New Roman"/>
          <w:color w:val="333333"/>
          <w:kern w:val="0"/>
          <w:sz w:val="18"/>
          <w:szCs w:val="18"/>
        </w:rPr>
        <w:t>31937</w:t>
      </w:r>
      <w:r w:rsidRPr="00CD4D4A">
        <w:rPr>
          <w:rFonts w:ascii="Times New Roman" w:hAnsi="宋体" w:hint="eastAsia"/>
          <w:color w:val="333333"/>
          <w:kern w:val="0"/>
          <w:sz w:val="18"/>
          <w:szCs w:val="18"/>
        </w:rPr>
        <w:t>万千瓦，增长</w:t>
      </w:r>
      <w:r w:rsidRPr="00CD4D4A">
        <w:rPr>
          <w:rFonts w:ascii="Times New Roman" w:hAnsi="Times New Roman"/>
          <w:color w:val="333333"/>
          <w:kern w:val="0"/>
          <w:sz w:val="18"/>
          <w:szCs w:val="18"/>
        </w:rPr>
        <w:t>4.9%</w:t>
      </w:r>
      <w:r w:rsidRPr="00CD4D4A">
        <w:rPr>
          <w:rFonts w:ascii="Times New Roman" w:hAnsi="宋体" w:hint="eastAsia"/>
          <w:color w:val="333333"/>
          <w:kern w:val="0"/>
          <w:sz w:val="18"/>
          <w:szCs w:val="18"/>
        </w:rPr>
        <w:t>；核电装机容量</w:t>
      </w:r>
      <w:r w:rsidRPr="00CD4D4A">
        <w:rPr>
          <w:rFonts w:ascii="Times New Roman" w:hAnsi="Times New Roman"/>
          <w:color w:val="333333"/>
          <w:kern w:val="0"/>
          <w:sz w:val="18"/>
          <w:szCs w:val="18"/>
        </w:rPr>
        <w:t>2608</w:t>
      </w:r>
      <w:r w:rsidRPr="00CD4D4A">
        <w:rPr>
          <w:rFonts w:ascii="Times New Roman" w:hAnsi="宋体" w:hint="eastAsia"/>
          <w:color w:val="333333"/>
          <w:kern w:val="0"/>
          <w:sz w:val="18"/>
          <w:szCs w:val="18"/>
        </w:rPr>
        <w:t>万千瓦，增长</w:t>
      </w:r>
      <w:r w:rsidRPr="00CD4D4A">
        <w:rPr>
          <w:rFonts w:ascii="Times New Roman" w:hAnsi="Times New Roman"/>
          <w:color w:val="333333"/>
          <w:kern w:val="0"/>
          <w:sz w:val="18"/>
          <w:szCs w:val="18"/>
        </w:rPr>
        <w:t>29.9%</w:t>
      </w:r>
      <w:r w:rsidRPr="00CD4D4A">
        <w:rPr>
          <w:rFonts w:ascii="Times New Roman" w:hAnsi="宋体" w:hint="eastAsia"/>
          <w:color w:val="333333"/>
          <w:kern w:val="0"/>
          <w:sz w:val="18"/>
          <w:szCs w:val="18"/>
        </w:rPr>
        <w:t>；并网风电装机容量</w:t>
      </w:r>
      <w:r w:rsidRPr="00CD4D4A">
        <w:rPr>
          <w:rFonts w:ascii="Times New Roman" w:hAnsi="Times New Roman"/>
          <w:color w:val="333333"/>
          <w:kern w:val="0"/>
          <w:sz w:val="18"/>
          <w:szCs w:val="18"/>
        </w:rPr>
        <w:t>12934</w:t>
      </w:r>
      <w:r w:rsidRPr="00CD4D4A">
        <w:rPr>
          <w:rFonts w:ascii="Times New Roman" w:hAnsi="宋体" w:hint="eastAsia"/>
          <w:color w:val="333333"/>
          <w:kern w:val="0"/>
          <w:sz w:val="18"/>
          <w:szCs w:val="18"/>
        </w:rPr>
        <w:t>万千瓦，增长</w:t>
      </w:r>
      <w:r w:rsidRPr="00CD4D4A">
        <w:rPr>
          <w:rFonts w:ascii="Times New Roman" w:hAnsi="Times New Roman"/>
          <w:color w:val="333333"/>
          <w:kern w:val="0"/>
          <w:sz w:val="18"/>
          <w:szCs w:val="18"/>
        </w:rPr>
        <w:t>33.5%</w:t>
      </w:r>
      <w:r w:rsidRPr="00CD4D4A">
        <w:rPr>
          <w:rFonts w:ascii="Times New Roman" w:hAnsi="宋体" w:hint="eastAsia"/>
          <w:color w:val="333333"/>
          <w:kern w:val="0"/>
          <w:sz w:val="18"/>
          <w:szCs w:val="18"/>
        </w:rPr>
        <w:t>；并网太阳能发电装机容量</w:t>
      </w:r>
      <w:r w:rsidRPr="00CD4D4A">
        <w:rPr>
          <w:rFonts w:ascii="Times New Roman" w:hAnsi="Times New Roman"/>
          <w:color w:val="333333"/>
          <w:kern w:val="0"/>
          <w:sz w:val="18"/>
          <w:szCs w:val="18"/>
        </w:rPr>
        <w:t>4318</w:t>
      </w:r>
      <w:r w:rsidRPr="00CD4D4A">
        <w:rPr>
          <w:rFonts w:ascii="Times New Roman" w:hAnsi="宋体" w:hint="eastAsia"/>
          <w:color w:val="333333"/>
          <w:kern w:val="0"/>
          <w:sz w:val="18"/>
          <w:szCs w:val="18"/>
        </w:rPr>
        <w:t>万千瓦，增长</w:t>
      </w:r>
      <w:r w:rsidRPr="00CD4D4A">
        <w:rPr>
          <w:rFonts w:ascii="Times New Roman" w:hAnsi="Times New Roman"/>
          <w:color w:val="333333"/>
          <w:kern w:val="0"/>
          <w:sz w:val="18"/>
          <w:szCs w:val="18"/>
        </w:rPr>
        <w:t>73.7%</w:t>
      </w:r>
      <w:r w:rsidRPr="00CD4D4A">
        <w:rPr>
          <w:rFonts w:ascii="Times New Roman" w:hAnsi="宋体"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全年规模以上工业企业实现利润</w:t>
      </w:r>
      <w:r w:rsidRPr="00CD4D4A">
        <w:rPr>
          <w:rFonts w:ascii="Times New Roman" w:hAnsi="Times New Roman"/>
          <w:color w:val="333333"/>
          <w:kern w:val="0"/>
          <w:sz w:val="18"/>
          <w:szCs w:val="18"/>
        </w:rPr>
        <w:t>63554</w:t>
      </w:r>
      <w:r w:rsidRPr="00CD4D4A">
        <w:rPr>
          <w:rFonts w:ascii="Times New Roman" w:hAnsi="宋体" w:hint="eastAsia"/>
          <w:color w:val="333333"/>
          <w:kern w:val="0"/>
          <w:sz w:val="18"/>
          <w:szCs w:val="18"/>
        </w:rPr>
        <w:t>亿元，比上年下降</w:t>
      </w:r>
      <w:r w:rsidRPr="00CD4D4A">
        <w:rPr>
          <w:rFonts w:ascii="Times New Roman" w:hAnsi="Times New Roman"/>
          <w:color w:val="333333"/>
          <w:kern w:val="0"/>
          <w:sz w:val="18"/>
          <w:szCs w:val="18"/>
        </w:rPr>
        <w:t>2.3%</w:t>
      </w:r>
      <w:r w:rsidRPr="00CD4D4A">
        <w:rPr>
          <w:rFonts w:ascii="Times New Roman" w:hAnsi="宋体" w:hint="eastAsia"/>
          <w:color w:val="333333"/>
          <w:kern w:val="0"/>
          <w:sz w:val="18"/>
          <w:szCs w:val="18"/>
        </w:rPr>
        <w:t>。分经济类型看，国有控股企业实现利润</w:t>
      </w:r>
      <w:r w:rsidRPr="00CD4D4A">
        <w:rPr>
          <w:rFonts w:ascii="Times New Roman" w:hAnsi="Times New Roman"/>
          <w:color w:val="333333"/>
          <w:kern w:val="0"/>
          <w:sz w:val="18"/>
          <w:szCs w:val="18"/>
        </w:rPr>
        <w:t>10944</w:t>
      </w:r>
      <w:r w:rsidRPr="00CD4D4A">
        <w:rPr>
          <w:rFonts w:ascii="Times New Roman" w:hAnsi="宋体" w:hint="eastAsia"/>
          <w:color w:val="333333"/>
          <w:kern w:val="0"/>
          <w:sz w:val="18"/>
          <w:szCs w:val="18"/>
        </w:rPr>
        <w:t>亿元，比上年下降</w:t>
      </w:r>
      <w:r w:rsidRPr="00CD4D4A">
        <w:rPr>
          <w:rFonts w:ascii="Times New Roman" w:hAnsi="Times New Roman"/>
          <w:color w:val="333333"/>
          <w:kern w:val="0"/>
          <w:sz w:val="18"/>
          <w:szCs w:val="18"/>
        </w:rPr>
        <w:t>21.9%</w:t>
      </w:r>
      <w:r w:rsidRPr="00CD4D4A">
        <w:rPr>
          <w:rFonts w:ascii="Times New Roman" w:hAnsi="宋体" w:hint="eastAsia"/>
          <w:color w:val="333333"/>
          <w:kern w:val="0"/>
          <w:sz w:val="18"/>
          <w:szCs w:val="18"/>
        </w:rPr>
        <w:t>；集体企业</w:t>
      </w:r>
      <w:r w:rsidRPr="00CD4D4A">
        <w:rPr>
          <w:rFonts w:ascii="Times New Roman" w:hAnsi="Times New Roman"/>
          <w:color w:val="333333"/>
          <w:kern w:val="0"/>
          <w:sz w:val="18"/>
          <w:szCs w:val="18"/>
        </w:rPr>
        <w:t>508</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2.7%</w:t>
      </w:r>
      <w:r w:rsidRPr="00CD4D4A">
        <w:rPr>
          <w:rFonts w:ascii="Times New Roman" w:hAnsi="宋体" w:hint="eastAsia"/>
          <w:color w:val="333333"/>
          <w:kern w:val="0"/>
          <w:sz w:val="18"/>
          <w:szCs w:val="18"/>
        </w:rPr>
        <w:t>，股份制企业</w:t>
      </w:r>
      <w:r w:rsidRPr="00CD4D4A">
        <w:rPr>
          <w:rFonts w:ascii="Times New Roman" w:hAnsi="Times New Roman"/>
          <w:color w:val="333333"/>
          <w:kern w:val="0"/>
          <w:sz w:val="18"/>
          <w:szCs w:val="18"/>
        </w:rPr>
        <w:t>42981</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1.7%</w:t>
      </w:r>
      <w:r w:rsidRPr="00CD4D4A">
        <w:rPr>
          <w:rFonts w:ascii="Times New Roman" w:hAnsi="宋体" w:hint="eastAsia"/>
          <w:color w:val="333333"/>
          <w:kern w:val="0"/>
          <w:sz w:val="18"/>
          <w:szCs w:val="18"/>
        </w:rPr>
        <w:t>，外商及港澳台商投资企业</w:t>
      </w:r>
      <w:r w:rsidRPr="00CD4D4A">
        <w:rPr>
          <w:rFonts w:ascii="Times New Roman" w:hAnsi="Times New Roman"/>
          <w:color w:val="333333"/>
          <w:kern w:val="0"/>
          <w:sz w:val="18"/>
          <w:szCs w:val="18"/>
        </w:rPr>
        <w:t>15726</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1.5%</w:t>
      </w:r>
      <w:r w:rsidRPr="00CD4D4A">
        <w:rPr>
          <w:rFonts w:ascii="Times New Roman" w:hAnsi="宋体" w:hint="eastAsia"/>
          <w:color w:val="333333"/>
          <w:kern w:val="0"/>
          <w:sz w:val="18"/>
          <w:szCs w:val="18"/>
        </w:rPr>
        <w:t>；私营企业</w:t>
      </w:r>
      <w:r w:rsidRPr="00CD4D4A">
        <w:rPr>
          <w:rFonts w:ascii="Times New Roman" w:hAnsi="Times New Roman"/>
          <w:color w:val="333333"/>
          <w:kern w:val="0"/>
          <w:sz w:val="18"/>
          <w:szCs w:val="18"/>
        </w:rPr>
        <w:t>23222</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3.7%</w:t>
      </w:r>
      <w:r w:rsidRPr="00CD4D4A">
        <w:rPr>
          <w:rFonts w:ascii="Times New Roman" w:hAnsi="宋体" w:hint="eastAsia"/>
          <w:color w:val="333333"/>
          <w:kern w:val="0"/>
          <w:sz w:val="18"/>
          <w:szCs w:val="18"/>
        </w:rPr>
        <w:t>。分门类看，采矿业实现利润</w:t>
      </w:r>
      <w:r w:rsidRPr="00CD4D4A">
        <w:rPr>
          <w:rFonts w:ascii="Times New Roman" w:hAnsi="Times New Roman"/>
          <w:color w:val="333333"/>
          <w:kern w:val="0"/>
          <w:sz w:val="18"/>
          <w:szCs w:val="18"/>
        </w:rPr>
        <w:t>2604</w:t>
      </w:r>
      <w:r w:rsidRPr="00CD4D4A">
        <w:rPr>
          <w:rFonts w:ascii="Times New Roman" w:hAnsi="宋体" w:hint="eastAsia"/>
          <w:color w:val="333333"/>
          <w:kern w:val="0"/>
          <w:sz w:val="18"/>
          <w:szCs w:val="18"/>
        </w:rPr>
        <w:t>亿元，比上年下降</w:t>
      </w:r>
      <w:r w:rsidRPr="00CD4D4A">
        <w:rPr>
          <w:rFonts w:ascii="Times New Roman" w:hAnsi="Times New Roman"/>
          <w:color w:val="333333"/>
          <w:kern w:val="0"/>
          <w:sz w:val="18"/>
          <w:szCs w:val="18"/>
        </w:rPr>
        <w:t>58.2%</w:t>
      </w:r>
      <w:r w:rsidRPr="00CD4D4A">
        <w:rPr>
          <w:rFonts w:ascii="Times New Roman" w:hAnsi="宋体" w:hint="eastAsia"/>
          <w:color w:val="333333"/>
          <w:kern w:val="0"/>
          <w:sz w:val="18"/>
          <w:szCs w:val="18"/>
        </w:rPr>
        <w:t>；制造业</w:t>
      </w:r>
      <w:r w:rsidRPr="00CD4D4A">
        <w:rPr>
          <w:rFonts w:ascii="Times New Roman" w:hAnsi="Times New Roman"/>
          <w:color w:val="333333"/>
          <w:kern w:val="0"/>
          <w:sz w:val="18"/>
          <w:szCs w:val="18"/>
        </w:rPr>
        <w:t>55609</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2.8%</w:t>
      </w:r>
      <w:r w:rsidRPr="00CD4D4A">
        <w:rPr>
          <w:rFonts w:ascii="Times New Roman" w:hAnsi="宋体" w:hint="eastAsia"/>
          <w:color w:val="333333"/>
          <w:kern w:val="0"/>
          <w:sz w:val="18"/>
          <w:szCs w:val="18"/>
        </w:rPr>
        <w:t>；电力、热力、燃气及水生产和供应业</w:t>
      </w:r>
      <w:r w:rsidRPr="00CD4D4A">
        <w:rPr>
          <w:rFonts w:ascii="Times New Roman" w:hAnsi="Times New Roman"/>
          <w:color w:val="333333"/>
          <w:kern w:val="0"/>
          <w:sz w:val="18"/>
          <w:szCs w:val="18"/>
        </w:rPr>
        <w:t>5341</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13.5%</w:t>
      </w:r>
      <w:r w:rsidRPr="00CD4D4A">
        <w:rPr>
          <w:rFonts w:ascii="Times New Roman" w:hAnsi="宋体"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全年全社会建筑业增加值</w:t>
      </w:r>
      <w:r w:rsidRPr="00CD4D4A">
        <w:rPr>
          <w:rFonts w:ascii="Times New Roman" w:hAnsi="Times New Roman"/>
          <w:color w:val="333333"/>
          <w:kern w:val="0"/>
          <w:sz w:val="18"/>
          <w:szCs w:val="18"/>
        </w:rPr>
        <w:t>46456</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6.8%</w:t>
      </w:r>
      <w:r w:rsidRPr="00CD4D4A">
        <w:rPr>
          <w:rFonts w:ascii="Times New Roman" w:hAnsi="宋体" w:hint="eastAsia"/>
          <w:color w:val="333333"/>
          <w:kern w:val="0"/>
          <w:sz w:val="18"/>
          <w:szCs w:val="18"/>
        </w:rPr>
        <w:t>。全国具有资质等级的总承包和专业承包建筑业企业实现利润</w:t>
      </w:r>
      <w:r w:rsidRPr="00CD4D4A">
        <w:rPr>
          <w:rFonts w:ascii="Times New Roman" w:hAnsi="Times New Roman"/>
          <w:color w:val="333333"/>
          <w:kern w:val="0"/>
          <w:sz w:val="18"/>
          <w:szCs w:val="18"/>
        </w:rPr>
        <w:t>6508</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1.6%</w:t>
      </w:r>
      <w:r w:rsidRPr="00CD4D4A">
        <w:rPr>
          <w:rFonts w:ascii="Times New Roman" w:hAnsi="宋体" w:hint="eastAsia"/>
          <w:color w:val="333333"/>
          <w:kern w:val="0"/>
          <w:sz w:val="18"/>
          <w:szCs w:val="18"/>
        </w:rPr>
        <w:t>，其中国有控股企业</w:t>
      </w:r>
      <w:r w:rsidRPr="00CD4D4A">
        <w:rPr>
          <w:rFonts w:ascii="Times New Roman" w:hAnsi="Times New Roman"/>
          <w:color w:val="333333"/>
          <w:kern w:val="0"/>
          <w:sz w:val="18"/>
          <w:szCs w:val="18"/>
        </w:rPr>
        <w:t>1676</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6.0%</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4" o:spid="_x0000_i1035" type="#_x0000_t75" alt="http://www.stats.gov.cn/tjsj/zxfb/201602/W020160229379124380725_r75.gif" style="width:396.75pt;height:226.5pt;visibility:visible">
            <v:imagedata r:id="rId14"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四、固定资产投资</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全年全社会固定资产投资</w:t>
      </w:r>
      <w:r w:rsidRPr="00CD4D4A">
        <w:rPr>
          <w:rFonts w:ascii="Times New Roman" w:hAnsi="Times New Roman"/>
          <w:color w:val="333333"/>
          <w:kern w:val="0"/>
          <w:sz w:val="18"/>
          <w:szCs w:val="18"/>
        </w:rPr>
        <w:t>562000</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9.8%</w:t>
      </w:r>
      <w:r w:rsidRPr="00CD4D4A">
        <w:rPr>
          <w:rFonts w:ascii="Times New Roman" w:hAnsi="宋体" w:hint="eastAsia"/>
          <w:color w:val="333333"/>
          <w:kern w:val="0"/>
          <w:sz w:val="18"/>
          <w:szCs w:val="18"/>
        </w:rPr>
        <w:t>，扣除价格因素，实际增长</w:t>
      </w:r>
      <w:r w:rsidRPr="00CD4D4A">
        <w:rPr>
          <w:rFonts w:ascii="Times New Roman" w:hAnsi="Times New Roman"/>
          <w:color w:val="333333"/>
          <w:kern w:val="0"/>
          <w:sz w:val="18"/>
          <w:szCs w:val="18"/>
        </w:rPr>
        <w:t>11.8%</w:t>
      </w:r>
      <w:r w:rsidRPr="00CD4D4A">
        <w:rPr>
          <w:rFonts w:ascii="Times New Roman" w:hAnsi="宋体" w:hint="eastAsia"/>
          <w:color w:val="333333"/>
          <w:kern w:val="0"/>
          <w:sz w:val="18"/>
          <w:szCs w:val="18"/>
        </w:rPr>
        <w:t>。其中，固定资产投资（不含农户）</w:t>
      </w:r>
      <w:r w:rsidRPr="00CD4D4A">
        <w:rPr>
          <w:rFonts w:ascii="Times New Roman" w:hAnsi="Times New Roman"/>
          <w:color w:val="333333"/>
          <w:kern w:val="0"/>
          <w:sz w:val="18"/>
          <w:szCs w:val="18"/>
        </w:rPr>
        <w:t>551590</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10.0%</w:t>
      </w:r>
      <w:r w:rsidRPr="00CD4D4A">
        <w:rPr>
          <w:rFonts w:ascii="Times New Roman" w:hAnsi="宋体" w:hint="eastAsia"/>
          <w:color w:val="333333"/>
          <w:kern w:val="0"/>
          <w:sz w:val="18"/>
          <w:szCs w:val="18"/>
        </w:rPr>
        <w:t>。分区域看</w:t>
      </w:r>
      <w:r w:rsidRPr="00CD4D4A">
        <w:rPr>
          <w:rFonts w:ascii="Times New Roman" w:hAnsi="Times New Roman"/>
          <w:color w:val="333333"/>
          <w:kern w:val="0"/>
          <w:sz w:val="18"/>
          <w:szCs w:val="18"/>
          <w:vertAlign w:val="superscript"/>
        </w:rPr>
        <w:t>[18]</w:t>
      </w:r>
      <w:r w:rsidRPr="00CD4D4A">
        <w:rPr>
          <w:rFonts w:ascii="Times New Roman" w:hAnsi="宋体" w:hint="eastAsia"/>
          <w:color w:val="333333"/>
          <w:kern w:val="0"/>
          <w:sz w:val="18"/>
          <w:szCs w:val="18"/>
        </w:rPr>
        <w:t>，东部地区投资</w:t>
      </w:r>
      <w:r w:rsidRPr="00CD4D4A">
        <w:rPr>
          <w:rFonts w:ascii="Times New Roman" w:hAnsi="Times New Roman"/>
          <w:color w:val="333333"/>
          <w:kern w:val="0"/>
          <w:sz w:val="18"/>
          <w:szCs w:val="18"/>
        </w:rPr>
        <w:t>232107</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12.4%</w:t>
      </w:r>
      <w:r w:rsidRPr="00CD4D4A">
        <w:rPr>
          <w:rFonts w:ascii="Times New Roman" w:hAnsi="宋体" w:hint="eastAsia"/>
          <w:color w:val="333333"/>
          <w:kern w:val="0"/>
          <w:sz w:val="18"/>
          <w:szCs w:val="18"/>
        </w:rPr>
        <w:t>；中部地区投资</w:t>
      </w:r>
      <w:r w:rsidRPr="00CD4D4A">
        <w:rPr>
          <w:rFonts w:ascii="Times New Roman" w:hAnsi="Times New Roman"/>
          <w:color w:val="333333"/>
          <w:kern w:val="0"/>
          <w:sz w:val="18"/>
          <w:szCs w:val="18"/>
        </w:rPr>
        <w:t>143118</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15.2%</w:t>
      </w:r>
      <w:r w:rsidRPr="00CD4D4A">
        <w:rPr>
          <w:rFonts w:ascii="Times New Roman" w:hAnsi="宋体" w:hint="eastAsia"/>
          <w:color w:val="333333"/>
          <w:kern w:val="0"/>
          <w:sz w:val="18"/>
          <w:szCs w:val="18"/>
        </w:rPr>
        <w:t>；西部地区投资</w:t>
      </w:r>
      <w:r w:rsidRPr="00CD4D4A">
        <w:rPr>
          <w:rFonts w:ascii="Times New Roman" w:hAnsi="Times New Roman"/>
          <w:color w:val="333333"/>
          <w:kern w:val="0"/>
          <w:sz w:val="18"/>
          <w:szCs w:val="18"/>
        </w:rPr>
        <w:t>140416</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8.7%</w:t>
      </w:r>
      <w:r w:rsidRPr="00CD4D4A">
        <w:rPr>
          <w:rFonts w:ascii="Times New Roman" w:hAnsi="宋体" w:hint="eastAsia"/>
          <w:color w:val="333333"/>
          <w:kern w:val="0"/>
          <w:sz w:val="18"/>
          <w:szCs w:val="18"/>
        </w:rPr>
        <w:t>；东北地区投资</w:t>
      </w:r>
      <w:r w:rsidRPr="00CD4D4A">
        <w:rPr>
          <w:rFonts w:ascii="Times New Roman" w:hAnsi="Times New Roman"/>
          <w:color w:val="333333"/>
          <w:kern w:val="0"/>
          <w:sz w:val="18"/>
          <w:szCs w:val="18"/>
        </w:rPr>
        <w:t>40806</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11.1%</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3" o:spid="_x0000_i1036" type="#_x0000_t75" alt="http://www.stats.gov.cn/tjsj/zxfb/201602/W020160229379124393957_r75.gif" style="width:396.75pt;height:226.5pt;visibility:visible">
            <v:imagedata r:id="rId15"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在固定资产投资（不含农户）中，第一产业投资</w:t>
      </w:r>
      <w:r w:rsidRPr="00CD4D4A">
        <w:rPr>
          <w:rFonts w:ascii="Times New Roman" w:hAnsi="Times New Roman"/>
          <w:color w:val="333333"/>
          <w:kern w:val="0"/>
          <w:sz w:val="18"/>
          <w:szCs w:val="18"/>
        </w:rPr>
        <w:t>15561</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31.8%</w:t>
      </w:r>
      <w:r w:rsidRPr="00CD4D4A">
        <w:rPr>
          <w:rFonts w:ascii="Times New Roman" w:hAnsi="宋体" w:hint="eastAsia"/>
          <w:color w:val="333333"/>
          <w:kern w:val="0"/>
          <w:sz w:val="18"/>
          <w:szCs w:val="18"/>
        </w:rPr>
        <w:t>；第二产业投资</w:t>
      </w:r>
      <w:r w:rsidRPr="00CD4D4A">
        <w:rPr>
          <w:rFonts w:ascii="Times New Roman" w:hAnsi="Times New Roman"/>
          <w:color w:val="333333"/>
          <w:kern w:val="0"/>
          <w:sz w:val="18"/>
          <w:szCs w:val="18"/>
        </w:rPr>
        <w:t>224090</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8.0%</w:t>
      </w:r>
      <w:r w:rsidRPr="00CD4D4A">
        <w:rPr>
          <w:rFonts w:ascii="Times New Roman" w:hAnsi="宋体" w:hint="eastAsia"/>
          <w:color w:val="333333"/>
          <w:kern w:val="0"/>
          <w:sz w:val="18"/>
          <w:szCs w:val="18"/>
        </w:rPr>
        <w:t>；第三产业投资</w:t>
      </w:r>
      <w:r w:rsidRPr="00CD4D4A">
        <w:rPr>
          <w:rFonts w:ascii="Times New Roman" w:hAnsi="Times New Roman"/>
          <w:color w:val="333333"/>
          <w:kern w:val="0"/>
          <w:sz w:val="18"/>
          <w:szCs w:val="18"/>
        </w:rPr>
        <w:t>311939</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10.6%</w:t>
      </w:r>
      <w:r w:rsidRPr="00CD4D4A">
        <w:rPr>
          <w:rFonts w:ascii="Times New Roman" w:hAnsi="宋体" w:hint="eastAsia"/>
          <w:color w:val="333333"/>
          <w:kern w:val="0"/>
          <w:sz w:val="18"/>
          <w:szCs w:val="18"/>
        </w:rPr>
        <w:t>。基础设施投资</w:t>
      </w:r>
      <w:r w:rsidRPr="00CD4D4A">
        <w:rPr>
          <w:rFonts w:ascii="Times New Roman" w:hAnsi="Times New Roman"/>
          <w:color w:val="333333"/>
          <w:kern w:val="0"/>
          <w:sz w:val="18"/>
          <w:szCs w:val="18"/>
          <w:vertAlign w:val="superscript"/>
        </w:rPr>
        <w:t>[19]</w:t>
      </w:r>
      <w:r w:rsidRPr="00CD4D4A">
        <w:rPr>
          <w:rFonts w:ascii="Times New Roman" w:hAnsi="Times New Roman"/>
          <w:color w:val="333333"/>
          <w:kern w:val="0"/>
          <w:sz w:val="18"/>
          <w:szCs w:val="18"/>
        </w:rPr>
        <w:t>101271</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17.2%</w:t>
      </w:r>
      <w:r w:rsidRPr="00CD4D4A">
        <w:rPr>
          <w:rFonts w:ascii="Times New Roman" w:hAnsi="宋体" w:hint="eastAsia"/>
          <w:color w:val="333333"/>
          <w:kern w:val="0"/>
          <w:sz w:val="18"/>
          <w:szCs w:val="18"/>
        </w:rPr>
        <w:t>，占固定资产投资（不含农户）的比重为</w:t>
      </w:r>
      <w:r w:rsidRPr="00CD4D4A">
        <w:rPr>
          <w:rFonts w:ascii="Times New Roman" w:hAnsi="Times New Roman"/>
          <w:color w:val="333333"/>
          <w:kern w:val="0"/>
          <w:sz w:val="18"/>
          <w:szCs w:val="18"/>
        </w:rPr>
        <w:t>18.4%</w:t>
      </w:r>
      <w:r w:rsidRPr="00CD4D4A">
        <w:rPr>
          <w:rFonts w:ascii="Times New Roman" w:hAnsi="宋体" w:hint="eastAsia"/>
          <w:color w:val="333333"/>
          <w:kern w:val="0"/>
          <w:sz w:val="18"/>
          <w:szCs w:val="18"/>
        </w:rPr>
        <w:t>。民间固定资产投资</w:t>
      </w:r>
      <w:r w:rsidRPr="00CD4D4A">
        <w:rPr>
          <w:rFonts w:ascii="Times New Roman" w:hAnsi="Times New Roman"/>
          <w:color w:val="333333"/>
          <w:kern w:val="0"/>
          <w:sz w:val="18"/>
          <w:szCs w:val="18"/>
          <w:vertAlign w:val="superscript"/>
        </w:rPr>
        <w:t>[20]</w:t>
      </w:r>
      <w:r w:rsidRPr="00CD4D4A">
        <w:rPr>
          <w:rFonts w:ascii="Times New Roman" w:hAnsi="Times New Roman"/>
          <w:color w:val="333333"/>
          <w:kern w:val="0"/>
          <w:sz w:val="18"/>
          <w:szCs w:val="18"/>
        </w:rPr>
        <w:t>354007</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10.1%</w:t>
      </w:r>
      <w:r w:rsidRPr="00CD4D4A">
        <w:rPr>
          <w:rFonts w:ascii="Times New Roman" w:hAnsi="宋体" w:hint="eastAsia"/>
          <w:color w:val="333333"/>
          <w:kern w:val="0"/>
          <w:sz w:val="18"/>
          <w:szCs w:val="18"/>
        </w:rPr>
        <w:t>，占固定资产投资（不含农户）的比重为</w:t>
      </w:r>
      <w:r w:rsidRPr="00CD4D4A">
        <w:rPr>
          <w:rFonts w:ascii="Times New Roman" w:hAnsi="Times New Roman"/>
          <w:color w:val="333333"/>
          <w:kern w:val="0"/>
          <w:sz w:val="18"/>
          <w:szCs w:val="18"/>
        </w:rPr>
        <w:t>64.2%</w:t>
      </w:r>
      <w:r w:rsidRPr="00CD4D4A">
        <w:rPr>
          <w:rFonts w:ascii="Times New Roman" w:hAnsi="宋体" w:hint="eastAsia"/>
          <w:color w:val="333333"/>
          <w:kern w:val="0"/>
          <w:sz w:val="18"/>
          <w:szCs w:val="18"/>
        </w:rPr>
        <w:t>。高技术产业投资</w:t>
      </w:r>
      <w:r w:rsidRPr="00CD4D4A">
        <w:rPr>
          <w:rFonts w:ascii="Times New Roman" w:hAnsi="Times New Roman"/>
          <w:color w:val="333333"/>
          <w:kern w:val="0"/>
          <w:sz w:val="18"/>
          <w:szCs w:val="18"/>
          <w:vertAlign w:val="superscript"/>
        </w:rPr>
        <w:t xml:space="preserve"> [21]</w:t>
      </w:r>
      <w:r w:rsidRPr="00CD4D4A">
        <w:rPr>
          <w:rFonts w:ascii="Times New Roman" w:hAnsi="Times New Roman"/>
          <w:color w:val="333333"/>
          <w:kern w:val="0"/>
          <w:sz w:val="18"/>
          <w:szCs w:val="18"/>
        </w:rPr>
        <w:t>32598</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17.0%</w:t>
      </w:r>
      <w:r w:rsidRPr="00CD4D4A">
        <w:rPr>
          <w:rFonts w:ascii="Times New Roman" w:hAnsi="宋体" w:hint="eastAsia"/>
          <w:color w:val="333333"/>
          <w:kern w:val="0"/>
          <w:sz w:val="18"/>
          <w:szCs w:val="18"/>
        </w:rPr>
        <w:t>，占固定资产投资（不含农户）的比重为</w:t>
      </w:r>
      <w:r w:rsidRPr="00CD4D4A">
        <w:rPr>
          <w:rFonts w:ascii="Times New Roman" w:hAnsi="Times New Roman"/>
          <w:color w:val="333333"/>
          <w:kern w:val="0"/>
          <w:sz w:val="18"/>
          <w:szCs w:val="18"/>
        </w:rPr>
        <w:t>5.9%</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2" o:spid="_x0000_i1037" type="#_x0000_t75" alt="http://www.stats.gov.cn/tjsj/zxfb/201602/W020160229379124401019_r75.gif" style="width:403.5pt;height:226.5pt;visibility:visible">
            <v:imagedata r:id="rId16"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4862"/>
        <w:gridCol w:w="1578"/>
        <w:gridCol w:w="1881"/>
      </w:tblGrid>
      <w:tr w:rsidR="009271D0" w:rsidRPr="00CD4D4A" w:rsidTr="00741F7B">
        <w:trPr>
          <w:trHeight w:val="567"/>
          <w:jc w:val="center"/>
        </w:trPr>
        <w:tc>
          <w:tcPr>
            <w:tcW w:w="8321" w:type="dxa"/>
            <w:gridSpan w:val="3"/>
            <w:tcBorders>
              <w:top w:val="nil"/>
              <w:left w:val="nil"/>
              <w:bottom w:val="single" w:sz="8" w:space="0" w:color="000000"/>
              <w:right w:val="nil"/>
            </w:tcBorders>
            <w:shd w:val="clear" w:color="auto" w:fill="FFFFFF"/>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4  2015</w:t>
            </w:r>
            <w:r w:rsidRPr="00CD4D4A">
              <w:rPr>
                <w:rFonts w:ascii="Times New Roman" w:hAnsi="宋体" w:hint="eastAsia"/>
                <w:b/>
                <w:bCs/>
                <w:snapToGrid w:val="0"/>
                <w:color w:val="333333"/>
                <w:kern w:val="0"/>
                <w:sz w:val="18"/>
                <w:szCs w:val="18"/>
                <w:bdr w:val="none" w:sz="0" w:space="0" w:color="auto" w:frame="1"/>
              </w:rPr>
              <w:t>年分行业固定资产投资（不含农户）及其增长速度</w:t>
            </w:r>
          </w:p>
        </w:tc>
      </w:tr>
      <w:tr w:rsidR="009271D0" w:rsidRPr="00CD4D4A" w:rsidTr="00741F7B">
        <w:trPr>
          <w:trHeight w:val="567"/>
          <w:jc w:val="center"/>
        </w:trPr>
        <w:tc>
          <w:tcPr>
            <w:tcW w:w="4862" w:type="dxa"/>
            <w:tcBorders>
              <w:top w:val="single" w:sz="8" w:space="0" w:color="000000"/>
              <w:left w:val="nil"/>
              <w:bottom w:val="single" w:sz="4" w:space="0" w:color="000000"/>
              <w:right w:val="single" w:sz="4" w:space="0" w:color="000000"/>
            </w:tcBorders>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行　　　　　　业</w:t>
            </w:r>
          </w:p>
        </w:tc>
        <w:tc>
          <w:tcPr>
            <w:tcW w:w="1578"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投资额（亿元）</w:t>
            </w:r>
          </w:p>
        </w:tc>
        <w:tc>
          <w:tcPr>
            <w:tcW w:w="1881"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r>
      <w:tr w:rsidR="009271D0" w:rsidRPr="00CD4D4A" w:rsidTr="00741F7B">
        <w:trPr>
          <w:trHeight w:val="283"/>
          <w:jc w:val="center"/>
        </w:trPr>
        <w:tc>
          <w:tcPr>
            <w:tcW w:w="4862" w:type="dxa"/>
            <w:tcBorders>
              <w:top w:val="single" w:sz="4" w:space="0" w:color="000000"/>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总　　　计</w:t>
            </w:r>
          </w:p>
        </w:tc>
        <w:tc>
          <w:tcPr>
            <w:tcW w:w="1578"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551590</w:t>
            </w:r>
          </w:p>
        </w:tc>
        <w:tc>
          <w:tcPr>
            <w:tcW w:w="1881" w:type="dxa"/>
            <w:tcBorders>
              <w:top w:val="single" w:sz="4" w:space="0" w:color="000000"/>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10.0</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农、林、牧、渔业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19061</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30.8</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采矿业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12971</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制造业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180365</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8.1</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电力、热力、燃气及水生产和供应业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26621</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16.6</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建筑业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4895</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10.2</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批发和零售业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18682</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20.1</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交通运输、仓储和邮政业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48972</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14.3</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住宿和餐饮业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6504</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5.1</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信息传输、软件和信息技术服务业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5517</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34.5</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金融业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1367</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0.3</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房地产业</w:t>
            </w:r>
            <w:r w:rsidRPr="00CD4D4A">
              <w:rPr>
                <w:rFonts w:ascii="Times New Roman" w:hAnsi="Times New Roman"/>
                <w:snapToGrid w:val="0"/>
                <w:color w:val="333333"/>
                <w:kern w:val="0"/>
                <w:sz w:val="18"/>
                <w:szCs w:val="18"/>
              </w:rPr>
              <w:t>[22]</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126674</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租赁和商务服务业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9436</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18.6</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科学研究和技术服务业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4752</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12.6</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水利、环境和公共设施管理业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55673</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20.4</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居民服务、修理和其他服务业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2628</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15.5</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教育</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7723</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15.2</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卫生和社会工作</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5175</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29.7</w:t>
            </w:r>
          </w:p>
        </w:tc>
      </w:tr>
      <w:tr w:rsidR="009271D0" w:rsidRPr="00CD4D4A" w:rsidTr="00741F7B">
        <w:trPr>
          <w:trHeight w:val="283"/>
          <w:jc w:val="center"/>
        </w:trPr>
        <w:tc>
          <w:tcPr>
            <w:tcW w:w="4862"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文化、体育和娱乐业</w:t>
            </w:r>
          </w:p>
        </w:tc>
        <w:tc>
          <w:tcPr>
            <w:tcW w:w="157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6724</w:t>
            </w:r>
          </w:p>
        </w:tc>
        <w:tc>
          <w:tcPr>
            <w:tcW w:w="1881"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8.9</w:t>
            </w:r>
          </w:p>
        </w:tc>
      </w:tr>
      <w:tr w:rsidR="009271D0" w:rsidRPr="00CD4D4A" w:rsidTr="00741F7B">
        <w:trPr>
          <w:trHeight w:val="283"/>
          <w:jc w:val="center"/>
        </w:trPr>
        <w:tc>
          <w:tcPr>
            <w:tcW w:w="4862" w:type="dxa"/>
            <w:tcBorders>
              <w:top w:val="nil"/>
              <w:left w:val="nil"/>
              <w:bottom w:val="single" w:sz="8" w:space="0" w:color="000000"/>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公共管理、社会保障和社会组织</w:t>
            </w:r>
          </w:p>
        </w:tc>
        <w:tc>
          <w:tcPr>
            <w:tcW w:w="1578"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7851</w:t>
            </w:r>
          </w:p>
        </w:tc>
        <w:tc>
          <w:tcPr>
            <w:tcW w:w="1881" w:type="dxa"/>
            <w:tcBorders>
              <w:top w:val="nil"/>
              <w:left w:val="single" w:sz="4" w:space="0" w:color="000000"/>
              <w:bottom w:val="single" w:sz="8" w:space="0" w:color="000000"/>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9.1</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4806"/>
        <w:gridCol w:w="1668"/>
        <w:gridCol w:w="1832"/>
      </w:tblGrid>
      <w:tr w:rsidR="009271D0" w:rsidRPr="00CD4D4A" w:rsidTr="00741F7B">
        <w:trPr>
          <w:trHeight w:val="567"/>
          <w:jc w:val="center"/>
        </w:trPr>
        <w:tc>
          <w:tcPr>
            <w:tcW w:w="8306" w:type="dxa"/>
            <w:gridSpan w:val="3"/>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5  2015</w:t>
            </w:r>
            <w:r w:rsidRPr="00CD4D4A">
              <w:rPr>
                <w:rFonts w:ascii="Times New Roman" w:hAnsi="宋体" w:hint="eastAsia"/>
                <w:b/>
                <w:bCs/>
                <w:snapToGrid w:val="0"/>
                <w:color w:val="333333"/>
                <w:kern w:val="0"/>
                <w:sz w:val="18"/>
                <w:szCs w:val="18"/>
                <w:bdr w:val="none" w:sz="0" w:space="0" w:color="auto" w:frame="1"/>
              </w:rPr>
              <w:t>年固定资产投资新增主要生产与运营能力</w:t>
            </w:r>
          </w:p>
        </w:tc>
      </w:tr>
      <w:tr w:rsidR="009271D0" w:rsidRPr="00CD4D4A" w:rsidTr="00741F7B">
        <w:trPr>
          <w:trHeight w:val="567"/>
          <w:jc w:val="center"/>
        </w:trPr>
        <w:tc>
          <w:tcPr>
            <w:tcW w:w="4806"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指　　　　标</w:t>
            </w:r>
          </w:p>
        </w:tc>
        <w:tc>
          <w:tcPr>
            <w:tcW w:w="1668"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单　位</w:t>
            </w:r>
          </w:p>
        </w:tc>
        <w:tc>
          <w:tcPr>
            <w:tcW w:w="1832"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绝对数</w:t>
            </w:r>
          </w:p>
        </w:tc>
      </w:tr>
      <w:tr w:rsidR="009271D0" w:rsidRPr="00CD4D4A" w:rsidTr="00741F7B">
        <w:trPr>
          <w:trHeight w:val="283"/>
          <w:jc w:val="center"/>
        </w:trPr>
        <w:tc>
          <w:tcPr>
            <w:tcW w:w="4806" w:type="dxa"/>
            <w:tcBorders>
              <w:top w:val="single" w:sz="4" w:space="0" w:color="000000"/>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新增</w:t>
            </w:r>
            <w:r w:rsidRPr="00CD4D4A">
              <w:rPr>
                <w:rFonts w:ascii="Times New Roman" w:hAnsi="Times New Roman"/>
                <w:snapToGrid w:val="0"/>
                <w:color w:val="333333"/>
                <w:kern w:val="0"/>
                <w:sz w:val="18"/>
                <w:szCs w:val="18"/>
              </w:rPr>
              <w:t>220</w:t>
            </w:r>
            <w:r w:rsidRPr="00CD4D4A">
              <w:rPr>
                <w:rFonts w:ascii="Times New Roman" w:hAnsi="宋体" w:hint="eastAsia"/>
                <w:snapToGrid w:val="0"/>
                <w:color w:val="333333"/>
                <w:kern w:val="0"/>
                <w:sz w:val="18"/>
                <w:szCs w:val="18"/>
              </w:rPr>
              <w:t>千伏及以上变电设备</w:t>
            </w:r>
          </w:p>
        </w:tc>
        <w:tc>
          <w:tcPr>
            <w:tcW w:w="1668"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万千伏安</w:t>
            </w:r>
          </w:p>
        </w:tc>
        <w:tc>
          <w:tcPr>
            <w:tcW w:w="1832" w:type="dxa"/>
            <w:tcBorders>
              <w:top w:val="single" w:sz="4" w:space="0" w:color="000000"/>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21785</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新建铁路投产里程</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9531</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其中：高速铁路</w:t>
            </w:r>
            <w:r w:rsidRPr="00CD4D4A">
              <w:rPr>
                <w:rFonts w:ascii="Times New Roman" w:hAnsi="Times New Roman"/>
                <w:snapToGrid w:val="0"/>
                <w:color w:val="333333"/>
                <w:kern w:val="0"/>
                <w:sz w:val="18"/>
                <w:szCs w:val="18"/>
              </w:rPr>
              <w:t>[23]</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3306</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增、新建铁路复线投产里程</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7647</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电气化铁路投产里程</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8694</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新建公路里程</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71401</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其中：高速公路</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公里</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11265</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港口万吨级码头泊位新增吞吐能力</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万吨</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38487</w:t>
            </w:r>
          </w:p>
        </w:tc>
      </w:tr>
      <w:tr w:rsidR="009271D0" w:rsidRPr="00CD4D4A" w:rsidTr="00741F7B">
        <w:trPr>
          <w:trHeight w:val="283"/>
          <w:jc w:val="center"/>
        </w:trPr>
        <w:tc>
          <w:tcPr>
            <w:tcW w:w="4806"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新增民用运输机场</w:t>
            </w:r>
          </w:p>
        </w:tc>
        <w:tc>
          <w:tcPr>
            <w:tcW w:w="166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个</w:t>
            </w:r>
          </w:p>
        </w:tc>
        <w:tc>
          <w:tcPr>
            <w:tcW w:w="1832" w:type="dxa"/>
            <w:tcBorders>
              <w:top w:val="nil"/>
              <w:left w:val="single" w:sz="4" w:space="0" w:color="000000"/>
              <w:bottom w:val="nil"/>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w:t>
            </w:r>
          </w:p>
        </w:tc>
      </w:tr>
      <w:tr w:rsidR="009271D0" w:rsidRPr="00CD4D4A" w:rsidTr="00741F7B">
        <w:trPr>
          <w:trHeight w:val="283"/>
          <w:jc w:val="center"/>
        </w:trPr>
        <w:tc>
          <w:tcPr>
            <w:tcW w:w="4806"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新增光缆线路长度</w:t>
            </w:r>
          </w:p>
        </w:tc>
        <w:tc>
          <w:tcPr>
            <w:tcW w:w="1668"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万公里</w:t>
            </w:r>
          </w:p>
        </w:tc>
        <w:tc>
          <w:tcPr>
            <w:tcW w:w="1832" w:type="dxa"/>
            <w:tcBorders>
              <w:top w:val="nil"/>
              <w:left w:val="single" w:sz="4" w:space="0" w:color="000000"/>
              <w:bottom w:val="single" w:sz="8" w:space="0" w:color="000000"/>
              <w:right w:val="nil"/>
            </w:tcBorders>
            <w:vAlign w:val="center"/>
          </w:tcPr>
          <w:p w:rsidR="009271D0" w:rsidRPr="00CD4D4A" w:rsidRDefault="009271D0" w:rsidP="00CD4D4A">
            <w:pPr>
              <w:widowControl/>
              <w:snapToGrid w:val="0"/>
              <w:ind w:left="57" w:right="63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441</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全年房地产开发投资</w:t>
      </w:r>
      <w:r w:rsidRPr="00CD4D4A">
        <w:rPr>
          <w:rFonts w:ascii="Times New Roman" w:hAnsi="Times New Roman"/>
          <w:color w:val="333333"/>
          <w:kern w:val="0"/>
          <w:sz w:val="18"/>
          <w:szCs w:val="18"/>
        </w:rPr>
        <w:t>95979</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1.0%</w:t>
      </w:r>
      <w:r w:rsidRPr="00CD4D4A">
        <w:rPr>
          <w:rFonts w:ascii="Times New Roman" w:hAnsi="宋体" w:hint="eastAsia"/>
          <w:color w:val="333333"/>
          <w:kern w:val="0"/>
          <w:sz w:val="18"/>
          <w:szCs w:val="18"/>
        </w:rPr>
        <w:t>。其中，住宅投资</w:t>
      </w:r>
      <w:r w:rsidRPr="00CD4D4A">
        <w:rPr>
          <w:rFonts w:ascii="Times New Roman" w:hAnsi="Times New Roman"/>
          <w:color w:val="333333"/>
          <w:kern w:val="0"/>
          <w:sz w:val="18"/>
          <w:szCs w:val="18"/>
        </w:rPr>
        <w:t>64595</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0.4%</w:t>
      </w:r>
      <w:r w:rsidRPr="00CD4D4A">
        <w:rPr>
          <w:rFonts w:ascii="Times New Roman" w:hAnsi="宋体" w:hint="eastAsia"/>
          <w:color w:val="333333"/>
          <w:kern w:val="0"/>
          <w:sz w:val="18"/>
          <w:szCs w:val="18"/>
        </w:rPr>
        <w:t>；办公楼投资</w:t>
      </w:r>
      <w:r w:rsidRPr="00CD4D4A">
        <w:rPr>
          <w:rFonts w:ascii="Times New Roman" w:hAnsi="Times New Roman"/>
          <w:color w:val="333333"/>
          <w:kern w:val="0"/>
          <w:sz w:val="18"/>
          <w:szCs w:val="18"/>
        </w:rPr>
        <w:t>6210</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10.1%</w:t>
      </w:r>
      <w:r w:rsidRPr="00CD4D4A">
        <w:rPr>
          <w:rFonts w:ascii="Times New Roman" w:hAnsi="宋体" w:hint="eastAsia"/>
          <w:color w:val="333333"/>
          <w:kern w:val="0"/>
          <w:sz w:val="18"/>
          <w:szCs w:val="18"/>
        </w:rPr>
        <w:t>；商业营业用房投资</w:t>
      </w:r>
      <w:r w:rsidRPr="00CD4D4A">
        <w:rPr>
          <w:rFonts w:ascii="Times New Roman" w:hAnsi="Times New Roman"/>
          <w:color w:val="333333"/>
          <w:kern w:val="0"/>
          <w:sz w:val="18"/>
          <w:szCs w:val="18"/>
        </w:rPr>
        <w:t>14607</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1.8%</w:t>
      </w:r>
      <w:r w:rsidRPr="00CD4D4A">
        <w:rPr>
          <w:rFonts w:ascii="Times New Roman" w:hAnsi="宋体"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全年全国城镇保障性安居工程基本建成住房</w:t>
      </w:r>
      <w:r w:rsidRPr="00CD4D4A">
        <w:rPr>
          <w:rFonts w:ascii="Times New Roman" w:hAnsi="Times New Roman"/>
          <w:color w:val="333333"/>
          <w:kern w:val="0"/>
          <w:sz w:val="18"/>
          <w:szCs w:val="18"/>
        </w:rPr>
        <w:t>772</w:t>
      </w:r>
      <w:r w:rsidRPr="00CD4D4A">
        <w:rPr>
          <w:rFonts w:ascii="Times New Roman" w:hAnsi="宋体" w:hint="eastAsia"/>
          <w:color w:val="333333"/>
          <w:kern w:val="0"/>
          <w:sz w:val="18"/>
          <w:szCs w:val="18"/>
        </w:rPr>
        <w:t>万套，新开工</w:t>
      </w:r>
      <w:r w:rsidRPr="00CD4D4A">
        <w:rPr>
          <w:rFonts w:ascii="Times New Roman" w:hAnsi="Times New Roman"/>
          <w:color w:val="333333"/>
          <w:kern w:val="0"/>
          <w:sz w:val="18"/>
          <w:szCs w:val="18"/>
        </w:rPr>
        <w:t>783</w:t>
      </w:r>
      <w:r w:rsidRPr="00CD4D4A">
        <w:rPr>
          <w:rFonts w:ascii="Times New Roman" w:hAnsi="宋体" w:hint="eastAsia"/>
          <w:color w:val="333333"/>
          <w:kern w:val="0"/>
          <w:sz w:val="18"/>
          <w:szCs w:val="18"/>
        </w:rPr>
        <w:t>万套，其中棚户区改造开工</w:t>
      </w:r>
      <w:r w:rsidRPr="00CD4D4A">
        <w:rPr>
          <w:rFonts w:ascii="Times New Roman" w:hAnsi="Times New Roman"/>
          <w:color w:val="333333"/>
          <w:kern w:val="0"/>
          <w:sz w:val="18"/>
          <w:szCs w:val="18"/>
        </w:rPr>
        <w:t>601</w:t>
      </w:r>
      <w:r w:rsidRPr="00CD4D4A">
        <w:rPr>
          <w:rFonts w:ascii="Times New Roman" w:hAnsi="宋体" w:hint="eastAsia"/>
          <w:color w:val="333333"/>
          <w:kern w:val="0"/>
          <w:sz w:val="18"/>
          <w:szCs w:val="18"/>
        </w:rPr>
        <w:t>万套。</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3596"/>
        <w:gridCol w:w="1352"/>
        <w:gridCol w:w="1588"/>
        <w:gridCol w:w="1770"/>
      </w:tblGrid>
      <w:tr w:rsidR="009271D0" w:rsidRPr="00CD4D4A" w:rsidTr="00741F7B">
        <w:trPr>
          <w:trHeight w:val="567"/>
          <w:jc w:val="center"/>
        </w:trPr>
        <w:tc>
          <w:tcPr>
            <w:tcW w:w="8306" w:type="dxa"/>
            <w:gridSpan w:val="4"/>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6  2015</w:t>
            </w:r>
            <w:r w:rsidRPr="00CD4D4A">
              <w:rPr>
                <w:rFonts w:ascii="Times New Roman" w:hAnsi="宋体" w:hint="eastAsia"/>
                <w:b/>
                <w:bCs/>
                <w:snapToGrid w:val="0"/>
                <w:color w:val="333333"/>
                <w:kern w:val="0"/>
                <w:sz w:val="18"/>
                <w:szCs w:val="18"/>
                <w:bdr w:val="none" w:sz="0" w:space="0" w:color="auto" w:frame="1"/>
              </w:rPr>
              <w:t>年房地产开发和销售主要指标及其增长速度</w:t>
            </w:r>
          </w:p>
        </w:tc>
      </w:tr>
      <w:tr w:rsidR="009271D0" w:rsidRPr="00CD4D4A" w:rsidTr="00741F7B">
        <w:trPr>
          <w:trHeight w:val="567"/>
          <w:jc w:val="center"/>
        </w:trPr>
        <w:tc>
          <w:tcPr>
            <w:tcW w:w="3588"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指　　</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标</w:t>
            </w:r>
          </w:p>
        </w:tc>
        <w:tc>
          <w:tcPr>
            <w:tcW w:w="1352"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单</w:t>
            </w:r>
            <w:r w:rsidRPr="00CD4D4A">
              <w:rPr>
                <w:rFonts w:ascii="Times New Roman" w:hAnsi="Times New Roman"/>
                <w:snapToGrid w:val="0"/>
                <w:color w:val="333333"/>
                <w:kern w:val="0"/>
                <w:sz w:val="18"/>
                <w:szCs w:val="18"/>
              </w:rPr>
              <w:t xml:space="preserve"> </w:t>
            </w:r>
            <w:r w:rsidRPr="00CD4D4A">
              <w:rPr>
                <w:rFonts w:ascii="Times New Roman" w:hAnsi="宋体" w:hint="eastAsia"/>
                <w:snapToGrid w:val="0"/>
                <w:color w:val="333333"/>
                <w:kern w:val="0"/>
                <w:sz w:val="18"/>
                <w:szCs w:val="18"/>
              </w:rPr>
              <w:t>位</w:t>
            </w:r>
          </w:p>
        </w:tc>
        <w:tc>
          <w:tcPr>
            <w:tcW w:w="1604"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绝对数</w:t>
            </w:r>
          </w:p>
        </w:tc>
        <w:tc>
          <w:tcPr>
            <w:tcW w:w="1762" w:type="dxa"/>
            <w:tcBorders>
              <w:top w:val="single" w:sz="8" w:space="0" w:color="000000"/>
              <w:left w:val="single" w:sz="4" w:space="0" w:color="000000"/>
              <w:bottom w:val="single" w:sz="4" w:space="0" w:color="000000"/>
              <w:right w:val="nil"/>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r>
      <w:tr w:rsidR="009271D0" w:rsidRPr="00CD4D4A" w:rsidTr="00741F7B">
        <w:trPr>
          <w:trHeight w:val="283"/>
          <w:jc w:val="center"/>
        </w:trPr>
        <w:tc>
          <w:tcPr>
            <w:tcW w:w="3588" w:type="dxa"/>
            <w:tcBorders>
              <w:top w:val="single" w:sz="4" w:space="0" w:color="000000"/>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投资额</w:t>
            </w:r>
          </w:p>
        </w:tc>
        <w:tc>
          <w:tcPr>
            <w:tcW w:w="1352"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95979</w:t>
            </w:r>
          </w:p>
        </w:tc>
        <w:tc>
          <w:tcPr>
            <w:tcW w:w="1762" w:type="dxa"/>
            <w:tcBorders>
              <w:top w:val="single" w:sz="4" w:space="0" w:color="000000"/>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其中：住宅</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64595</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0.4</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w:t>
            </w:r>
            <w:smartTag w:uri="urn:schemas-microsoft-com:office:smarttags" w:element="chmetcnv">
              <w:smartTagPr>
                <w:attr w:name="TCSC" w:val="0"/>
                <w:attr w:name="NumberType" w:val="1"/>
                <w:attr w:name="Negative" w:val="False"/>
                <w:attr w:name="HasSpace" w:val="False"/>
                <w:attr w:name="SourceValue" w:val="90"/>
                <w:attr w:name="UnitName" w:val="平方米"/>
              </w:smartTagPr>
              <w:r w:rsidRPr="00CD4D4A">
                <w:rPr>
                  <w:rFonts w:ascii="Times New Roman" w:hAnsi="Times New Roman"/>
                  <w:snapToGrid w:val="0"/>
                  <w:color w:val="333333"/>
                  <w:kern w:val="0"/>
                  <w:sz w:val="18"/>
                  <w:szCs w:val="18"/>
                </w:rPr>
                <w:t>90</w:t>
              </w:r>
              <w:r w:rsidRPr="00CD4D4A">
                <w:rPr>
                  <w:rFonts w:ascii="Times New Roman" w:hAnsi="宋体" w:hint="eastAsia"/>
                  <w:snapToGrid w:val="0"/>
                  <w:color w:val="333333"/>
                  <w:kern w:val="0"/>
                  <w:sz w:val="18"/>
                  <w:szCs w:val="18"/>
                </w:rPr>
                <w:t>平方米</w:t>
              </w:r>
            </w:smartTag>
            <w:r w:rsidRPr="00CD4D4A">
              <w:rPr>
                <w:rFonts w:ascii="Times New Roman" w:hAnsi="宋体" w:hint="eastAsia"/>
                <w:snapToGrid w:val="0"/>
                <w:color w:val="333333"/>
                <w:kern w:val="0"/>
                <w:sz w:val="18"/>
                <w:szCs w:val="18"/>
              </w:rPr>
              <w:t>及以下</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24646</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21.2</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房屋施工面积</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735693</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其中：住宅</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511570</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-0.7</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房屋新开工面积</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154454</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-14.0</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其中：住宅</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106651</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-14.6</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房屋竣工面积</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100039</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-6.9</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其中：住宅</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73777</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商品房销售面积</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128495</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6.5</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其中：住宅</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万平方米</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112406</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6.9</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本年到位资金</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125203</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w:t>
            </w:r>
          </w:p>
        </w:tc>
      </w:tr>
      <w:tr w:rsidR="009271D0" w:rsidRPr="00CD4D4A" w:rsidTr="00741F7B">
        <w:trPr>
          <w:trHeight w:val="283"/>
          <w:jc w:val="center"/>
        </w:trPr>
        <w:tc>
          <w:tcPr>
            <w:tcW w:w="3588"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其中：国内贷款</w:t>
            </w:r>
          </w:p>
        </w:tc>
        <w:tc>
          <w:tcPr>
            <w:tcW w:w="1352"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20214</w:t>
            </w:r>
          </w:p>
        </w:tc>
        <w:tc>
          <w:tcPr>
            <w:tcW w:w="1762" w:type="dxa"/>
            <w:tcBorders>
              <w:top w:val="nil"/>
              <w:left w:val="single" w:sz="4" w:space="0" w:color="000000"/>
              <w:bottom w:val="nil"/>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w:t>
            </w:r>
          </w:p>
        </w:tc>
      </w:tr>
      <w:tr w:rsidR="009271D0" w:rsidRPr="00CD4D4A" w:rsidTr="00741F7B">
        <w:trPr>
          <w:trHeight w:val="283"/>
          <w:jc w:val="center"/>
        </w:trPr>
        <w:tc>
          <w:tcPr>
            <w:tcW w:w="3588" w:type="dxa"/>
            <w:tcBorders>
              <w:top w:val="nil"/>
              <w:left w:val="nil"/>
              <w:bottom w:val="single" w:sz="8" w:space="0" w:color="000000"/>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其中：个人按揭贷款</w:t>
            </w:r>
          </w:p>
        </w:tc>
        <w:tc>
          <w:tcPr>
            <w:tcW w:w="1352"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604"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16662</w:t>
            </w:r>
          </w:p>
        </w:tc>
        <w:tc>
          <w:tcPr>
            <w:tcW w:w="1762" w:type="dxa"/>
            <w:tcBorders>
              <w:top w:val="nil"/>
              <w:left w:val="single" w:sz="4" w:space="0" w:color="000000"/>
              <w:bottom w:val="single" w:sz="8" w:space="0" w:color="000000"/>
              <w:right w:val="nil"/>
            </w:tcBorders>
            <w:noWrap/>
            <w:vAlign w:val="center"/>
          </w:tcPr>
          <w:p w:rsidR="009271D0" w:rsidRPr="00CD4D4A" w:rsidRDefault="009271D0" w:rsidP="00CD4D4A">
            <w:pPr>
              <w:widowControl/>
              <w:snapToGrid w:val="0"/>
              <w:ind w:left="57" w:right="42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21.9</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五、国内贸易</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全年社会消费品零售总额</w:t>
      </w:r>
      <w:r w:rsidRPr="00CD4D4A">
        <w:rPr>
          <w:rFonts w:ascii="Times New Roman" w:hAnsi="Times New Roman"/>
          <w:color w:val="333333"/>
          <w:kern w:val="0"/>
          <w:sz w:val="18"/>
          <w:szCs w:val="18"/>
        </w:rPr>
        <w:t>300931</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10.7%</w:t>
      </w:r>
      <w:r w:rsidRPr="00CD4D4A">
        <w:rPr>
          <w:rFonts w:ascii="Times New Roman" w:hAnsi="宋体" w:hint="eastAsia"/>
          <w:color w:val="333333"/>
          <w:kern w:val="0"/>
          <w:sz w:val="18"/>
          <w:szCs w:val="18"/>
        </w:rPr>
        <w:t>，扣除价格因素，实际增长</w:t>
      </w:r>
      <w:r w:rsidRPr="00CD4D4A">
        <w:rPr>
          <w:rFonts w:ascii="Times New Roman" w:hAnsi="Times New Roman"/>
          <w:color w:val="333333"/>
          <w:kern w:val="0"/>
          <w:sz w:val="18"/>
          <w:szCs w:val="18"/>
        </w:rPr>
        <w:t>10.6%</w:t>
      </w:r>
      <w:r w:rsidRPr="00CD4D4A">
        <w:rPr>
          <w:rFonts w:ascii="Times New Roman" w:hAnsi="宋体" w:hint="eastAsia"/>
          <w:color w:val="333333"/>
          <w:kern w:val="0"/>
          <w:sz w:val="18"/>
          <w:szCs w:val="18"/>
        </w:rPr>
        <w:t>。按经营地统计，城镇消费品零售额</w:t>
      </w:r>
      <w:r w:rsidRPr="00CD4D4A">
        <w:rPr>
          <w:rFonts w:ascii="Times New Roman" w:hAnsi="Times New Roman"/>
          <w:color w:val="333333"/>
          <w:kern w:val="0"/>
          <w:sz w:val="18"/>
          <w:szCs w:val="18"/>
        </w:rPr>
        <w:t>258999</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10.5%</w:t>
      </w:r>
      <w:r w:rsidRPr="00CD4D4A">
        <w:rPr>
          <w:rFonts w:ascii="Times New Roman" w:hAnsi="宋体" w:hint="eastAsia"/>
          <w:color w:val="333333"/>
          <w:kern w:val="0"/>
          <w:sz w:val="18"/>
          <w:szCs w:val="18"/>
        </w:rPr>
        <w:t>；乡村消费品零售额</w:t>
      </w:r>
      <w:r w:rsidRPr="00CD4D4A">
        <w:rPr>
          <w:rFonts w:ascii="Times New Roman" w:hAnsi="Times New Roman"/>
          <w:color w:val="333333"/>
          <w:kern w:val="0"/>
          <w:sz w:val="18"/>
          <w:szCs w:val="18"/>
        </w:rPr>
        <w:t>41932</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11.8%</w:t>
      </w:r>
      <w:r w:rsidRPr="00CD4D4A">
        <w:rPr>
          <w:rFonts w:ascii="Times New Roman" w:hAnsi="宋体" w:hint="eastAsia"/>
          <w:color w:val="333333"/>
          <w:kern w:val="0"/>
          <w:sz w:val="18"/>
          <w:szCs w:val="18"/>
        </w:rPr>
        <w:t>。按消费类型统计，商品零售额</w:t>
      </w:r>
      <w:r w:rsidRPr="00CD4D4A">
        <w:rPr>
          <w:rFonts w:ascii="Times New Roman" w:hAnsi="Times New Roman"/>
          <w:color w:val="333333"/>
          <w:kern w:val="0"/>
          <w:sz w:val="18"/>
          <w:szCs w:val="18"/>
        </w:rPr>
        <w:t>268621</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10.6%</w:t>
      </w:r>
      <w:r w:rsidRPr="00CD4D4A">
        <w:rPr>
          <w:rFonts w:ascii="Times New Roman" w:hAnsi="宋体" w:hint="eastAsia"/>
          <w:color w:val="333333"/>
          <w:kern w:val="0"/>
          <w:sz w:val="18"/>
          <w:szCs w:val="18"/>
        </w:rPr>
        <w:t>；餐饮收入额</w:t>
      </w:r>
      <w:r w:rsidRPr="00CD4D4A">
        <w:rPr>
          <w:rFonts w:ascii="Times New Roman" w:hAnsi="Times New Roman"/>
          <w:color w:val="333333"/>
          <w:kern w:val="0"/>
          <w:sz w:val="18"/>
          <w:szCs w:val="18"/>
        </w:rPr>
        <w:t>32310</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11.7%</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1" o:spid="_x0000_i1038" type="#_x0000_t75" alt="http://www.stats.gov.cn/tjsj/zxfb/201602/W020160229379124464462_r75.gif" style="width:396.75pt;height:226.5pt;visibility:visible">
            <v:imagedata r:id="rId17"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eastAsia="楷体" w:hAnsi="楷体" w:hint="eastAsia"/>
          <w:color w:val="333333"/>
          <w:kern w:val="0"/>
          <w:sz w:val="18"/>
          <w:szCs w:val="18"/>
        </w:rPr>
        <w:t xml:space="preserve">　　注：图中</w:t>
      </w:r>
      <w:r w:rsidRPr="00CD4D4A">
        <w:rPr>
          <w:rFonts w:ascii="Times New Roman" w:eastAsia="楷体" w:hAnsi="Times New Roman"/>
          <w:color w:val="333333"/>
          <w:kern w:val="0"/>
          <w:sz w:val="18"/>
          <w:szCs w:val="18"/>
        </w:rPr>
        <w:t>2011</w:t>
      </w:r>
      <w:r w:rsidRPr="00CD4D4A">
        <w:rPr>
          <w:rFonts w:ascii="Times New Roman" w:eastAsia="楷体" w:hAnsi="楷体" w:hint="eastAsia"/>
          <w:color w:val="333333"/>
          <w:kern w:val="0"/>
          <w:sz w:val="18"/>
          <w:szCs w:val="18"/>
        </w:rPr>
        <w:t>年至</w:t>
      </w:r>
      <w:r w:rsidRPr="00CD4D4A">
        <w:rPr>
          <w:rFonts w:ascii="Times New Roman" w:eastAsia="楷体" w:hAnsi="Times New Roman"/>
          <w:color w:val="333333"/>
          <w:kern w:val="0"/>
          <w:sz w:val="18"/>
          <w:szCs w:val="18"/>
        </w:rPr>
        <w:t>2014</w:t>
      </w:r>
      <w:r w:rsidRPr="00CD4D4A">
        <w:rPr>
          <w:rFonts w:ascii="Times New Roman" w:eastAsia="楷体" w:hAnsi="楷体" w:hint="eastAsia"/>
          <w:color w:val="333333"/>
          <w:kern w:val="0"/>
          <w:sz w:val="18"/>
          <w:szCs w:val="18"/>
        </w:rPr>
        <w:t>年数据根据第三次经济普查结果进行修订。</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在限额以上企业商品零售额中，粮油、食品、饮料、烟酒类零售额比上年增长</w:t>
      </w:r>
      <w:r w:rsidRPr="00CD4D4A">
        <w:rPr>
          <w:rFonts w:ascii="Times New Roman" w:hAnsi="Times New Roman"/>
          <w:color w:val="333333"/>
          <w:kern w:val="0"/>
          <w:sz w:val="18"/>
          <w:szCs w:val="18"/>
        </w:rPr>
        <w:t>14.6%</w:t>
      </w:r>
      <w:r w:rsidRPr="00CD4D4A">
        <w:rPr>
          <w:rFonts w:ascii="Times New Roman" w:hAnsi="宋体" w:hint="eastAsia"/>
          <w:color w:val="333333"/>
          <w:kern w:val="0"/>
          <w:sz w:val="18"/>
          <w:szCs w:val="18"/>
        </w:rPr>
        <w:t>，服装、鞋帽、针纺织品类增长</w:t>
      </w:r>
      <w:r w:rsidRPr="00CD4D4A">
        <w:rPr>
          <w:rFonts w:ascii="Times New Roman" w:hAnsi="Times New Roman"/>
          <w:color w:val="333333"/>
          <w:kern w:val="0"/>
          <w:sz w:val="18"/>
          <w:szCs w:val="18"/>
        </w:rPr>
        <w:t>9.8%</w:t>
      </w:r>
      <w:r w:rsidRPr="00CD4D4A">
        <w:rPr>
          <w:rFonts w:ascii="Times New Roman" w:hAnsi="宋体" w:hint="eastAsia"/>
          <w:color w:val="333333"/>
          <w:kern w:val="0"/>
          <w:sz w:val="18"/>
          <w:szCs w:val="18"/>
        </w:rPr>
        <w:t>，化妆品类增长</w:t>
      </w:r>
      <w:r w:rsidRPr="00CD4D4A">
        <w:rPr>
          <w:rFonts w:ascii="Times New Roman" w:hAnsi="Times New Roman"/>
          <w:color w:val="333333"/>
          <w:kern w:val="0"/>
          <w:sz w:val="18"/>
          <w:szCs w:val="18"/>
        </w:rPr>
        <w:t>8.8%</w:t>
      </w:r>
      <w:r w:rsidRPr="00CD4D4A">
        <w:rPr>
          <w:rFonts w:ascii="Times New Roman" w:hAnsi="宋体" w:hint="eastAsia"/>
          <w:color w:val="333333"/>
          <w:kern w:val="0"/>
          <w:sz w:val="18"/>
          <w:szCs w:val="18"/>
        </w:rPr>
        <w:t>，金银珠宝类增长</w:t>
      </w:r>
      <w:r w:rsidRPr="00CD4D4A">
        <w:rPr>
          <w:rFonts w:ascii="Times New Roman" w:hAnsi="Times New Roman"/>
          <w:color w:val="333333"/>
          <w:kern w:val="0"/>
          <w:sz w:val="18"/>
          <w:szCs w:val="18"/>
        </w:rPr>
        <w:t>7.3%</w:t>
      </w:r>
      <w:r w:rsidRPr="00CD4D4A">
        <w:rPr>
          <w:rFonts w:ascii="Times New Roman" w:hAnsi="宋体" w:hint="eastAsia"/>
          <w:color w:val="333333"/>
          <w:kern w:val="0"/>
          <w:sz w:val="18"/>
          <w:szCs w:val="18"/>
        </w:rPr>
        <w:t>，日用品类增长</w:t>
      </w:r>
      <w:r w:rsidRPr="00CD4D4A">
        <w:rPr>
          <w:rFonts w:ascii="Times New Roman" w:hAnsi="Times New Roman"/>
          <w:color w:val="333333"/>
          <w:kern w:val="0"/>
          <w:sz w:val="18"/>
          <w:szCs w:val="18"/>
        </w:rPr>
        <w:t>12.3%</w:t>
      </w:r>
      <w:r w:rsidRPr="00CD4D4A">
        <w:rPr>
          <w:rFonts w:ascii="Times New Roman" w:hAnsi="宋体" w:hint="eastAsia"/>
          <w:color w:val="333333"/>
          <w:kern w:val="0"/>
          <w:sz w:val="18"/>
          <w:szCs w:val="18"/>
        </w:rPr>
        <w:t>，家用电器和音像器材类增长</w:t>
      </w:r>
      <w:r w:rsidRPr="00CD4D4A">
        <w:rPr>
          <w:rFonts w:ascii="Times New Roman" w:hAnsi="Times New Roman"/>
          <w:color w:val="333333"/>
          <w:kern w:val="0"/>
          <w:sz w:val="18"/>
          <w:szCs w:val="18"/>
        </w:rPr>
        <w:t>11.4%</w:t>
      </w:r>
      <w:r w:rsidRPr="00CD4D4A">
        <w:rPr>
          <w:rFonts w:ascii="Times New Roman" w:hAnsi="宋体" w:hint="eastAsia"/>
          <w:color w:val="333333"/>
          <w:kern w:val="0"/>
          <w:sz w:val="18"/>
          <w:szCs w:val="18"/>
        </w:rPr>
        <w:t>，中西药品类增长</w:t>
      </w:r>
      <w:r w:rsidRPr="00CD4D4A">
        <w:rPr>
          <w:rFonts w:ascii="Times New Roman" w:hAnsi="Times New Roman"/>
          <w:color w:val="333333"/>
          <w:kern w:val="0"/>
          <w:sz w:val="18"/>
          <w:szCs w:val="18"/>
        </w:rPr>
        <w:t>14.2%</w:t>
      </w:r>
      <w:r w:rsidRPr="00CD4D4A">
        <w:rPr>
          <w:rFonts w:ascii="Times New Roman" w:hAnsi="宋体" w:hint="eastAsia"/>
          <w:color w:val="333333"/>
          <w:kern w:val="0"/>
          <w:sz w:val="18"/>
          <w:szCs w:val="18"/>
        </w:rPr>
        <w:t>，文化办公用品类增长</w:t>
      </w:r>
      <w:r w:rsidRPr="00CD4D4A">
        <w:rPr>
          <w:rFonts w:ascii="Times New Roman" w:hAnsi="Times New Roman"/>
          <w:color w:val="333333"/>
          <w:kern w:val="0"/>
          <w:sz w:val="18"/>
          <w:szCs w:val="18"/>
        </w:rPr>
        <w:t>15.2%</w:t>
      </w:r>
      <w:r w:rsidRPr="00CD4D4A">
        <w:rPr>
          <w:rFonts w:ascii="Times New Roman" w:hAnsi="宋体" w:hint="eastAsia"/>
          <w:color w:val="333333"/>
          <w:kern w:val="0"/>
          <w:sz w:val="18"/>
          <w:szCs w:val="18"/>
        </w:rPr>
        <w:t>，家具类增长</w:t>
      </w:r>
      <w:r w:rsidRPr="00CD4D4A">
        <w:rPr>
          <w:rFonts w:ascii="Times New Roman" w:hAnsi="Times New Roman"/>
          <w:color w:val="333333"/>
          <w:kern w:val="0"/>
          <w:sz w:val="18"/>
          <w:szCs w:val="18"/>
        </w:rPr>
        <w:t>16.1%</w:t>
      </w:r>
      <w:r w:rsidRPr="00CD4D4A">
        <w:rPr>
          <w:rFonts w:ascii="Times New Roman" w:hAnsi="宋体" w:hint="eastAsia"/>
          <w:color w:val="333333"/>
          <w:kern w:val="0"/>
          <w:sz w:val="18"/>
          <w:szCs w:val="18"/>
        </w:rPr>
        <w:t>，通讯器材类增长</w:t>
      </w:r>
      <w:r w:rsidRPr="00CD4D4A">
        <w:rPr>
          <w:rFonts w:ascii="Times New Roman" w:hAnsi="Times New Roman"/>
          <w:color w:val="333333"/>
          <w:kern w:val="0"/>
          <w:sz w:val="18"/>
          <w:szCs w:val="18"/>
        </w:rPr>
        <w:t>29.3%</w:t>
      </w:r>
      <w:r w:rsidRPr="00CD4D4A">
        <w:rPr>
          <w:rFonts w:ascii="Times New Roman" w:hAnsi="宋体" w:hint="eastAsia"/>
          <w:color w:val="333333"/>
          <w:kern w:val="0"/>
          <w:sz w:val="18"/>
          <w:szCs w:val="18"/>
        </w:rPr>
        <w:t>，建筑及装潢材料类增长</w:t>
      </w:r>
      <w:r w:rsidRPr="00CD4D4A">
        <w:rPr>
          <w:rFonts w:ascii="Times New Roman" w:hAnsi="Times New Roman"/>
          <w:color w:val="333333"/>
          <w:kern w:val="0"/>
          <w:sz w:val="18"/>
          <w:szCs w:val="18"/>
        </w:rPr>
        <w:t>18.7%</w:t>
      </w:r>
      <w:r w:rsidRPr="00CD4D4A">
        <w:rPr>
          <w:rFonts w:ascii="Times New Roman" w:hAnsi="宋体" w:hint="eastAsia"/>
          <w:color w:val="333333"/>
          <w:kern w:val="0"/>
          <w:sz w:val="18"/>
          <w:szCs w:val="18"/>
        </w:rPr>
        <w:t>，汽车类增长</w:t>
      </w:r>
      <w:r w:rsidRPr="00CD4D4A">
        <w:rPr>
          <w:rFonts w:ascii="Times New Roman" w:hAnsi="Times New Roman"/>
          <w:color w:val="333333"/>
          <w:kern w:val="0"/>
          <w:sz w:val="18"/>
          <w:szCs w:val="18"/>
        </w:rPr>
        <w:t>5.3%</w:t>
      </w:r>
      <w:r w:rsidRPr="00CD4D4A">
        <w:rPr>
          <w:rFonts w:ascii="Times New Roman" w:hAnsi="宋体" w:hint="eastAsia"/>
          <w:color w:val="333333"/>
          <w:kern w:val="0"/>
          <w:sz w:val="18"/>
          <w:szCs w:val="18"/>
        </w:rPr>
        <w:t>，石油及制品类下降</w:t>
      </w:r>
      <w:r w:rsidRPr="00CD4D4A">
        <w:rPr>
          <w:rFonts w:ascii="Times New Roman" w:hAnsi="Times New Roman"/>
          <w:color w:val="333333"/>
          <w:kern w:val="0"/>
          <w:sz w:val="18"/>
          <w:szCs w:val="18"/>
        </w:rPr>
        <w:t>6.6%</w:t>
      </w:r>
      <w:r w:rsidRPr="00CD4D4A">
        <w:rPr>
          <w:rFonts w:ascii="Times New Roman" w:hAnsi="宋体"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全年网上零售额</w:t>
      </w:r>
      <w:r w:rsidRPr="00CD4D4A">
        <w:rPr>
          <w:rFonts w:ascii="Times New Roman" w:hAnsi="Times New Roman"/>
          <w:color w:val="333333"/>
          <w:kern w:val="0"/>
          <w:sz w:val="18"/>
          <w:szCs w:val="18"/>
          <w:vertAlign w:val="superscript"/>
        </w:rPr>
        <w:t>[24]</w:t>
      </w:r>
      <w:r w:rsidRPr="00CD4D4A">
        <w:rPr>
          <w:rFonts w:ascii="Times New Roman" w:hAnsi="Times New Roman"/>
          <w:color w:val="333333"/>
          <w:kern w:val="0"/>
          <w:sz w:val="18"/>
          <w:szCs w:val="18"/>
        </w:rPr>
        <w:t>38773</w:t>
      </w:r>
      <w:r w:rsidRPr="00CD4D4A">
        <w:rPr>
          <w:rFonts w:ascii="Times New Roman" w:hAnsi="宋体" w:hint="eastAsia"/>
          <w:color w:val="333333"/>
          <w:kern w:val="0"/>
          <w:sz w:val="18"/>
          <w:szCs w:val="18"/>
        </w:rPr>
        <w:t>亿元，比上年增长</w:t>
      </w:r>
      <w:r w:rsidRPr="00CD4D4A">
        <w:rPr>
          <w:rFonts w:ascii="Times New Roman" w:hAnsi="Times New Roman"/>
          <w:color w:val="333333"/>
          <w:kern w:val="0"/>
          <w:sz w:val="18"/>
          <w:szCs w:val="18"/>
        </w:rPr>
        <w:t>33.3%</w:t>
      </w:r>
      <w:r w:rsidRPr="00CD4D4A">
        <w:rPr>
          <w:rFonts w:ascii="Times New Roman" w:hAnsi="宋体" w:hint="eastAsia"/>
          <w:color w:val="333333"/>
          <w:kern w:val="0"/>
          <w:sz w:val="18"/>
          <w:szCs w:val="18"/>
        </w:rPr>
        <w:t>，其中网上商品零售额</w:t>
      </w:r>
      <w:r w:rsidRPr="00CD4D4A">
        <w:rPr>
          <w:rFonts w:ascii="Times New Roman" w:hAnsi="Times New Roman"/>
          <w:color w:val="333333"/>
          <w:kern w:val="0"/>
          <w:sz w:val="18"/>
          <w:szCs w:val="18"/>
        </w:rPr>
        <w:t>32424</w:t>
      </w:r>
      <w:r w:rsidRPr="00CD4D4A">
        <w:rPr>
          <w:rFonts w:ascii="Times New Roman" w:hAnsi="宋体" w:hint="eastAsia"/>
          <w:color w:val="333333"/>
          <w:kern w:val="0"/>
          <w:sz w:val="18"/>
          <w:szCs w:val="18"/>
        </w:rPr>
        <w:t>亿元，增长</w:t>
      </w:r>
      <w:r w:rsidRPr="00CD4D4A">
        <w:rPr>
          <w:rFonts w:ascii="Times New Roman" w:hAnsi="Times New Roman"/>
          <w:color w:val="333333"/>
          <w:kern w:val="0"/>
          <w:sz w:val="18"/>
          <w:szCs w:val="18"/>
        </w:rPr>
        <w:t>31.6%</w:t>
      </w:r>
      <w:r w:rsidRPr="00CD4D4A">
        <w:rPr>
          <w:rFonts w:ascii="Times New Roman" w:hAnsi="宋体" w:hint="eastAsia"/>
          <w:color w:val="333333"/>
          <w:kern w:val="0"/>
          <w:sz w:val="18"/>
          <w:szCs w:val="18"/>
        </w:rPr>
        <w:t>。在网上商品零售额中，吃类商品增长</w:t>
      </w:r>
      <w:r w:rsidRPr="00CD4D4A">
        <w:rPr>
          <w:rFonts w:ascii="Times New Roman" w:hAnsi="Times New Roman"/>
          <w:color w:val="333333"/>
          <w:kern w:val="0"/>
          <w:sz w:val="18"/>
          <w:szCs w:val="18"/>
        </w:rPr>
        <w:t>40.8%</w:t>
      </w:r>
      <w:r w:rsidRPr="00CD4D4A">
        <w:rPr>
          <w:rFonts w:ascii="Times New Roman" w:hAnsi="宋体" w:hint="eastAsia"/>
          <w:color w:val="333333"/>
          <w:kern w:val="0"/>
          <w:sz w:val="18"/>
          <w:szCs w:val="18"/>
        </w:rPr>
        <w:t>，穿类商品增长</w:t>
      </w:r>
      <w:r w:rsidRPr="00CD4D4A">
        <w:rPr>
          <w:rFonts w:ascii="Times New Roman" w:hAnsi="Times New Roman"/>
          <w:color w:val="333333"/>
          <w:kern w:val="0"/>
          <w:sz w:val="18"/>
          <w:szCs w:val="18"/>
        </w:rPr>
        <w:t>21.4%</w:t>
      </w:r>
      <w:r w:rsidRPr="00CD4D4A">
        <w:rPr>
          <w:rFonts w:ascii="Times New Roman" w:hAnsi="宋体" w:hint="eastAsia"/>
          <w:color w:val="333333"/>
          <w:kern w:val="0"/>
          <w:sz w:val="18"/>
          <w:szCs w:val="18"/>
        </w:rPr>
        <w:t>，用类商品增长</w:t>
      </w:r>
      <w:r w:rsidRPr="00CD4D4A">
        <w:rPr>
          <w:rFonts w:ascii="Times New Roman" w:hAnsi="Times New Roman"/>
          <w:color w:val="333333"/>
          <w:kern w:val="0"/>
          <w:sz w:val="18"/>
          <w:szCs w:val="18"/>
        </w:rPr>
        <w:t>36%</w:t>
      </w:r>
      <w:r w:rsidRPr="00CD4D4A">
        <w:rPr>
          <w:rFonts w:ascii="Times New Roman" w:hAnsi="宋体"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宋体" w:hint="eastAsia"/>
          <w:b/>
          <w:bCs/>
          <w:color w:val="333333"/>
          <w:kern w:val="0"/>
          <w:sz w:val="18"/>
          <w:szCs w:val="18"/>
          <w:bdr w:val="none" w:sz="0" w:space="0" w:color="auto" w:frame="1"/>
        </w:rPr>
        <w:t xml:space="preserve">　　六、对外经济</w:t>
      </w:r>
      <w:r w:rsidRPr="00CD4D4A">
        <w:rPr>
          <w:rFonts w:ascii="Times New Roman" w:hAnsi="Times New Roman"/>
          <w:b/>
          <w:bCs/>
          <w:color w:val="333333"/>
          <w:kern w:val="0"/>
          <w:sz w:val="18"/>
          <w:szCs w:val="18"/>
          <w:bdr w:val="none" w:sz="0" w:space="0" w:color="auto" w:frame="1"/>
          <w:vertAlign w:val="superscript"/>
        </w:rPr>
        <w:t>[25]</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宋体" w:hint="eastAsia"/>
          <w:color w:val="333333"/>
          <w:kern w:val="0"/>
          <w:sz w:val="18"/>
          <w:szCs w:val="18"/>
        </w:rPr>
        <w:t xml:space="preserve">　　全年货物进出口总额</w:t>
      </w:r>
      <w:r w:rsidRPr="00CD4D4A">
        <w:rPr>
          <w:rFonts w:ascii="Times New Roman" w:hAnsi="Times New Roman"/>
          <w:color w:val="333333"/>
          <w:kern w:val="0"/>
          <w:sz w:val="18"/>
          <w:szCs w:val="18"/>
        </w:rPr>
        <w:t>245741</w:t>
      </w:r>
      <w:r w:rsidRPr="00CD4D4A">
        <w:rPr>
          <w:rFonts w:ascii="Times New Roman" w:hAnsi="宋体" w:hint="eastAsia"/>
          <w:color w:val="333333"/>
          <w:kern w:val="0"/>
          <w:sz w:val="18"/>
          <w:szCs w:val="18"/>
        </w:rPr>
        <w:t>亿元，比上年下降</w:t>
      </w:r>
      <w:r w:rsidRPr="00CD4D4A">
        <w:rPr>
          <w:rFonts w:ascii="Times New Roman" w:hAnsi="Times New Roman"/>
          <w:color w:val="333333"/>
          <w:kern w:val="0"/>
          <w:sz w:val="18"/>
          <w:szCs w:val="18"/>
        </w:rPr>
        <w:t>7.0%</w:t>
      </w:r>
      <w:r w:rsidRPr="00CD4D4A">
        <w:rPr>
          <w:rFonts w:ascii="Times New Roman" w:hAnsi="宋体" w:hint="eastAsia"/>
          <w:color w:val="333333"/>
          <w:kern w:val="0"/>
          <w:sz w:val="18"/>
          <w:szCs w:val="18"/>
        </w:rPr>
        <w:t>。其中，出口</w:t>
      </w:r>
      <w:r w:rsidRPr="00CD4D4A">
        <w:rPr>
          <w:rFonts w:ascii="Times New Roman" w:hAnsi="Times New Roman"/>
          <w:color w:val="333333"/>
          <w:kern w:val="0"/>
          <w:sz w:val="18"/>
          <w:szCs w:val="18"/>
        </w:rPr>
        <w:t>141255</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1.8%</w:t>
      </w:r>
      <w:r w:rsidRPr="00CD4D4A">
        <w:rPr>
          <w:rFonts w:ascii="Times New Roman" w:hAnsi="宋体" w:hint="eastAsia"/>
          <w:color w:val="333333"/>
          <w:kern w:val="0"/>
          <w:sz w:val="18"/>
          <w:szCs w:val="18"/>
        </w:rPr>
        <w:t>；进口</w:t>
      </w:r>
      <w:r w:rsidRPr="00CD4D4A">
        <w:rPr>
          <w:rFonts w:ascii="Times New Roman" w:hAnsi="Times New Roman"/>
          <w:color w:val="333333"/>
          <w:kern w:val="0"/>
          <w:sz w:val="18"/>
          <w:szCs w:val="18"/>
        </w:rPr>
        <w:t>104485</w:t>
      </w:r>
      <w:r w:rsidRPr="00CD4D4A">
        <w:rPr>
          <w:rFonts w:ascii="Times New Roman" w:hAnsi="宋体" w:hint="eastAsia"/>
          <w:color w:val="333333"/>
          <w:kern w:val="0"/>
          <w:sz w:val="18"/>
          <w:szCs w:val="18"/>
        </w:rPr>
        <w:t>亿元，下降</w:t>
      </w:r>
      <w:r w:rsidRPr="00CD4D4A">
        <w:rPr>
          <w:rFonts w:ascii="Times New Roman" w:hAnsi="Times New Roman"/>
          <w:color w:val="333333"/>
          <w:kern w:val="0"/>
          <w:sz w:val="18"/>
          <w:szCs w:val="18"/>
        </w:rPr>
        <w:t>13.2%</w:t>
      </w:r>
      <w:r w:rsidRPr="00CD4D4A">
        <w:rPr>
          <w:rFonts w:ascii="Times New Roman" w:hAnsi="宋体" w:hint="eastAsia"/>
          <w:color w:val="333333"/>
          <w:kern w:val="0"/>
          <w:sz w:val="18"/>
          <w:szCs w:val="18"/>
        </w:rPr>
        <w:t>。货物进出口差额（出口减进口）</w:t>
      </w:r>
      <w:r w:rsidRPr="00CD4D4A">
        <w:rPr>
          <w:rFonts w:ascii="Times New Roman" w:hAnsi="Times New Roman"/>
          <w:color w:val="333333"/>
          <w:kern w:val="0"/>
          <w:sz w:val="18"/>
          <w:szCs w:val="18"/>
        </w:rPr>
        <w:t>36770</w:t>
      </w:r>
      <w:r w:rsidRPr="00CD4D4A">
        <w:rPr>
          <w:rFonts w:ascii="Times New Roman" w:hAnsi="宋体" w:hint="eastAsia"/>
          <w:color w:val="333333"/>
          <w:kern w:val="0"/>
          <w:sz w:val="18"/>
          <w:szCs w:val="18"/>
        </w:rPr>
        <w:t>亿元，比上年增加</w:t>
      </w:r>
      <w:r w:rsidRPr="00CD4D4A">
        <w:rPr>
          <w:rFonts w:ascii="Times New Roman" w:hAnsi="Times New Roman"/>
          <w:color w:val="333333"/>
          <w:kern w:val="0"/>
          <w:sz w:val="18"/>
          <w:szCs w:val="18"/>
        </w:rPr>
        <w:t>13244</w:t>
      </w:r>
      <w:r w:rsidRPr="00CD4D4A">
        <w:rPr>
          <w:rFonts w:ascii="Times New Roman" w:hAnsi="宋体" w:hint="eastAsia"/>
          <w:color w:val="333333"/>
          <w:kern w:val="0"/>
          <w:sz w:val="18"/>
          <w:szCs w:val="18"/>
        </w:rPr>
        <w:t>亿元。</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0" o:spid="_x0000_i1039" type="#_x0000_t75" alt="http://www.stats.gov.cn/tjsj/zxfb/201602/W020160229379124472797_r75.gif" style="width:396.75pt;height:226.5pt;visibility:visible">
            <v:imagedata r:id="rId18" o:title=""/>
          </v:shape>
        </w:pict>
      </w:r>
    </w:p>
    <w:p w:rsidR="009271D0" w:rsidRPr="00CD4D4A" w:rsidRDefault="009271D0" w:rsidP="00CD4D4A">
      <w:pPr>
        <w:widowControl/>
        <w:ind w:right="57"/>
        <w:jc w:val="left"/>
        <w:rPr>
          <w:rFonts w:ascii="Times New Roman" w:hAnsi="Times New Roman"/>
          <w:color w:val="333333"/>
          <w:kern w:val="0"/>
          <w:sz w:val="18"/>
          <w:szCs w:val="18"/>
        </w:rPr>
      </w:pPr>
      <w:r w:rsidRPr="00CD4D4A">
        <w:rPr>
          <w:rFonts w:ascii="Times New Roman" w:hAnsi="Times New Roman"/>
          <w:b/>
          <w:bCs/>
          <w:snapToGrid w:val="0"/>
          <w:color w:val="333333"/>
          <w:kern w:val="0"/>
          <w:sz w:val="18"/>
          <w:szCs w:val="18"/>
          <w:bdr w:val="none" w:sz="0" w:space="0" w:color="auto" w:frame="1"/>
        </w:rPr>
        <w:t> </w:t>
      </w:r>
    </w:p>
    <w:tbl>
      <w:tblPr>
        <w:tblW w:w="0" w:type="auto"/>
        <w:jc w:val="center"/>
        <w:tblCellMar>
          <w:left w:w="0" w:type="dxa"/>
          <w:right w:w="0" w:type="dxa"/>
        </w:tblCellMar>
        <w:tblLook w:val="00A0"/>
      </w:tblPr>
      <w:tblGrid>
        <w:gridCol w:w="3917"/>
        <w:gridCol w:w="1944"/>
        <w:gridCol w:w="2400"/>
        <w:gridCol w:w="45"/>
      </w:tblGrid>
      <w:tr w:rsidR="009271D0" w:rsidRPr="00CD4D4A" w:rsidTr="005E4525">
        <w:trPr>
          <w:trHeight w:val="567"/>
          <w:jc w:val="center"/>
        </w:trPr>
        <w:tc>
          <w:tcPr>
            <w:tcW w:w="8714" w:type="dxa"/>
            <w:gridSpan w:val="3"/>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7  2015</w:t>
            </w:r>
            <w:r w:rsidRPr="00CD4D4A">
              <w:rPr>
                <w:rFonts w:ascii="Times New Roman" w:hAnsi="宋体" w:hint="eastAsia"/>
                <w:b/>
                <w:bCs/>
                <w:snapToGrid w:val="0"/>
                <w:color w:val="333333"/>
                <w:kern w:val="0"/>
                <w:sz w:val="18"/>
                <w:szCs w:val="18"/>
                <w:bdr w:val="none" w:sz="0" w:space="0" w:color="auto" w:frame="1"/>
              </w:rPr>
              <w:t>年货物进出口总额及其增长速度</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567"/>
          <w:jc w:val="center"/>
        </w:trPr>
        <w:tc>
          <w:tcPr>
            <w:tcW w:w="4120"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指　　　标</w:t>
            </w:r>
          </w:p>
        </w:tc>
        <w:tc>
          <w:tcPr>
            <w:tcW w:w="2048"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tabs>
                <w:tab w:val="left" w:pos="1559"/>
              </w:tabs>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金额（亿元）</w:t>
            </w:r>
          </w:p>
        </w:tc>
        <w:tc>
          <w:tcPr>
            <w:tcW w:w="2546"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10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货物进出口总额</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245741</w:t>
            </w:r>
          </w:p>
        </w:tc>
        <w:tc>
          <w:tcPr>
            <w:tcW w:w="2562" w:type="dxa"/>
            <w:gridSpan w:val="2"/>
            <w:tcBorders>
              <w:top w:val="nil"/>
              <w:left w:val="single" w:sz="4" w:space="0" w:color="000000"/>
              <w:bottom w:val="nil"/>
              <w:right w:val="nil"/>
            </w:tcBorders>
            <w:vAlign w:val="center"/>
          </w:tcPr>
          <w:p w:rsidR="009271D0" w:rsidRPr="00CD4D4A" w:rsidRDefault="009271D0" w:rsidP="00CD4D4A">
            <w:pPr>
              <w:widowControl/>
              <w:snapToGrid w:val="0"/>
              <w:ind w:left="57" w:right="29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-7.0</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2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货物出口额</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141255</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其中：一般贸易</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75456</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6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加工贸易</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49553</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其中：机电产品</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81421</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9271D0">
            <w:pPr>
              <w:widowControl/>
              <w:ind w:right="57" w:firstLineChars="65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高新技术产品</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40737</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0.4</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货物进口额</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104485</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-13.2</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CD4D4A">
            <w:pPr>
              <w:widowControl/>
              <w:tabs>
                <w:tab w:val="left" w:pos="701"/>
              </w:tabs>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其中：一般贸易</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57323</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-15.9</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加工贸易</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27772</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-13.7</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 xml:space="preserve">　　　其中：机电产品</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50111</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高新技术产品</w:t>
            </w:r>
          </w:p>
        </w:tc>
        <w:tc>
          <w:tcPr>
            <w:tcW w:w="2048" w:type="dxa"/>
            <w:tcBorders>
              <w:top w:val="nil"/>
              <w:left w:val="single" w:sz="4" w:space="0" w:color="000000"/>
              <w:bottom w:val="nil"/>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34073</w:t>
            </w:r>
          </w:p>
        </w:tc>
        <w:tc>
          <w:tcPr>
            <w:tcW w:w="2546" w:type="dxa"/>
            <w:tcBorders>
              <w:top w:val="nil"/>
              <w:left w:val="single" w:sz="4" w:space="0" w:color="000000"/>
              <w:bottom w:val="nil"/>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0.6</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5E4525">
        <w:trPr>
          <w:trHeight w:val="283"/>
          <w:jc w:val="center"/>
        </w:trPr>
        <w:tc>
          <w:tcPr>
            <w:tcW w:w="4120"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100" w:firstLine="31680"/>
              <w:jc w:val="left"/>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货物进出口差额（出口减进口）</w:t>
            </w:r>
          </w:p>
        </w:tc>
        <w:tc>
          <w:tcPr>
            <w:tcW w:w="2048"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36770</w:t>
            </w:r>
          </w:p>
        </w:tc>
        <w:tc>
          <w:tcPr>
            <w:tcW w:w="2546" w:type="dxa"/>
            <w:tcBorders>
              <w:top w:val="nil"/>
              <w:left w:val="single" w:sz="4" w:space="0" w:color="000000"/>
              <w:bottom w:val="single" w:sz="8" w:space="0" w:color="000000"/>
              <w:right w:val="nil"/>
            </w:tcBorders>
            <w:vAlign w:val="center"/>
          </w:tcPr>
          <w:p w:rsidR="009271D0" w:rsidRPr="00CD4D4A" w:rsidRDefault="009271D0" w:rsidP="00CD4D4A">
            <w:pPr>
              <w:widowControl/>
              <w:snapToGrid w:val="0"/>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5" w:type="dxa"/>
            <w:tcBorders>
              <w:top w:val="nil"/>
              <w:left w:val="nil"/>
              <w:bottom w:val="nil"/>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bl>
    <w:p w:rsidR="009271D0" w:rsidRPr="00CD4D4A" w:rsidRDefault="009271D0" w:rsidP="00CD4D4A">
      <w:pPr>
        <w:widowControl/>
        <w:ind w:right="57"/>
        <w:rPr>
          <w:rFonts w:ascii="Times New Roman" w:hAnsi="Times New Roman"/>
          <w:color w:val="333333"/>
          <w:kern w:val="0"/>
          <w:sz w:val="18"/>
          <w:szCs w:val="18"/>
        </w:rPr>
      </w:pPr>
      <w:r w:rsidRPr="00CD4D4A">
        <w:rPr>
          <w:rFonts w:ascii="Times New Roman" w:hAnsi="Times New Roman"/>
          <w:snapToGrid w:val="0"/>
          <w:color w:val="333333"/>
          <w:kern w:val="0"/>
          <w:sz w:val="18"/>
          <w:szCs w:val="18"/>
        </w:rPr>
        <w:t> </w:t>
      </w:r>
    </w:p>
    <w:tbl>
      <w:tblPr>
        <w:tblW w:w="0" w:type="auto"/>
        <w:jc w:val="center"/>
        <w:tblCellMar>
          <w:left w:w="0" w:type="dxa"/>
          <w:right w:w="0" w:type="dxa"/>
        </w:tblCellMar>
        <w:tblLook w:val="00A0"/>
      </w:tblPr>
      <w:tblGrid>
        <w:gridCol w:w="2708"/>
        <w:gridCol w:w="845"/>
        <w:gridCol w:w="1022"/>
        <w:gridCol w:w="1269"/>
        <w:gridCol w:w="1201"/>
        <w:gridCol w:w="1261"/>
      </w:tblGrid>
      <w:tr w:rsidR="009271D0" w:rsidRPr="00CD4D4A" w:rsidTr="005E4525">
        <w:trPr>
          <w:trHeight w:val="567"/>
          <w:jc w:val="center"/>
        </w:trPr>
        <w:tc>
          <w:tcPr>
            <w:tcW w:w="8730" w:type="dxa"/>
            <w:gridSpan w:val="6"/>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b/>
                <w:bCs/>
                <w:snapToGrid w:val="0"/>
                <w:color w:val="333333"/>
                <w:kern w:val="0"/>
                <w:sz w:val="18"/>
                <w:szCs w:val="18"/>
                <w:bdr w:val="none" w:sz="0" w:space="0" w:color="auto" w:frame="1"/>
              </w:rPr>
              <w:t>表</w:t>
            </w:r>
            <w:r w:rsidRPr="00CD4D4A">
              <w:rPr>
                <w:rFonts w:ascii="Times New Roman" w:hAnsi="Times New Roman"/>
                <w:b/>
                <w:bCs/>
                <w:snapToGrid w:val="0"/>
                <w:color w:val="333333"/>
                <w:kern w:val="0"/>
                <w:sz w:val="18"/>
                <w:szCs w:val="18"/>
                <w:bdr w:val="none" w:sz="0" w:space="0" w:color="auto" w:frame="1"/>
              </w:rPr>
              <w:t>8</w:t>
            </w:r>
            <w:r w:rsidRPr="00CD4D4A">
              <w:rPr>
                <w:rFonts w:ascii="Times New Roman" w:hAnsi="宋体" w:hint="eastAsia"/>
                <w:b/>
                <w:bCs/>
                <w:snapToGrid w:val="0"/>
                <w:color w:val="333333"/>
                <w:kern w:val="0"/>
                <w:sz w:val="18"/>
                <w:szCs w:val="18"/>
                <w:bdr w:val="none" w:sz="0" w:space="0" w:color="auto" w:frame="1"/>
              </w:rPr>
              <w:t xml:space="preserve">　</w:t>
            </w:r>
            <w:r w:rsidRPr="00CD4D4A">
              <w:rPr>
                <w:rFonts w:ascii="Times New Roman" w:hAnsi="Times New Roman"/>
                <w:b/>
                <w:bCs/>
                <w:snapToGrid w:val="0"/>
                <w:color w:val="333333"/>
                <w:kern w:val="0"/>
                <w:sz w:val="18"/>
                <w:szCs w:val="18"/>
                <w:bdr w:val="none" w:sz="0" w:space="0" w:color="auto" w:frame="1"/>
              </w:rPr>
              <w:t>2015</w:t>
            </w:r>
            <w:r w:rsidRPr="00CD4D4A">
              <w:rPr>
                <w:rFonts w:ascii="Times New Roman" w:hAnsi="宋体" w:hint="eastAsia"/>
                <w:b/>
                <w:bCs/>
                <w:snapToGrid w:val="0"/>
                <w:color w:val="333333"/>
                <w:kern w:val="0"/>
                <w:sz w:val="18"/>
                <w:szCs w:val="18"/>
                <w:bdr w:val="none" w:sz="0" w:space="0" w:color="auto" w:frame="1"/>
              </w:rPr>
              <w:t>年主要商品出口数量、金额及其增长速度</w:t>
            </w:r>
          </w:p>
        </w:tc>
      </w:tr>
      <w:tr w:rsidR="009271D0" w:rsidRPr="00CD4D4A" w:rsidTr="005E4525">
        <w:trPr>
          <w:trHeight w:val="567"/>
          <w:jc w:val="center"/>
        </w:trPr>
        <w:tc>
          <w:tcPr>
            <w:tcW w:w="2845"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商品名称</w:t>
            </w:r>
          </w:p>
        </w:tc>
        <w:tc>
          <w:tcPr>
            <w:tcW w:w="889"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单位</w:t>
            </w:r>
          </w:p>
        </w:tc>
        <w:tc>
          <w:tcPr>
            <w:tcW w:w="1076"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数量</w:t>
            </w:r>
          </w:p>
        </w:tc>
        <w:tc>
          <w:tcPr>
            <w:tcW w:w="1336"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c>
          <w:tcPr>
            <w:tcW w:w="1264"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金额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（亿元）</w:t>
            </w:r>
          </w:p>
        </w:tc>
        <w:tc>
          <w:tcPr>
            <w:tcW w:w="1320" w:type="dxa"/>
            <w:tcBorders>
              <w:top w:val="single" w:sz="8" w:space="0" w:color="000000"/>
              <w:left w:val="single" w:sz="4" w:space="0" w:color="000000"/>
              <w:bottom w:val="single" w:sz="4" w:space="0" w:color="000000"/>
              <w:right w:val="nil"/>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宋体"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宋体" w:hint="eastAsia"/>
                <w:snapToGrid w:val="0"/>
                <w:color w:val="333333"/>
                <w:kern w:val="0"/>
                <w:sz w:val="18"/>
                <w:szCs w:val="18"/>
              </w:rPr>
              <w:t>）</w:t>
            </w:r>
          </w:p>
        </w:tc>
      </w:tr>
      <w:tr w:rsidR="009271D0" w:rsidRPr="00CD4D4A" w:rsidTr="005E4525">
        <w:trPr>
          <w:trHeight w:val="283"/>
          <w:jc w:val="center"/>
        </w:trPr>
        <w:tc>
          <w:tcPr>
            <w:tcW w:w="2845" w:type="dxa"/>
            <w:tcBorders>
              <w:top w:val="single" w:sz="4" w:space="0" w:color="000000"/>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煤（包括褐煤）</w:t>
            </w:r>
          </w:p>
        </w:tc>
        <w:tc>
          <w:tcPr>
            <w:tcW w:w="889"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万吨</w:t>
            </w:r>
          </w:p>
        </w:tc>
        <w:tc>
          <w:tcPr>
            <w:tcW w:w="1076"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533</w:t>
            </w:r>
          </w:p>
        </w:tc>
        <w:tc>
          <w:tcPr>
            <w:tcW w:w="1336"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-7.1</w:t>
            </w:r>
          </w:p>
        </w:tc>
        <w:tc>
          <w:tcPr>
            <w:tcW w:w="1264"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w:t>
            </w:r>
          </w:p>
        </w:tc>
        <w:tc>
          <w:tcPr>
            <w:tcW w:w="1320" w:type="dxa"/>
            <w:tcBorders>
              <w:top w:val="single" w:sz="4" w:space="0" w:color="000000"/>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-27.7</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钢材</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万吨</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11240</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19.9</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3890</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-10.6</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纺织纱线、织物及制品</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6796</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服装及衣着附件</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10819</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鞋类</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万吨</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447</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-8.4</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3319</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-3.9</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家具及其零件</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3277</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自动数据处理设备及其部件</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万台</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171508</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-10.6</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9461</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-15.2</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手持或车载无线电话</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万台</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134342</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7711</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集装箱</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万个</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272</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-10.1</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475</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-14.2</w:t>
            </w:r>
          </w:p>
        </w:tc>
      </w:tr>
      <w:tr w:rsidR="009271D0" w:rsidRPr="00CD4D4A" w:rsidTr="005E4525">
        <w:trPr>
          <w:trHeight w:val="283"/>
          <w:jc w:val="center"/>
        </w:trPr>
        <w:tc>
          <w:tcPr>
            <w:tcW w:w="2845"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液晶显示板</w:t>
            </w:r>
          </w:p>
        </w:tc>
        <w:tc>
          <w:tcPr>
            <w:tcW w:w="8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万个</w:t>
            </w:r>
          </w:p>
        </w:tc>
        <w:tc>
          <w:tcPr>
            <w:tcW w:w="107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229344</w:t>
            </w:r>
          </w:p>
        </w:tc>
        <w:tc>
          <w:tcPr>
            <w:tcW w:w="1336"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-6.4</w:t>
            </w:r>
          </w:p>
        </w:tc>
        <w:tc>
          <w:tcPr>
            <w:tcW w:w="126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1923</w:t>
            </w:r>
          </w:p>
        </w:tc>
        <w:tc>
          <w:tcPr>
            <w:tcW w:w="1320"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w:t>
            </w:r>
          </w:p>
        </w:tc>
      </w:tr>
      <w:tr w:rsidR="009271D0" w:rsidRPr="00CD4D4A" w:rsidTr="005E4525">
        <w:trPr>
          <w:trHeight w:val="283"/>
          <w:jc w:val="center"/>
        </w:trPr>
        <w:tc>
          <w:tcPr>
            <w:tcW w:w="2845" w:type="dxa"/>
            <w:tcBorders>
              <w:top w:val="nil"/>
              <w:left w:val="nil"/>
              <w:bottom w:val="single" w:sz="8" w:space="0" w:color="000000"/>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汽车</w:t>
            </w:r>
          </w:p>
        </w:tc>
        <w:tc>
          <w:tcPr>
            <w:tcW w:w="889"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万辆</w:t>
            </w:r>
          </w:p>
        </w:tc>
        <w:tc>
          <w:tcPr>
            <w:tcW w:w="1076"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72</w:t>
            </w:r>
          </w:p>
        </w:tc>
        <w:tc>
          <w:tcPr>
            <w:tcW w:w="1336"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-19.4</w:t>
            </w:r>
          </w:p>
        </w:tc>
        <w:tc>
          <w:tcPr>
            <w:tcW w:w="1264"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696</w:t>
            </w:r>
          </w:p>
        </w:tc>
        <w:tc>
          <w:tcPr>
            <w:tcW w:w="1320" w:type="dxa"/>
            <w:tcBorders>
              <w:top w:val="nil"/>
              <w:left w:val="single" w:sz="4" w:space="0" w:color="000000"/>
              <w:bottom w:val="single" w:sz="8" w:space="0" w:color="000000"/>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-9.5</w:t>
            </w:r>
          </w:p>
        </w:tc>
      </w:tr>
    </w:tbl>
    <w:p w:rsidR="009271D0" w:rsidRPr="00CD4D4A" w:rsidRDefault="009271D0" w:rsidP="00CD4D4A">
      <w:pPr>
        <w:widowControl/>
        <w:ind w:right="57"/>
        <w:rPr>
          <w:rFonts w:ascii="Times New Roman" w:hAnsi="Times New Roman"/>
          <w:color w:val="333333"/>
          <w:kern w:val="0"/>
          <w:sz w:val="18"/>
          <w:szCs w:val="18"/>
        </w:rPr>
      </w:pPr>
      <w:r w:rsidRPr="00CD4D4A">
        <w:rPr>
          <w:rFonts w:ascii="Times New Roman" w:hAnsi="Times New Roman"/>
          <w:snapToGrid w:val="0"/>
          <w:color w:val="333333"/>
          <w:kern w:val="0"/>
          <w:sz w:val="18"/>
          <w:szCs w:val="18"/>
        </w:rPr>
        <w:t> </w:t>
      </w:r>
    </w:p>
    <w:tbl>
      <w:tblPr>
        <w:tblW w:w="0" w:type="auto"/>
        <w:jc w:val="center"/>
        <w:tblCellMar>
          <w:left w:w="0" w:type="dxa"/>
          <w:right w:w="0" w:type="dxa"/>
        </w:tblCellMar>
        <w:tblLook w:val="00A0"/>
      </w:tblPr>
      <w:tblGrid>
        <w:gridCol w:w="2581"/>
        <w:gridCol w:w="1068"/>
        <w:gridCol w:w="1761"/>
        <w:gridCol w:w="1129"/>
        <w:gridCol w:w="1767"/>
      </w:tblGrid>
      <w:tr w:rsidR="009271D0" w:rsidRPr="00CD4D4A" w:rsidTr="001504C1">
        <w:trPr>
          <w:trHeight w:val="567"/>
          <w:jc w:val="center"/>
        </w:trPr>
        <w:tc>
          <w:tcPr>
            <w:tcW w:w="8730" w:type="dxa"/>
            <w:gridSpan w:val="5"/>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表</w:t>
            </w:r>
            <w:r w:rsidRPr="00CD4D4A">
              <w:rPr>
                <w:rFonts w:ascii="Times New Roman" w:hAnsi="Times New Roman"/>
                <w:b/>
                <w:bCs/>
                <w:snapToGrid w:val="0"/>
                <w:color w:val="333333"/>
                <w:kern w:val="0"/>
                <w:sz w:val="18"/>
                <w:szCs w:val="18"/>
                <w:bdr w:val="none" w:sz="0" w:space="0" w:color="auto" w:frame="1"/>
              </w:rPr>
              <w:t>9</w:t>
            </w:r>
            <w:r w:rsidRPr="00CD4D4A">
              <w:rPr>
                <w:rFonts w:ascii="Times New Roman" w:hAnsi="Times New Roman" w:hint="eastAsia"/>
                <w:b/>
                <w:bCs/>
                <w:snapToGrid w:val="0"/>
                <w:color w:val="333333"/>
                <w:kern w:val="0"/>
                <w:sz w:val="18"/>
                <w:szCs w:val="18"/>
                <w:bdr w:val="none" w:sz="0" w:space="0" w:color="auto" w:frame="1"/>
              </w:rPr>
              <w:t xml:space="preserve">　</w:t>
            </w:r>
            <w:r w:rsidRPr="00CD4D4A">
              <w:rPr>
                <w:rFonts w:ascii="Times New Roman" w:hAnsi="Times New Roman"/>
                <w:b/>
                <w:bCs/>
                <w:snapToGrid w:val="0"/>
                <w:color w:val="333333"/>
                <w:kern w:val="0"/>
                <w:sz w:val="18"/>
                <w:szCs w:val="18"/>
                <w:bdr w:val="none" w:sz="0" w:space="0" w:color="auto" w:frame="1"/>
              </w:rPr>
              <w:t>2015</w:t>
            </w:r>
            <w:r w:rsidRPr="00CD4D4A">
              <w:rPr>
                <w:rFonts w:ascii="Times New Roman" w:hAnsi="Times New Roman" w:hint="eastAsia"/>
                <w:b/>
                <w:bCs/>
                <w:snapToGrid w:val="0"/>
                <w:color w:val="333333"/>
                <w:kern w:val="0"/>
                <w:sz w:val="18"/>
                <w:szCs w:val="18"/>
                <w:bdr w:val="none" w:sz="0" w:space="0" w:color="auto" w:frame="1"/>
              </w:rPr>
              <w:t>年主要商品进口数量、金额及其增长速度</w:t>
            </w:r>
          </w:p>
        </w:tc>
      </w:tr>
      <w:tr w:rsidR="009271D0" w:rsidRPr="00CD4D4A" w:rsidTr="001504C1">
        <w:trPr>
          <w:trHeight w:val="567"/>
          <w:jc w:val="center"/>
        </w:trPr>
        <w:tc>
          <w:tcPr>
            <w:tcW w:w="2710"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商品名称</w:t>
            </w:r>
          </w:p>
        </w:tc>
        <w:tc>
          <w:tcPr>
            <w:tcW w:w="1124"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数量</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（万吨）</w:t>
            </w:r>
          </w:p>
        </w:tc>
        <w:tc>
          <w:tcPr>
            <w:tcW w:w="1854"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c>
          <w:tcPr>
            <w:tcW w:w="1189" w:type="dxa"/>
            <w:tcBorders>
              <w:top w:val="single" w:sz="8" w:space="0" w:color="000000"/>
              <w:left w:val="single" w:sz="4" w:space="0" w:color="000000"/>
              <w:bottom w:val="single" w:sz="4" w:space="0" w:color="000000"/>
              <w:right w:val="single" w:sz="4" w:space="0" w:color="000000"/>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金额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（亿元）</w:t>
            </w:r>
          </w:p>
        </w:tc>
        <w:tc>
          <w:tcPr>
            <w:tcW w:w="1853" w:type="dxa"/>
            <w:tcBorders>
              <w:top w:val="single" w:sz="8" w:space="0" w:color="000000"/>
              <w:left w:val="single" w:sz="4" w:space="0" w:color="000000"/>
              <w:bottom w:val="single" w:sz="4" w:space="0" w:color="000000"/>
              <w:right w:val="nil"/>
            </w:tcBorders>
            <w:noWrap/>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2710" w:type="dxa"/>
            <w:tcBorders>
              <w:top w:val="single" w:sz="4" w:space="0" w:color="000000"/>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谷物及谷物粉</w:t>
            </w:r>
          </w:p>
        </w:tc>
        <w:tc>
          <w:tcPr>
            <w:tcW w:w="1124"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3270</w:t>
            </w:r>
          </w:p>
        </w:tc>
        <w:tc>
          <w:tcPr>
            <w:tcW w:w="1854"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67.6</w:t>
            </w:r>
          </w:p>
        </w:tc>
        <w:tc>
          <w:tcPr>
            <w:tcW w:w="1189" w:type="dxa"/>
            <w:tcBorders>
              <w:top w:val="single" w:sz="4" w:space="0" w:color="000000"/>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582</w:t>
            </w:r>
          </w:p>
        </w:tc>
        <w:tc>
          <w:tcPr>
            <w:tcW w:w="1853" w:type="dxa"/>
            <w:tcBorders>
              <w:top w:val="single" w:sz="4" w:space="0" w:color="000000"/>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52.4</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大豆</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8169</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14.4</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2157</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-12.8</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食用植物油</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676</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4.1</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311</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-14.5</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铁矿砂及其精矿</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95272</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2.2</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3574</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-37.7</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氧化铝</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465</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-11.8</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101</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-14.2</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煤（包括褐煤）</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20406</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-29.9</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749</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-45.2</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原油</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33550</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8333</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-40.5</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成品油</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2990</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-0.3</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886</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-38.5</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初级形状的塑料</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2610</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2.9</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2793</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-11.8</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纸浆</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1984</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10.4</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792</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6.9</w:t>
            </w:r>
          </w:p>
        </w:tc>
      </w:tr>
      <w:tr w:rsidR="009271D0" w:rsidRPr="00CD4D4A" w:rsidTr="001504C1">
        <w:trPr>
          <w:trHeight w:val="283"/>
          <w:jc w:val="center"/>
        </w:trPr>
        <w:tc>
          <w:tcPr>
            <w:tcW w:w="2710" w:type="dxa"/>
            <w:tcBorders>
              <w:top w:val="nil"/>
              <w:left w:val="nil"/>
              <w:bottom w:val="nil"/>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钢材</w:t>
            </w:r>
          </w:p>
        </w:tc>
        <w:tc>
          <w:tcPr>
            <w:tcW w:w="112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1278</w:t>
            </w:r>
          </w:p>
        </w:tc>
        <w:tc>
          <w:tcPr>
            <w:tcW w:w="1854"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-11.4</w:t>
            </w:r>
          </w:p>
        </w:tc>
        <w:tc>
          <w:tcPr>
            <w:tcW w:w="1189" w:type="dxa"/>
            <w:tcBorders>
              <w:top w:val="nil"/>
              <w:left w:val="single" w:sz="4" w:space="0" w:color="000000"/>
              <w:bottom w:val="nil"/>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889</w:t>
            </w:r>
          </w:p>
        </w:tc>
        <w:tc>
          <w:tcPr>
            <w:tcW w:w="1853" w:type="dxa"/>
            <w:tcBorders>
              <w:top w:val="nil"/>
              <w:left w:val="single" w:sz="4" w:space="0" w:color="000000"/>
              <w:bottom w:val="nil"/>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-19.2</w:t>
            </w:r>
          </w:p>
        </w:tc>
      </w:tr>
      <w:tr w:rsidR="009271D0" w:rsidRPr="00CD4D4A" w:rsidTr="001504C1">
        <w:trPr>
          <w:trHeight w:val="283"/>
          <w:jc w:val="center"/>
        </w:trPr>
        <w:tc>
          <w:tcPr>
            <w:tcW w:w="2710" w:type="dxa"/>
            <w:tcBorders>
              <w:top w:val="nil"/>
              <w:left w:val="nil"/>
              <w:bottom w:val="single" w:sz="8" w:space="0" w:color="000000"/>
              <w:right w:val="single" w:sz="4" w:space="0" w:color="000000"/>
            </w:tcBorders>
            <w:noWrap/>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未锻轧铜及铜材</w:t>
            </w:r>
          </w:p>
        </w:tc>
        <w:tc>
          <w:tcPr>
            <w:tcW w:w="1124"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481</w:t>
            </w:r>
          </w:p>
        </w:tc>
        <w:tc>
          <w:tcPr>
            <w:tcW w:w="1854"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-0.3</w:t>
            </w:r>
          </w:p>
        </w:tc>
        <w:tc>
          <w:tcPr>
            <w:tcW w:w="1189" w:type="dxa"/>
            <w:tcBorders>
              <w:top w:val="nil"/>
              <w:left w:val="single" w:sz="4" w:space="0" w:color="000000"/>
              <w:bottom w:val="single" w:sz="8" w:space="0" w:color="000000"/>
              <w:right w:val="single" w:sz="4" w:space="0" w:color="000000"/>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1804</w:t>
            </w:r>
          </w:p>
        </w:tc>
        <w:tc>
          <w:tcPr>
            <w:tcW w:w="1853" w:type="dxa"/>
            <w:tcBorders>
              <w:top w:val="nil"/>
              <w:left w:val="single" w:sz="4" w:space="0" w:color="000000"/>
              <w:bottom w:val="single" w:sz="8" w:space="0" w:color="000000"/>
              <w:right w:val="nil"/>
            </w:tcBorders>
            <w:noWrap/>
            <w:vAlign w:val="center"/>
          </w:tcPr>
          <w:p w:rsidR="009271D0" w:rsidRPr="00CD4D4A" w:rsidRDefault="009271D0" w:rsidP="00CD4D4A">
            <w:pPr>
              <w:widowControl/>
              <w:ind w:left="57" w:right="57"/>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-17.4</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2087"/>
        <w:gridCol w:w="1518"/>
        <w:gridCol w:w="1533"/>
        <w:gridCol w:w="1517"/>
        <w:gridCol w:w="1651"/>
      </w:tblGrid>
      <w:tr w:rsidR="009271D0" w:rsidRPr="00CD4D4A" w:rsidTr="001504C1">
        <w:trPr>
          <w:trHeight w:val="567"/>
          <w:jc w:val="center"/>
        </w:trPr>
        <w:tc>
          <w:tcPr>
            <w:tcW w:w="8306" w:type="dxa"/>
            <w:gridSpan w:val="5"/>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10  2015</w:t>
            </w:r>
            <w:r w:rsidRPr="00CD4D4A">
              <w:rPr>
                <w:rFonts w:ascii="Times New Roman" w:hAnsi="Times New Roman" w:hint="eastAsia"/>
                <w:b/>
                <w:bCs/>
                <w:snapToGrid w:val="0"/>
                <w:color w:val="333333"/>
                <w:kern w:val="0"/>
                <w:sz w:val="18"/>
                <w:szCs w:val="18"/>
                <w:bdr w:val="none" w:sz="0" w:space="0" w:color="auto" w:frame="1"/>
              </w:rPr>
              <w:t>年对主要国家和地区货物进出口额及其增长速度</w:t>
            </w:r>
          </w:p>
        </w:tc>
      </w:tr>
      <w:tr w:rsidR="009271D0" w:rsidRPr="00CD4D4A" w:rsidTr="001504C1">
        <w:trPr>
          <w:trHeight w:val="567"/>
          <w:jc w:val="center"/>
        </w:trPr>
        <w:tc>
          <w:tcPr>
            <w:tcW w:w="2087"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国家和地区</w:t>
            </w:r>
          </w:p>
        </w:tc>
        <w:tc>
          <w:tcPr>
            <w:tcW w:w="1518"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出口额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（亿元）</w:t>
            </w:r>
          </w:p>
        </w:tc>
        <w:tc>
          <w:tcPr>
            <w:tcW w:w="1533"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c>
          <w:tcPr>
            <w:tcW w:w="1517"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进口额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（亿元）</w:t>
            </w:r>
          </w:p>
        </w:tc>
        <w:tc>
          <w:tcPr>
            <w:tcW w:w="1651"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2087" w:type="dxa"/>
            <w:tcBorders>
              <w:top w:val="single" w:sz="4" w:space="0" w:color="000000"/>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欧盟</w:t>
            </w:r>
          </w:p>
        </w:tc>
        <w:tc>
          <w:tcPr>
            <w:tcW w:w="1518"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22096</w:t>
            </w:r>
          </w:p>
        </w:tc>
        <w:tc>
          <w:tcPr>
            <w:tcW w:w="1533"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-3.0</w:t>
            </w:r>
          </w:p>
        </w:tc>
        <w:tc>
          <w:tcPr>
            <w:tcW w:w="1517"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12985</w:t>
            </w:r>
          </w:p>
        </w:tc>
        <w:tc>
          <w:tcPr>
            <w:tcW w:w="1651"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-13.6</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美国</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25425</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9238</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-5.4</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东盟</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17221</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12097</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-5.4</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中国香港</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20589</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-7.7</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797</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2.8</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日本</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8424</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-8.3</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8881</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-11.4</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韩国</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6291</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10847</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-7.1</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中国台湾</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2785</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8904</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-4.6</w:t>
            </w:r>
          </w:p>
        </w:tc>
      </w:tr>
      <w:tr w:rsidR="009271D0" w:rsidRPr="00CD4D4A" w:rsidTr="001504C1">
        <w:trPr>
          <w:trHeight w:val="283"/>
          <w:jc w:val="center"/>
        </w:trPr>
        <w:tc>
          <w:tcPr>
            <w:tcW w:w="2087" w:type="dxa"/>
            <w:tcBorders>
              <w:top w:val="nil"/>
              <w:left w:val="nil"/>
              <w:bottom w:val="nil"/>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印度</w:t>
            </w:r>
          </w:p>
        </w:tc>
        <w:tc>
          <w:tcPr>
            <w:tcW w:w="151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3612</w:t>
            </w:r>
          </w:p>
        </w:tc>
        <w:tc>
          <w:tcPr>
            <w:tcW w:w="1533"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8.5</w:t>
            </w:r>
          </w:p>
        </w:tc>
        <w:tc>
          <w:tcPr>
            <w:tcW w:w="15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831</w:t>
            </w:r>
          </w:p>
        </w:tc>
        <w:tc>
          <w:tcPr>
            <w:tcW w:w="1651"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-17.2</w:t>
            </w:r>
          </w:p>
        </w:tc>
      </w:tr>
      <w:tr w:rsidR="009271D0" w:rsidRPr="00CD4D4A" w:rsidTr="001504C1">
        <w:trPr>
          <w:trHeight w:val="283"/>
          <w:jc w:val="center"/>
        </w:trPr>
        <w:tc>
          <w:tcPr>
            <w:tcW w:w="2087" w:type="dxa"/>
            <w:tcBorders>
              <w:top w:val="nil"/>
              <w:left w:val="nil"/>
              <w:bottom w:val="single" w:sz="8" w:space="0" w:color="000000"/>
              <w:right w:val="single" w:sz="4" w:space="0" w:color="000000"/>
            </w:tcBorders>
            <w:vAlign w:val="center"/>
          </w:tcPr>
          <w:p w:rsidR="009271D0" w:rsidRPr="00CD4D4A" w:rsidRDefault="009271D0" w:rsidP="00CD4D4A">
            <w:pPr>
              <w:widowControl/>
              <w:ind w:left="57" w:right="57"/>
              <w:jc w:val="left"/>
              <w:rPr>
                <w:rFonts w:ascii="Times New Roman" w:hAnsi="Times New Roman"/>
                <w:color w:val="333333"/>
                <w:kern w:val="0"/>
                <w:sz w:val="18"/>
                <w:szCs w:val="18"/>
              </w:rPr>
            </w:pPr>
            <w:r w:rsidRPr="00CD4D4A">
              <w:rPr>
                <w:rFonts w:ascii="Times New Roman" w:hAnsi="Times New Roman" w:hint="eastAsia"/>
                <w:snapToGrid w:val="0"/>
                <w:color w:val="000000"/>
                <w:kern w:val="0"/>
                <w:sz w:val="18"/>
                <w:szCs w:val="18"/>
              </w:rPr>
              <w:t>俄罗斯</w:t>
            </w:r>
          </w:p>
        </w:tc>
        <w:tc>
          <w:tcPr>
            <w:tcW w:w="1518"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2161</w:t>
            </w:r>
          </w:p>
        </w:tc>
        <w:tc>
          <w:tcPr>
            <w:tcW w:w="1533"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-34.5</w:t>
            </w:r>
          </w:p>
        </w:tc>
        <w:tc>
          <w:tcPr>
            <w:tcW w:w="1517"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2066</w:t>
            </w:r>
          </w:p>
        </w:tc>
        <w:tc>
          <w:tcPr>
            <w:tcW w:w="1651"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-19.1</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全年服务进出口</w:t>
      </w:r>
      <w:r w:rsidRPr="00CD4D4A">
        <w:rPr>
          <w:rFonts w:ascii="Times New Roman" w:hAnsi="Times New Roman"/>
          <w:color w:val="333333"/>
          <w:kern w:val="0"/>
          <w:sz w:val="18"/>
          <w:szCs w:val="18"/>
          <w:vertAlign w:val="superscript"/>
        </w:rPr>
        <w:t>[26]</w:t>
      </w:r>
      <w:r w:rsidRPr="00CD4D4A">
        <w:rPr>
          <w:rFonts w:ascii="Times New Roman" w:hAnsi="Times New Roman" w:hint="eastAsia"/>
          <w:color w:val="333333"/>
          <w:kern w:val="0"/>
          <w:sz w:val="18"/>
          <w:szCs w:val="18"/>
        </w:rPr>
        <w:t>总额</w:t>
      </w:r>
      <w:r w:rsidRPr="00CD4D4A">
        <w:rPr>
          <w:rFonts w:ascii="Times New Roman" w:hAnsi="Times New Roman"/>
          <w:color w:val="333333"/>
          <w:kern w:val="0"/>
          <w:sz w:val="18"/>
          <w:szCs w:val="18"/>
        </w:rPr>
        <w:t>7130</w:t>
      </w:r>
      <w:r w:rsidRPr="00CD4D4A">
        <w:rPr>
          <w:rFonts w:ascii="Times New Roman" w:hAnsi="Times New Roman" w:hint="eastAsia"/>
          <w:color w:val="333333"/>
          <w:kern w:val="0"/>
          <w:sz w:val="18"/>
          <w:szCs w:val="18"/>
        </w:rPr>
        <w:t>亿美元，比上年增长</w:t>
      </w:r>
      <w:r w:rsidRPr="00CD4D4A">
        <w:rPr>
          <w:rFonts w:ascii="Times New Roman" w:hAnsi="Times New Roman"/>
          <w:color w:val="333333"/>
          <w:kern w:val="0"/>
          <w:sz w:val="18"/>
          <w:szCs w:val="18"/>
        </w:rPr>
        <w:t>14.6%</w:t>
      </w:r>
      <w:r w:rsidRPr="00CD4D4A">
        <w:rPr>
          <w:rFonts w:ascii="Times New Roman" w:hAnsi="Times New Roman" w:hint="eastAsia"/>
          <w:color w:val="333333"/>
          <w:kern w:val="0"/>
          <w:sz w:val="18"/>
          <w:szCs w:val="18"/>
        </w:rPr>
        <w:t>。其中，服务出口</w:t>
      </w:r>
      <w:r w:rsidRPr="00CD4D4A">
        <w:rPr>
          <w:rFonts w:ascii="Times New Roman" w:hAnsi="Times New Roman"/>
          <w:color w:val="333333"/>
          <w:kern w:val="0"/>
          <w:sz w:val="18"/>
          <w:szCs w:val="18"/>
        </w:rPr>
        <w:t>2882</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9.2%</w:t>
      </w:r>
      <w:r w:rsidRPr="00CD4D4A">
        <w:rPr>
          <w:rFonts w:ascii="Times New Roman" w:hAnsi="Times New Roman" w:hint="eastAsia"/>
          <w:color w:val="333333"/>
          <w:kern w:val="0"/>
          <w:sz w:val="18"/>
          <w:szCs w:val="18"/>
        </w:rPr>
        <w:t>；服务进口</w:t>
      </w:r>
      <w:r w:rsidRPr="00CD4D4A">
        <w:rPr>
          <w:rFonts w:ascii="Times New Roman" w:hAnsi="Times New Roman"/>
          <w:color w:val="333333"/>
          <w:kern w:val="0"/>
          <w:sz w:val="18"/>
          <w:szCs w:val="18"/>
        </w:rPr>
        <w:t>4248</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18.6%</w:t>
      </w:r>
      <w:r w:rsidRPr="00CD4D4A">
        <w:rPr>
          <w:rFonts w:ascii="Times New Roman" w:hAnsi="Times New Roman" w:hint="eastAsia"/>
          <w:color w:val="333333"/>
          <w:kern w:val="0"/>
          <w:sz w:val="18"/>
          <w:szCs w:val="18"/>
        </w:rPr>
        <w:t>。服务进出口逆差</w:t>
      </w:r>
      <w:r w:rsidRPr="00CD4D4A">
        <w:rPr>
          <w:rFonts w:ascii="Times New Roman" w:hAnsi="Times New Roman"/>
          <w:color w:val="333333"/>
          <w:kern w:val="0"/>
          <w:sz w:val="18"/>
          <w:szCs w:val="18"/>
        </w:rPr>
        <w:t>1366</w:t>
      </w:r>
      <w:r w:rsidRPr="00CD4D4A">
        <w:rPr>
          <w:rFonts w:ascii="Times New Roman" w:hAnsi="Times New Roman" w:hint="eastAsia"/>
          <w:color w:val="333333"/>
          <w:kern w:val="0"/>
          <w:sz w:val="18"/>
          <w:szCs w:val="18"/>
        </w:rPr>
        <w:t>亿美元。</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全年吸收外商直接投资（不含银行、证券、保险）新设立企业</w:t>
      </w:r>
      <w:r w:rsidRPr="00CD4D4A">
        <w:rPr>
          <w:rFonts w:ascii="Times New Roman" w:hAnsi="Times New Roman"/>
          <w:color w:val="333333"/>
          <w:kern w:val="0"/>
          <w:sz w:val="18"/>
          <w:szCs w:val="18"/>
        </w:rPr>
        <w:t>26575</w:t>
      </w:r>
      <w:r w:rsidRPr="00CD4D4A">
        <w:rPr>
          <w:rFonts w:ascii="Times New Roman" w:hAnsi="Times New Roman" w:hint="eastAsia"/>
          <w:color w:val="333333"/>
          <w:kern w:val="0"/>
          <w:sz w:val="18"/>
          <w:szCs w:val="18"/>
        </w:rPr>
        <w:t>家，比上年增长</w:t>
      </w:r>
      <w:r w:rsidRPr="00CD4D4A">
        <w:rPr>
          <w:rFonts w:ascii="Times New Roman" w:hAnsi="Times New Roman"/>
          <w:color w:val="333333"/>
          <w:kern w:val="0"/>
          <w:sz w:val="18"/>
          <w:szCs w:val="18"/>
        </w:rPr>
        <w:t>11.8%</w:t>
      </w:r>
      <w:r w:rsidRPr="00CD4D4A">
        <w:rPr>
          <w:rFonts w:ascii="Times New Roman" w:hAnsi="Times New Roman" w:hint="eastAsia"/>
          <w:color w:val="333333"/>
          <w:kern w:val="0"/>
          <w:sz w:val="18"/>
          <w:szCs w:val="18"/>
        </w:rPr>
        <w:t>。实际使用外商直接投资金额</w:t>
      </w:r>
      <w:r w:rsidRPr="00CD4D4A">
        <w:rPr>
          <w:rFonts w:ascii="Times New Roman" w:hAnsi="Times New Roman"/>
          <w:color w:val="333333"/>
          <w:kern w:val="0"/>
          <w:sz w:val="18"/>
          <w:szCs w:val="18"/>
        </w:rPr>
        <w:t>7814</w:t>
      </w:r>
      <w:r w:rsidRPr="00CD4D4A">
        <w:rPr>
          <w:rFonts w:ascii="Times New Roman" w:hAnsi="Times New Roman" w:hint="eastAsia"/>
          <w:color w:val="333333"/>
          <w:kern w:val="0"/>
          <w:sz w:val="18"/>
          <w:szCs w:val="18"/>
        </w:rPr>
        <w:t>亿元（折</w:t>
      </w:r>
      <w:r w:rsidRPr="00CD4D4A">
        <w:rPr>
          <w:rFonts w:ascii="Times New Roman" w:hAnsi="Times New Roman"/>
          <w:color w:val="333333"/>
          <w:kern w:val="0"/>
          <w:sz w:val="18"/>
          <w:szCs w:val="18"/>
        </w:rPr>
        <w:t>1263</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6.4%</w:t>
      </w:r>
      <w:r w:rsidRPr="00CD4D4A">
        <w:rPr>
          <w:rFonts w:ascii="Times New Roman" w:hAnsi="Times New Roman" w:hint="eastAsia"/>
          <w:color w:val="333333"/>
          <w:kern w:val="0"/>
          <w:sz w:val="18"/>
          <w:szCs w:val="18"/>
        </w:rPr>
        <w:t>。其中</w:t>
      </w:r>
      <w:r w:rsidRPr="00CD4D4A">
        <w:rPr>
          <w:rFonts w:ascii="Times New Roman" w:hAnsi="Times New Roman"/>
          <w:color w:val="333333"/>
          <w:kern w:val="0"/>
          <w:sz w:val="18"/>
          <w:szCs w:val="18"/>
        </w:rPr>
        <w:t>“</w:t>
      </w:r>
      <w:r w:rsidRPr="00CD4D4A">
        <w:rPr>
          <w:rFonts w:ascii="Times New Roman" w:hAnsi="Times New Roman" w:hint="eastAsia"/>
          <w:color w:val="333333"/>
          <w:kern w:val="0"/>
          <w:sz w:val="18"/>
          <w:szCs w:val="18"/>
        </w:rPr>
        <w:t>一带一路</w:t>
      </w:r>
      <w:r w:rsidRPr="00CD4D4A">
        <w:rPr>
          <w:rFonts w:ascii="Times New Roman" w:hAnsi="Times New Roman"/>
          <w:color w:val="333333"/>
          <w:kern w:val="0"/>
          <w:sz w:val="18"/>
          <w:szCs w:val="18"/>
        </w:rPr>
        <w:t xml:space="preserve">” </w:t>
      </w:r>
      <w:r w:rsidRPr="00CD4D4A">
        <w:rPr>
          <w:rFonts w:ascii="Times New Roman" w:hAnsi="Times New Roman"/>
          <w:color w:val="333333"/>
          <w:kern w:val="0"/>
          <w:sz w:val="18"/>
          <w:szCs w:val="18"/>
          <w:vertAlign w:val="superscript"/>
        </w:rPr>
        <w:t>[27]</w:t>
      </w:r>
      <w:r w:rsidRPr="00CD4D4A">
        <w:rPr>
          <w:rFonts w:ascii="Times New Roman" w:hAnsi="Times New Roman" w:hint="eastAsia"/>
          <w:color w:val="333333"/>
          <w:kern w:val="0"/>
          <w:sz w:val="18"/>
          <w:szCs w:val="18"/>
        </w:rPr>
        <w:t>沿线国家吸收外商直接投资新设立企业</w:t>
      </w:r>
      <w:r w:rsidRPr="00CD4D4A">
        <w:rPr>
          <w:rFonts w:ascii="Times New Roman" w:hAnsi="Times New Roman"/>
          <w:color w:val="333333"/>
          <w:kern w:val="0"/>
          <w:sz w:val="18"/>
          <w:szCs w:val="18"/>
        </w:rPr>
        <w:t>2164</w:t>
      </w:r>
      <w:r w:rsidRPr="00CD4D4A">
        <w:rPr>
          <w:rFonts w:ascii="Times New Roman" w:hAnsi="Times New Roman" w:hint="eastAsia"/>
          <w:color w:val="333333"/>
          <w:kern w:val="0"/>
          <w:sz w:val="18"/>
          <w:szCs w:val="18"/>
        </w:rPr>
        <w:t>家，增长</w:t>
      </w:r>
      <w:r w:rsidRPr="00CD4D4A">
        <w:rPr>
          <w:rFonts w:ascii="Times New Roman" w:hAnsi="Times New Roman"/>
          <w:color w:val="333333"/>
          <w:kern w:val="0"/>
          <w:sz w:val="18"/>
          <w:szCs w:val="18"/>
        </w:rPr>
        <w:t>18.3%</w:t>
      </w:r>
      <w:r w:rsidRPr="00CD4D4A">
        <w:rPr>
          <w:rFonts w:ascii="Times New Roman" w:hAnsi="Times New Roman" w:hint="eastAsia"/>
          <w:color w:val="333333"/>
          <w:kern w:val="0"/>
          <w:sz w:val="18"/>
          <w:szCs w:val="18"/>
        </w:rPr>
        <w:t>；实际使用外商直接投资金额</w:t>
      </w:r>
      <w:r w:rsidRPr="00CD4D4A">
        <w:rPr>
          <w:rFonts w:ascii="Times New Roman" w:hAnsi="Times New Roman"/>
          <w:color w:val="333333"/>
          <w:kern w:val="0"/>
          <w:sz w:val="18"/>
          <w:szCs w:val="18"/>
        </w:rPr>
        <w:t>526</w:t>
      </w:r>
      <w:r w:rsidRPr="00CD4D4A">
        <w:rPr>
          <w:rFonts w:ascii="Times New Roman" w:hAnsi="Times New Roman" w:hint="eastAsia"/>
          <w:color w:val="333333"/>
          <w:kern w:val="0"/>
          <w:sz w:val="18"/>
          <w:szCs w:val="18"/>
        </w:rPr>
        <w:t>亿元（折</w:t>
      </w:r>
      <w:r w:rsidRPr="00CD4D4A">
        <w:rPr>
          <w:rFonts w:ascii="Times New Roman" w:hAnsi="Times New Roman"/>
          <w:color w:val="333333"/>
          <w:kern w:val="0"/>
          <w:sz w:val="18"/>
          <w:szCs w:val="18"/>
        </w:rPr>
        <w:t>85</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25.3%</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Ind w:w="-354" w:type="dxa"/>
        <w:tblCellMar>
          <w:left w:w="0" w:type="dxa"/>
          <w:right w:w="0" w:type="dxa"/>
        </w:tblCellMar>
        <w:tblLook w:val="00A0"/>
      </w:tblPr>
      <w:tblGrid>
        <w:gridCol w:w="3838"/>
        <w:gridCol w:w="1170"/>
        <w:gridCol w:w="1027"/>
        <w:gridCol w:w="1374"/>
        <w:gridCol w:w="1251"/>
      </w:tblGrid>
      <w:tr w:rsidR="009271D0" w:rsidRPr="00CD4D4A" w:rsidTr="001504C1">
        <w:trPr>
          <w:cantSplit/>
          <w:trHeight w:val="567"/>
          <w:jc w:val="center"/>
        </w:trPr>
        <w:tc>
          <w:tcPr>
            <w:tcW w:w="8896" w:type="dxa"/>
            <w:gridSpan w:val="5"/>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11  2015</w:t>
            </w:r>
            <w:r w:rsidRPr="00CD4D4A">
              <w:rPr>
                <w:rFonts w:ascii="Times New Roman" w:hAnsi="Times New Roman" w:hint="eastAsia"/>
                <w:b/>
                <w:bCs/>
                <w:snapToGrid w:val="0"/>
                <w:color w:val="333333"/>
                <w:kern w:val="0"/>
                <w:sz w:val="18"/>
                <w:szCs w:val="18"/>
                <w:bdr w:val="none" w:sz="0" w:space="0" w:color="auto" w:frame="1"/>
              </w:rPr>
              <w:t>年外商直接投资（不含银行、证券、保险）及其增长速度</w:t>
            </w:r>
          </w:p>
        </w:tc>
      </w:tr>
      <w:tr w:rsidR="009271D0" w:rsidRPr="00CD4D4A" w:rsidTr="001504C1">
        <w:trPr>
          <w:cantSplit/>
          <w:trHeight w:val="567"/>
          <w:jc w:val="center"/>
        </w:trPr>
        <w:tc>
          <w:tcPr>
            <w:tcW w:w="3999"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行　　业</w:t>
            </w:r>
          </w:p>
        </w:tc>
        <w:tc>
          <w:tcPr>
            <w:tcW w:w="1188"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企业数</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（家）</w:t>
            </w:r>
          </w:p>
        </w:tc>
        <w:tc>
          <w:tcPr>
            <w:tcW w:w="1042"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c>
          <w:tcPr>
            <w:tcW w:w="1389"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实际使用金额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（亿元）</w:t>
            </w:r>
          </w:p>
        </w:tc>
        <w:tc>
          <w:tcPr>
            <w:tcW w:w="1278"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cantSplit/>
          <w:trHeight w:val="283"/>
          <w:jc w:val="center"/>
        </w:trPr>
        <w:tc>
          <w:tcPr>
            <w:tcW w:w="3999" w:type="dxa"/>
            <w:tcBorders>
              <w:top w:val="single" w:sz="4" w:space="0" w:color="000000"/>
              <w:left w:val="nil"/>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总　　　计</w:t>
            </w:r>
          </w:p>
        </w:tc>
        <w:tc>
          <w:tcPr>
            <w:tcW w:w="1188"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26575</w:t>
            </w:r>
          </w:p>
        </w:tc>
        <w:tc>
          <w:tcPr>
            <w:tcW w:w="1042"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11.8</w:t>
            </w:r>
          </w:p>
        </w:tc>
        <w:tc>
          <w:tcPr>
            <w:tcW w:w="1389"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7813.5</w:t>
            </w:r>
          </w:p>
        </w:tc>
        <w:tc>
          <w:tcPr>
            <w:tcW w:w="1278"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6.4</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其中：农、林、牧、渔业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609</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-15.3</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94.8</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制造业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4507</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-13.0</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2452.3</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0.0</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电力、燃气及水生产和供应业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264</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26.9</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139.4</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交通运输、仓储和邮政业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449</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19.4</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259.7</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-5.0</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信息传输、计算机服务和软件业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1311</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33.6</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237.1</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40.1</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批发和零售业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9156</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14.8</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744.0</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28.0</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房地产业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387</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-13.2</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1789.8</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-15.9</w:t>
            </w:r>
          </w:p>
        </w:tc>
      </w:tr>
      <w:tr w:rsidR="009271D0" w:rsidRPr="00CD4D4A" w:rsidTr="001504C1">
        <w:trPr>
          <w:cantSplit/>
          <w:trHeight w:val="283"/>
          <w:jc w:val="center"/>
        </w:trPr>
        <w:tc>
          <w:tcPr>
            <w:tcW w:w="3999" w:type="dxa"/>
            <w:tcBorders>
              <w:top w:val="nil"/>
              <w:left w:val="nil"/>
              <w:bottom w:val="nil"/>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租赁和商务服务业</w:t>
            </w:r>
          </w:p>
        </w:tc>
        <w:tc>
          <w:tcPr>
            <w:tcW w:w="1188"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4465</w:t>
            </w:r>
          </w:p>
        </w:tc>
        <w:tc>
          <w:tcPr>
            <w:tcW w:w="104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12.7</w:t>
            </w:r>
          </w:p>
        </w:tc>
        <w:tc>
          <w:tcPr>
            <w:tcW w:w="1389"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623.3</w:t>
            </w:r>
          </w:p>
        </w:tc>
        <w:tc>
          <w:tcPr>
            <w:tcW w:w="1278"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-18.8</w:t>
            </w:r>
          </w:p>
        </w:tc>
      </w:tr>
      <w:tr w:rsidR="009271D0" w:rsidRPr="00CD4D4A" w:rsidTr="001504C1">
        <w:trPr>
          <w:cantSplit/>
          <w:trHeight w:val="283"/>
          <w:jc w:val="center"/>
        </w:trPr>
        <w:tc>
          <w:tcPr>
            <w:tcW w:w="3999"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3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居民服务和其他服务业</w:t>
            </w:r>
          </w:p>
        </w:tc>
        <w:tc>
          <w:tcPr>
            <w:tcW w:w="1188"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217</w:t>
            </w:r>
          </w:p>
        </w:tc>
        <w:tc>
          <w:tcPr>
            <w:tcW w:w="1042"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19.9</w:t>
            </w:r>
          </w:p>
        </w:tc>
        <w:tc>
          <w:tcPr>
            <w:tcW w:w="1389"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44.4</w:t>
            </w:r>
          </w:p>
        </w:tc>
        <w:tc>
          <w:tcPr>
            <w:tcW w:w="1278"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0.8</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全年对外直接投资额（不含银行、证券、保险）</w:t>
      </w:r>
      <w:r w:rsidRPr="00CD4D4A">
        <w:rPr>
          <w:rFonts w:ascii="Times New Roman" w:hAnsi="Times New Roman"/>
          <w:color w:val="333333"/>
          <w:kern w:val="0"/>
          <w:sz w:val="18"/>
          <w:szCs w:val="18"/>
        </w:rPr>
        <w:t>7351</w:t>
      </w:r>
      <w:r w:rsidRPr="00CD4D4A">
        <w:rPr>
          <w:rFonts w:ascii="Times New Roman" w:hAnsi="Times New Roman" w:hint="eastAsia"/>
          <w:color w:val="333333"/>
          <w:kern w:val="0"/>
          <w:sz w:val="18"/>
          <w:szCs w:val="18"/>
        </w:rPr>
        <w:t>亿元，按美元计价为</w:t>
      </w:r>
      <w:r w:rsidRPr="00CD4D4A">
        <w:rPr>
          <w:rFonts w:ascii="Times New Roman" w:hAnsi="Times New Roman"/>
          <w:color w:val="333333"/>
          <w:kern w:val="0"/>
          <w:sz w:val="18"/>
          <w:szCs w:val="18"/>
        </w:rPr>
        <w:t>1180</w:t>
      </w:r>
      <w:r w:rsidRPr="00CD4D4A">
        <w:rPr>
          <w:rFonts w:ascii="Times New Roman" w:hAnsi="Times New Roman" w:hint="eastAsia"/>
          <w:color w:val="333333"/>
          <w:kern w:val="0"/>
          <w:sz w:val="18"/>
          <w:szCs w:val="18"/>
        </w:rPr>
        <w:t>亿美元，比上年增长</w:t>
      </w:r>
      <w:r w:rsidRPr="00CD4D4A">
        <w:rPr>
          <w:rFonts w:ascii="Times New Roman" w:hAnsi="Times New Roman"/>
          <w:color w:val="333333"/>
          <w:kern w:val="0"/>
          <w:sz w:val="18"/>
          <w:szCs w:val="18"/>
        </w:rPr>
        <w:t>14.7%</w:t>
      </w:r>
      <w:r w:rsidRPr="00CD4D4A">
        <w:rPr>
          <w:rFonts w:ascii="Times New Roman" w:hAnsi="Times New Roman" w:hint="eastAsia"/>
          <w:color w:val="333333"/>
          <w:kern w:val="0"/>
          <w:sz w:val="18"/>
          <w:szCs w:val="18"/>
        </w:rPr>
        <w:t>。其中，我国对</w:t>
      </w:r>
      <w:r w:rsidRPr="00CD4D4A">
        <w:rPr>
          <w:rFonts w:ascii="Times New Roman" w:hAnsi="Times New Roman"/>
          <w:color w:val="333333"/>
          <w:kern w:val="0"/>
          <w:sz w:val="18"/>
          <w:szCs w:val="18"/>
        </w:rPr>
        <w:t>“</w:t>
      </w:r>
      <w:r w:rsidRPr="00CD4D4A">
        <w:rPr>
          <w:rFonts w:ascii="Times New Roman" w:hAnsi="Times New Roman" w:hint="eastAsia"/>
          <w:color w:val="333333"/>
          <w:kern w:val="0"/>
          <w:sz w:val="18"/>
          <w:szCs w:val="18"/>
        </w:rPr>
        <w:t>一带一路</w:t>
      </w:r>
      <w:r w:rsidRPr="00CD4D4A">
        <w:rPr>
          <w:rFonts w:ascii="Times New Roman" w:hAnsi="Times New Roman"/>
          <w:color w:val="333333"/>
          <w:kern w:val="0"/>
          <w:sz w:val="18"/>
          <w:szCs w:val="18"/>
        </w:rPr>
        <w:t>”</w:t>
      </w:r>
      <w:r w:rsidRPr="00CD4D4A">
        <w:rPr>
          <w:rFonts w:ascii="Times New Roman" w:hAnsi="Times New Roman" w:hint="eastAsia"/>
          <w:color w:val="333333"/>
          <w:kern w:val="0"/>
          <w:sz w:val="18"/>
          <w:szCs w:val="18"/>
        </w:rPr>
        <w:t>沿线国家对外直接投资额达</w:t>
      </w:r>
      <w:r w:rsidRPr="00CD4D4A">
        <w:rPr>
          <w:rFonts w:ascii="Times New Roman" w:hAnsi="Times New Roman"/>
          <w:color w:val="333333"/>
          <w:kern w:val="0"/>
          <w:sz w:val="18"/>
          <w:szCs w:val="18"/>
        </w:rPr>
        <w:t>148</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18.2%</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Ind w:w="-218" w:type="dxa"/>
        <w:tblCellMar>
          <w:left w:w="0" w:type="dxa"/>
          <w:right w:w="0" w:type="dxa"/>
        </w:tblCellMar>
        <w:tblLook w:val="00A0"/>
      </w:tblPr>
      <w:tblGrid>
        <w:gridCol w:w="4969"/>
        <w:gridCol w:w="1932"/>
        <w:gridCol w:w="1623"/>
      </w:tblGrid>
      <w:tr w:rsidR="009271D0" w:rsidRPr="00CD4D4A" w:rsidTr="001504C1">
        <w:trPr>
          <w:cantSplit/>
          <w:trHeight w:val="567"/>
          <w:jc w:val="center"/>
        </w:trPr>
        <w:tc>
          <w:tcPr>
            <w:tcW w:w="8524" w:type="dxa"/>
            <w:gridSpan w:val="3"/>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12  2015</w:t>
            </w:r>
            <w:r w:rsidRPr="00CD4D4A">
              <w:rPr>
                <w:rFonts w:ascii="Times New Roman" w:hAnsi="Times New Roman" w:hint="eastAsia"/>
                <w:b/>
                <w:bCs/>
                <w:snapToGrid w:val="0"/>
                <w:color w:val="333333"/>
                <w:kern w:val="0"/>
                <w:sz w:val="18"/>
                <w:szCs w:val="18"/>
                <w:bdr w:val="none" w:sz="0" w:space="0" w:color="auto" w:frame="1"/>
              </w:rPr>
              <w:t>年对外直接投资额（不含银行、证券、保险）及其增长速度</w:t>
            </w:r>
          </w:p>
        </w:tc>
      </w:tr>
      <w:tr w:rsidR="009271D0" w:rsidRPr="00CD4D4A" w:rsidTr="001504C1">
        <w:trPr>
          <w:cantSplit/>
          <w:trHeight w:val="567"/>
          <w:jc w:val="center"/>
        </w:trPr>
        <w:tc>
          <w:tcPr>
            <w:tcW w:w="4969"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行　　业</w:t>
            </w:r>
          </w:p>
        </w:tc>
        <w:tc>
          <w:tcPr>
            <w:tcW w:w="1932"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对外直接投资金额</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（亿美元）</w:t>
            </w:r>
          </w:p>
        </w:tc>
        <w:tc>
          <w:tcPr>
            <w:tcW w:w="1623"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p>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cantSplit/>
          <w:trHeight w:val="283"/>
          <w:jc w:val="center"/>
        </w:trPr>
        <w:tc>
          <w:tcPr>
            <w:tcW w:w="4969" w:type="dxa"/>
            <w:tcBorders>
              <w:top w:val="single" w:sz="4" w:space="0" w:color="000000"/>
              <w:left w:val="nil"/>
              <w:bottom w:val="nil"/>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总　　　计</w:t>
            </w:r>
          </w:p>
        </w:tc>
        <w:tc>
          <w:tcPr>
            <w:tcW w:w="1932"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1180.2</w:t>
            </w:r>
          </w:p>
        </w:tc>
        <w:tc>
          <w:tcPr>
            <w:tcW w:w="1623"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14.7</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1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其中：农、林、牧、渔业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20.5</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17.8</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采矿业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108.5</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-43.9</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制造业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143.3</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105.9</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电力、热力、燃气及水生产和供应业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27.9</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51.6</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建筑业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45.0</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-35.9</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批发和零售业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160.2</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-7.2</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交通运输、仓储和邮政业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30.9</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信息传输、软件和信息技术服务业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57.8</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240.0</w:t>
            </w:r>
          </w:p>
        </w:tc>
      </w:tr>
      <w:tr w:rsidR="009271D0" w:rsidRPr="00CD4D4A" w:rsidTr="001504C1">
        <w:trPr>
          <w:cantSplit/>
          <w:trHeight w:val="283"/>
          <w:jc w:val="center"/>
        </w:trPr>
        <w:tc>
          <w:tcPr>
            <w:tcW w:w="4969" w:type="dxa"/>
            <w:tcBorders>
              <w:top w:val="nil"/>
              <w:left w:val="nil"/>
              <w:bottom w:val="nil"/>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房地产业</w:t>
            </w:r>
          </w:p>
        </w:tc>
        <w:tc>
          <w:tcPr>
            <w:tcW w:w="193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90.6</w:t>
            </w:r>
          </w:p>
        </w:tc>
        <w:tc>
          <w:tcPr>
            <w:tcW w:w="1623" w:type="dxa"/>
            <w:tcBorders>
              <w:top w:val="nil"/>
              <w:left w:val="single" w:sz="4" w:space="0" w:color="000000"/>
              <w:bottom w:val="nil"/>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193.2</w:t>
            </w:r>
          </w:p>
        </w:tc>
      </w:tr>
      <w:tr w:rsidR="009271D0" w:rsidRPr="00CD4D4A" w:rsidTr="001504C1">
        <w:trPr>
          <w:cantSplit/>
          <w:trHeight w:val="283"/>
          <w:jc w:val="center"/>
        </w:trPr>
        <w:tc>
          <w:tcPr>
            <w:tcW w:w="4969"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40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租赁和商务服务业</w:t>
            </w:r>
          </w:p>
        </w:tc>
        <w:tc>
          <w:tcPr>
            <w:tcW w:w="1932"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416.7</w:t>
            </w:r>
          </w:p>
        </w:tc>
        <w:tc>
          <w:tcPr>
            <w:tcW w:w="1623"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31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11.9</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全年对外承包工程业务完成营业额</w:t>
      </w:r>
      <w:r w:rsidRPr="00CD4D4A">
        <w:rPr>
          <w:rFonts w:ascii="Times New Roman" w:hAnsi="Times New Roman"/>
          <w:color w:val="333333"/>
          <w:kern w:val="0"/>
          <w:sz w:val="18"/>
          <w:szCs w:val="18"/>
        </w:rPr>
        <w:t>9596</w:t>
      </w:r>
      <w:r w:rsidRPr="00CD4D4A">
        <w:rPr>
          <w:rFonts w:ascii="Times New Roman" w:hAnsi="Times New Roman" w:hint="eastAsia"/>
          <w:color w:val="333333"/>
          <w:kern w:val="0"/>
          <w:sz w:val="18"/>
          <w:szCs w:val="18"/>
        </w:rPr>
        <w:t>亿元，按美元计价为</w:t>
      </w:r>
      <w:r w:rsidRPr="00CD4D4A">
        <w:rPr>
          <w:rFonts w:ascii="Times New Roman" w:hAnsi="Times New Roman"/>
          <w:color w:val="333333"/>
          <w:kern w:val="0"/>
          <w:sz w:val="18"/>
          <w:szCs w:val="18"/>
        </w:rPr>
        <w:t>1541</w:t>
      </w:r>
      <w:r w:rsidRPr="00CD4D4A">
        <w:rPr>
          <w:rFonts w:ascii="Times New Roman" w:hAnsi="Times New Roman" w:hint="eastAsia"/>
          <w:color w:val="333333"/>
          <w:kern w:val="0"/>
          <w:sz w:val="18"/>
          <w:szCs w:val="18"/>
        </w:rPr>
        <w:t>亿美元，比上年增长</w:t>
      </w:r>
      <w:r w:rsidRPr="00CD4D4A">
        <w:rPr>
          <w:rFonts w:ascii="Times New Roman" w:hAnsi="Times New Roman"/>
          <w:color w:val="333333"/>
          <w:kern w:val="0"/>
          <w:sz w:val="18"/>
          <w:szCs w:val="18"/>
        </w:rPr>
        <w:t>8.2%</w:t>
      </w:r>
      <w:r w:rsidRPr="00CD4D4A">
        <w:rPr>
          <w:rFonts w:ascii="Times New Roman" w:hAnsi="Times New Roman" w:hint="eastAsia"/>
          <w:color w:val="333333"/>
          <w:kern w:val="0"/>
          <w:sz w:val="18"/>
          <w:szCs w:val="18"/>
        </w:rPr>
        <w:t>。对外劳务合作派出各类劳务人员</w:t>
      </w:r>
      <w:r w:rsidRPr="00CD4D4A">
        <w:rPr>
          <w:rFonts w:ascii="Times New Roman" w:hAnsi="Times New Roman"/>
          <w:color w:val="333333"/>
          <w:kern w:val="0"/>
          <w:sz w:val="18"/>
          <w:szCs w:val="18"/>
        </w:rPr>
        <w:t>53</w:t>
      </w:r>
      <w:r w:rsidRPr="00CD4D4A">
        <w:rPr>
          <w:rFonts w:ascii="Times New Roman" w:hAnsi="Times New Roman" w:hint="eastAsia"/>
          <w:color w:val="333333"/>
          <w:kern w:val="0"/>
          <w:sz w:val="18"/>
          <w:szCs w:val="18"/>
        </w:rPr>
        <w:t>万人，下降</w:t>
      </w:r>
      <w:r w:rsidRPr="00CD4D4A">
        <w:rPr>
          <w:rFonts w:ascii="Times New Roman" w:hAnsi="Times New Roman"/>
          <w:color w:val="333333"/>
          <w:kern w:val="0"/>
          <w:sz w:val="18"/>
          <w:szCs w:val="18"/>
        </w:rPr>
        <w:t>5.7%</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七、交通</w:t>
      </w:r>
      <w:r w:rsidRPr="00CD4D4A">
        <w:rPr>
          <w:rFonts w:ascii="Times New Roman" w:hAnsi="Times New Roman"/>
          <w:b/>
          <w:bCs/>
          <w:color w:val="333333"/>
          <w:kern w:val="0"/>
          <w:sz w:val="18"/>
          <w:szCs w:val="18"/>
          <w:bdr w:val="none" w:sz="0" w:space="0" w:color="auto" w:frame="1"/>
          <w:vertAlign w:val="superscript"/>
        </w:rPr>
        <w:t>[28]</w:t>
      </w:r>
      <w:r w:rsidRPr="00CD4D4A">
        <w:rPr>
          <w:rFonts w:ascii="Times New Roman" w:hAnsi="Times New Roman" w:hint="eastAsia"/>
          <w:b/>
          <w:bCs/>
          <w:color w:val="333333"/>
          <w:kern w:val="0"/>
          <w:sz w:val="18"/>
          <w:szCs w:val="18"/>
          <w:bdr w:val="none" w:sz="0" w:space="0" w:color="auto" w:frame="1"/>
        </w:rPr>
        <w:t>、邮电和旅游</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全年货物运输总量</w:t>
      </w:r>
      <w:r w:rsidRPr="00CD4D4A">
        <w:rPr>
          <w:rFonts w:ascii="Times New Roman" w:hAnsi="Times New Roman"/>
          <w:color w:val="333333"/>
          <w:kern w:val="0"/>
          <w:sz w:val="18"/>
          <w:szCs w:val="18"/>
        </w:rPr>
        <w:t>417</w:t>
      </w:r>
      <w:r w:rsidRPr="00CD4D4A">
        <w:rPr>
          <w:rFonts w:ascii="Times New Roman" w:hAnsi="Times New Roman" w:hint="eastAsia"/>
          <w:color w:val="333333"/>
          <w:kern w:val="0"/>
          <w:sz w:val="18"/>
          <w:szCs w:val="18"/>
        </w:rPr>
        <w:t>亿吨，比上年增长</w:t>
      </w:r>
      <w:r w:rsidRPr="00CD4D4A">
        <w:rPr>
          <w:rFonts w:ascii="Times New Roman" w:hAnsi="Times New Roman"/>
          <w:color w:val="333333"/>
          <w:kern w:val="0"/>
          <w:sz w:val="18"/>
          <w:szCs w:val="18"/>
        </w:rPr>
        <w:t>0.2%</w:t>
      </w:r>
      <w:r w:rsidRPr="00CD4D4A">
        <w:rPr>
          <w:rFonts w:ascii="Times New Roman" w:hAnsi="Times New Roman" w:hint="eastAsia"/>
          <w:color w:val="333333"/>
          <w:kern w:val="0"/>
          <w:sz w:val="18"/>
          <w:szCs w:val="18"/>
        </w:rPr>
        <w:t>。货物运输周转量</w:t>
      </w:r>
      <w:r w:rsidRPr="00CD4D4A">
        <w:rPr>
          <w:rFonts w:ascii="Times New Roman" w:hAnsi="Times New Roman"/>
          <w:color w:val="333333"/>
          <w:kern w:val="0"/>
          <w:sz w:val="18"/>
          <w:szCs w:val="18"/>
        </w:rPr>
        <w:t>177401</w:t>
      </w:r>
      <w:r w:rsidRPr="00CD4D4A">
        <w:rPr>
          <w:rFonts w:ascii="Times New Roman" w:hAnsi="Times New Roman" w:hint="eastAsia"/>
          <w:color w:val="333333"/>
          <w:kern w:val="0"/>
          <w:sz w:val="18"/>
          <w:szCs w:val="18"/>
        </w:rPr>
        <w:t>亿吨公里，下降</w:t>
      </w:r>
      <w:r w:rsidRPr="00CD4D4A">
        <w:rPr>
          <w:rFonts w:ascii="Times New Roman" w:hAnsi="Times New Roman"/>
          <w:color w:val="333333"/>
          <w:kern w:val="0"/>
          <w:sz w:val="18"/>
          <w:szCs w:val="18"/>
        </w:rPr>
        <w:t>1.9%</w:t>
      </w:r>
      <w:r w:rsidRPr="00CD4D4A">
        <w:rPr>
          <w:rFonts w:ascii="Times New Roman" w:hAnsi="Times New Roman" w:hint="eastAsia"/>
          <w:color w:val="333333"/>
          <w:kern w:val="0"/>
          <w:sz w:val="18"/>
          <w:szCs w:val="18"/>
        </w:rPr>
        <w:t>。全年规模以上港口完成货物吞吐量</w:t>
      </w:r>
      <w:r w:rsidRPr="00CD4D4A">
        <w:rPr>
          <w:rFonts w:ascii="Times New Roman" w:hAnsi="Times New Roman"/>
          <w:color w:val="333333"/>
          <w:kern w:val="0"/>
          <w:sz w:val="18"/>
          <w:szCs w:val="18"/>
        </w:rPr>
        <w:t>114.3</w:t>
      </w:r>
      <w:r w:rsidRPr="00CD4D4A">
        <w:rPr>
          <w:rFonts w:ascii="Times New Roman" w:hAnsi="Times New Roman" w:hint="eastAsia"/>
          <w:color w:val="333333"/>
          <w:kern w:val="0"/>
          <w:sz w:val="18"/>
          <w:szCs w:val="18"/>
        </w:rPr>
        <w:t>亿吨，比上年增长</w:t>
      </w:r>
      <w:r w:rsidRPr="00CD4D4A">
        <w:rPr>
          <w:rFonts w:ascii="Times New Roman" w:hAnsi="Times New Roman"/>
          <w:color w:val="333333"/>
          <w:kern w:val="0"/>
          <w:sz w:val="18"/>
          <w:szCs w:val="18"/>
        </w:rPr>
        <w:t>1.6%</w:t>
      </w:r>
      <w:r w:rsidRPr="00CD4D4A">
        <w:rPr>
          <w:rFonts w:ascii="Times New Roman" w:hAnsi="Times New Roman" w:hint="eastAsia"/>
          <w:color w:val="333333"/>
          <w:kern w:val="0"/>
          <w:sz w:val="18"/>
          <w:szCs w:val="18"/>
        </w:rPr>
        <w:t>，其中外贸货物吞吐量</w:t>
      </w:r>
      <w:r w:rsidRPr="00CD4D4A">
        <w:rPr>
          <w:rFonts w:ascii="Times New Roman" w:hAnsi="Times New Roman"/>
          <w:color w:val="333333"/>
          <w:kern w:val="0"/>
          <w:sz w:val="18"/>
          <w:szCs w:val="18"/>
        </w:rPr>
        <w:t>35.9</w:t>
      </w:r>
      <w:r w:rsidRPr="00CD4D4A">
        <w:rPr>
          <w:rFonts w:ascii="Times New Roman" w:hAnsi="Times New Roman" w:hint="eastAsia"/>
          <w:color w:val="333333"/>
          <w:kern w:val="0"/>
          <w:sz w:val="18"/>
          <w:szCs w:val="18"/>
        </w:rPr>
        <w:t>亿吨，增长</w:t>
      </w:r>
      <w:r w:rsidRPr="00CD4D4A">
        <w:rPr>
          <w:rFonts w:ascii="Times New Roman" w:hAnsi="Times New Roman"/>
          <w:color w:val="333333"/>
          <w:kern w:val="0"/>
          <w:sz w:val="18"/>
          <w:szCs w:val="18"/>
        </w:rPr>
        <w:t>1.1%</w:t>
      </w:r>
      <w:r w:rsidRPr="00CD4D4A">
        <w:rPr>
          <w:rFonts w:ascii="Times New Roman" w:hAnsi="Times New Roman" w:hint="eastAsia"/>
          <w:color w:val="333333"/>
          <w:kern w:val="0"/>
          <w:sz w:val="18"/>
          <w:szCs w:val="18"/>
        </w:rPr>
        <w:t>。规模以上港口集装箱吞吐量</w:t>
      </w:r>
      <w:r w:rsidRPr="00CD4D4A">
        <w:rPr>
          <w:rFonts w:ascii="Times New Roman" w:hAnsi="Times New Roman"/>
          <w:color w:val="333333"/>
          <w:kern w:val="0"/>
          <w:sz w:val="18"/>
          <w:szCs w:val="18"/>
        </w:rPr>
        <w:t>20959</w:t>
      </w:r>
      <w:r w:rsidRPr="00CD4D4A">
        <w:rPr>
          <w:rFonts w:ascii="Times New Roman" w:hAnsi="Times New Roman" w:hint="eastAsia"/>
          <w:color w:val="333333"/>
          <w:kern w:val="0"/>
          <w:sz w:val="18"/>
          <w:szCs w:val="18"/>
        </w:rPr>
        <w:t>万标准箱，增长</w:t>
      </w:r>
      <w:r w:rsidRPr="00CD4D4A">
        <w:rPr>
          <w:rFonts w:ascii="Times New Roman" w:hAnsi="Times New Roman"/>
          <w:color w:val="333333"/>
          <w:kern w:val="0"/>
          <w:sz w:val="18"/>
          <w:szCs w:val="18"/>
        </w:rPr>
        <w:t>4.1%</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2309"/>
        <w:gridCol w:w="1995"/>
        <w:gridCol w:w="1875"/>
        <w:gridCol w:w="2092"/>
        <w:gridCol w:w="50"/>
      </w:tblGrid>
      <w:tr w:rsidR="009271D0" w:rsidRPr="00CD4D4A" w:rsidTr="001504C1">
        <w:trPr>
          <w:trHeight w:val="567"/>
          <w:jc w:val="center"/>
        </w:trPr>
        <w:tc>
          <w:tcPr>
            <w:tcW w:w="8271" w:type="dxa"/>
            <w:gridSpan w:val="4"/>
            <w:tcBorders>
              <w:top w:val="nil"/>
              <w:left w:val="nil"/>
              <w:bottom w:val="single" w:sz="8" w:space="0" w:color="000000"/>
              <w:right w:val="nil"/>
            </w:tcBorders>
            <w:shd w:val="clear" w:color="auto" w:fill="FFFFFF"/>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13  2015</w:t>
            </w:r>
            <w:r w:rsidRPr="00CD4D4A">
              <w:rPr>
                <w:rFonts w:ascii="Times New Roman" w:hAnsi="Times New Roman" w:hint="eastAsia"/>
                <w:b/>
                <w:bCs/>
                <w:snapToGrid w:val="0"/>
                <w:color w:val="333333"/>
                <w:kern w:val="0"/>
                <w:sz w:val="18"/>
                <w:szCs w:val="18"/>
                <w:bdr w:val="none" w:sz="0" w:space="0" w:color="auto" w:frame="1"/>
              </w:rPr>
              <w:t>年各种运输方式完成货物运输量及其增长速度</w:t>
            </w:r>
          </w:p>
        </w:tc>
        <w:tc>
          <w:tcPr>
            <w:tcW w:w="50" w:type="dxa"/>
            <w:tcBorders>
              <w:top w:val="nil"/>
              <w:left w:val="nil"/>
              <w:bottom w:val="single" w:sz="8" w:space="0" w:color="000000"/>
              <w:right w:val="nil"/>
            </w:tcBorders>
            <w:vAlign w:val="center"/>
          </w:tcPr>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c>
      </w:tr>
      <w:tr w:rsidR="009271D0" w:rsidRPr="00CD4D4A" w:rsidTr="001504C1">
        <w:trPr>
          <w:trHeight w:val="567"/>
          <w:jc w:val="center"/>
        </w:trPr>
        <w:tc>
          <w:tcPr>
            <w:tcW w:w="2309" w:type="dxa"/>
            <w:tcBorders>
              <w:top w:val="single" w:sz="8" w:space="0" w:color="000000"/>
              <w:left w:val="nil"/>
              <w:bottom w:val="single" w:sz="4" w:space="0" w:color="000000"/>
              <w:right w:val="single" w:sz="4" w:space="0" w:color="000000"/>
            </w:tcBorders>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指　　　标</w:t>
            </w:r>
          </w:p>
        </w:tc>
        <w:tc>
          <w:tcPr>
            <w:tcW w:w="1995" w:type="dxa"/>
            <w:tcBorders>
              <w:top w:val="single" w:sz="8"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单　　位</w:t>
            </w:r>
          </w:p>
        </w:tc>
        <w:tc>
          <w:tcPr>
            <w:tcW w:w="1875"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绝对数</w:t>
            </w:r>
          </w:p>
        </w:tc>
        <w:tc>
          <w:tcPr>
            <w:tcW w:w="2142" w:type="dxa"/>
            <w:gridSpan w:val="2"/>
            <w:tcBorders>
              <w:top w:val="single" w:sz="8" w:space="0" w:color="000000"/>
              <w:left w:val="single" w:sz="4" w:space="0" w:color="000000"/>
              <w:bottom w:val="single" w:sz="4" w:space="0" w:color="000000"/>
            </w:tcBorders>
            <w:noWrap/>
            <w:tcMar>
              <w:top w:w="15" w:type="dxa"/>
              <w:left w:w="15" w:type="dxa"/>
              <w:bottom w:w="0" w:type="dxa"/>
              <w:right w:w="15" w:type="dxa"/>
            </w:tcMar>
            <w:vAlign w:val="center"/>
          </w:tcPr>
          <w:p w:rsidR="009271D0" w:rsidRPr="00CD4D4A" w:rsidRDefault="009271D0" w:rsidP="001504C1">
            <w:pPr>
              <w:widowControl/>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2309" w:type="dxa"/>
            <w:tcBorders>
              <w:top w:val="single" w:sz="4" w:space="0" w:color="000000"/>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货物运输总量</w:t>
            </w:r>
          </w:p>
        </w:tc>
        <w:tc>
          <w:tcPr>
            <w:tcW w:w="1995" w:type="dxa"/>
            <w:tcBorders>
              <w:top w:val="single" w:sz="4" w:space="0" w:color="000000"/>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w:t>
            </w:r>
          </w:p>
        </w:tc>
        <w:tc>
          <w:tcPr>
            <w:tcW w:w="1875"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417.1</w:t>
            </w:r>
          </w:p>
        </w:tc>
        <w:tc>
          <w:tcPr>
            <w:tcW w:w="2142" w:type="dxa"/>
            <w:gridSpan w:val="2"/>
            <w:tcBorders>
              <w:top w:val="single" w:sz="4" w:space="0" w:color="000000"/>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0.2</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铁路</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33.6</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-11.9</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公路</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315.0</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水运</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61.4</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民航</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万吨</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625.3</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5.2</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5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管道</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7.1</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货物运输周转量</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177400.7</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2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铁路</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23754.3</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-13.7</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2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公路</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57955.7</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2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水运</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91344.6</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w:t>
            </w:r>
          </w:p>
        </w:tc>
      </w:tr>
      <w:tr w:rsidR="009271D0" w:rsidRPr="00CD4D4A" w:rsidTr="001504C1">
        <w:trPr>
          <w:trHeight w:val="283"/>
          <w:jc w:val="center"/>
        </w:trPr>
        <w:tc>
          <w:tcPr>
            <w:tcW w:w="2309"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2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民航</w:t>
            </w:r>
          </w:p>
        </w:tc>
        <w:tc>
          <w:tcPr>
            <w:tcW w:w="1995"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207.3</w:t>
            </w:r>
          </w:p>
        </w:tc>
        <w:tc>
          <w:tcPr>
            <w:tcW w:w="2142" w:type="dxa"/>
            <w:gridSpan w:val="2"/>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10.4</w:t>
            </w:r>
          </w:p>
        </w:tc>
      </w:tr>
      <w:tr w:rsidR="009271D0" w:rsidRPr="00CD4D4A" w:rsidTr="001504C1">
        <w:trPr>
          <w:trHeight w:val="283"/>
          <w:jc w:val="center"/>
        </w:trPr>
        <w:tc>
          <w:tcPr>
            <w:tcW w:w="2309" w:type="dxa"/>
            <w:tcBorders>
              <w:top w:val="nil"/>
              <w:left w:val="nil"/>
              <w:bottom w:val="single" w:sz="8" w:space="0" w:color="000000"/>
              <w:right w:val="single" w:sz="4" w:space="0" w:color="000000"/>
            </w:tcBorders>
            <w:noWrap/>
            <w:tcMar>
              <w:top w:w="15" w:type="dxa"/>
              <w:left w:w="15" w:type="dxa"/>
              <w:bottom w:w="0" w:type="dxa"/>
              <w:right w:w="15" w:type="dxa"/>
            </w:tcMar>
            <w:vAlign w:val="center"/>
          </w:tcPr>
          <w:p w:rsidR="009271D0" w:rsidRPr="00CD4D4A" w:rsidRDefault="009271D0" w:rsidP="009271D0">
            <w:pPr>
              <w:widowControl/>
              <w:ind w:right="57" w:firstLineChars="2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管道</w:t>
            </w:r>
          </w:p>
        </w:tc>
        <w:tc>
          <w:tcPr>
            <w:tcW w:w="1995" w:type="dxa"/>
            <w:tcBorders>
              <w:top w:val="nil"/>
              <w:left w:val="single" w:sz="4" w:space="0" w:color="000000"/>
              <w:bottom w:val="single" w:sz="8" w:space="0" w:color="000000"/>
              <w:right w:val="single" w:sz="4" w:space="0" w:color="000000"/>
            </w:tcBorders>
            <w:noWrap/>
            <w:tcMar>
              <w:top w:w="15" w:type="dxa"/>
              <w:left w:w="15" w:type="dxa"/>
              <w:bottom w:w="0" w:type="dxa"/>
              <w:right w:w="15" w:type="dxa"/>
            </w:tcMar>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亿吨公里</w:t>
            </w:r>
          </w:p>
        </w:tc>
        <w:tc>
          <w:tcPr>
            <w:tcW w:w="1875"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4138.8</w:t>
            </w:r>
          </w:p>
        </w:tc>
        <w:tc>
          <w:tcPr>
            <w:tcW w:w="2142" w:type="dxa"/>
            <w:gridSpan w:val="2"/>
            <w:tcBorders>
              <w:top w:val="nil"/>
              <w:left w:val="single" w:sz="4" w:space="0" w:color="000000"/>
              <w:bottom w:val="single" w:sz="8" w:space="0" w:color="000000"/>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6.6</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全年旅客运输总量</w:t>
      </w:r>
      <w:r w:rsidRPr="00CD4D4A">
        <w:rPr>
          <w:rFonts w:ascii="Times New Roman" w:hAnsi="Times New Roman"/>
          <w:color w:val="333333"/>
          <w:kern w:val="0"/>
          <w:sz w:val="18"/>
          <w:szCs w:val="18"/>
        </w:rPr>
        <w:t>194</w:t>
      </w:r>
      <w:r w:rsidRPr="00CD4D4A">
        <w:rPr>
          <w:rFonts w:ascii="Times New Roman" w:hAnsi="Times New Roman" w:hint="eastAsia"/>
          <w:color w:val="333333"/>
          <w:kern w:val="0"/>
          <w:sz w:val="18"/>
          <w:szCs w:val="18"/>
        </w:rPr>
        <w:t>亿人次，比上年下降</w:t>
      </w:r>
      <w:r w:rsidRPr="00CD4D4A">
        <w:rPr>
          <w:rFonts w:ascii="Times New Roman" w:hAnsi="Times New Roman"/>
          <w:color w:val="333333"/>
          <w:kern w:val="0"/>
          <w:sz w:val="18"/>
          <w:szCs w:val="18"/>
        </w:rPr>
        <w:t>4.4%</w:t>
      </w:r>
      <w:r w:rsidRPr="00CD4D4A">
        <w:rPr>
          <w:rFonts w:ascii="Times New Roman" w:hAnsi="Times New Roman" w:hint="eastAsia"/>
          <w:color w:val="333333"/>
          <w:kern w:val="0"/>
          <w:sz w:val="18"/>
          <w:szCs w:val="18"/>
        </w:rPr>
        <w:t>。旅客运输周转量</w:t>
      </w:r>
      <w:r w:rsidRPr="00CD4D4A">
        <w:rPr>
          <w:rFonts w:ascii="Times New Roman" w:hAnsi="Times New Roman"/>
          <w:color w:val="333333"/>
          <w:kern w:val="0"/>
          <w:sz w:val="18"/>
          <w:szCs w:val="18"/>
        </w:rPr>
        <w:t>30047</w:t>
      </w:r>
      <w:r w:rsidRPr="00CD4D4A">
        <w:rPr>
          <w:rFonts w:ascii="Times New Roman" w:hAnsi="Times New Roman" w:hint="eastAsia"/>
          <w:color w:val="333333"/>
          <w:kern w:val="0"/>
          <w:sz w:val="18"/>
          <w:szCs w:val="18"/>
        </w:rPr>
        <w:t>亿人公里，增长</w:t>
      </w:r>
      <w:r w:rsidRPr="00CD4D4A">
        <w:rPr>
          <w:rFonts w:ascii="Times New Roman" w:hAnsi="Times New Roman"/>
          <w:color w:val="333333"/>
          <w:kern w:val="0"/>
          <w:sz w:val="18"/>
          <w:szCs w:val="18"/>
        </w:rPr>
        <w:t>4.9%</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2381"/>
        <w:gridCol w:w="1904"/>
        <w:gridCol w:w="1707"/>
        <w:gridCol w:w="2344"/>
      </w:tblGrid>
      <w:tr w:rsidR="009271D0" w:rsidRPr="00CD4D4A" w:rsidTr="001504C1">
        <w:trPr>
          <w:trHeight w:val="567"/>
          <w:jc w:val="center"/>
        </w:trPr>
        <w:tc>
          <w:tcPr>
            <w:tcW w:w="8336" w:type="dxa"/>
            <w:gridSpan w:val="4"/>
            <w:tcBorders>
              <w:top w:val="nil"/>
              <w:left w:val="nil"/>
              <w:bottom w:val="single" w:sz="8" w:space="0" w:color="000000"/>
              <w:right w:val="nil"/>
            </w:tcBorders>
            <w:shd w:val="clear" w:color="auto" w:fill="FFFFFF"/>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14  2015</w:t>
            </w:r>
            <w:r w:rsidRPr="00CD4D4A">
              <w:rPr>
                <w:rFonts w:ascii="Times New Roman" w:hAnsi="Times New Roman" w:hint="eastAsia"/>
                <w:b/>
                <w:bCs/>
                <w:snapToGrid w:val="0"/>
                <w:color w:val="333333"/>
                <w:kern w:val="0"/>
                <w:sz w:val="18"/>
                <w:szCs w:val="18"/>
                <w:bdr w:val="none" w:sz="0" w:space="0" w:color="auto" w:frame="1"/>
              </w:rPr>
              <w:t>年各种运输方式完成旅客运输量及其增长速度</w:t>
            </w:r>
          </w:p>
        </w:tc>
      </w:tr>
      <w:tr w:rsidR="009271D0" w:rsidRPr="00CD4D4A" w:rsidTr="001504C1">
        <w:trPr>
          <w:trHeight w:val="567"/>
          <w:jc w:val="center"/>
        </w:trPr>
        <w:tc>
          <w:tcPr>
            <w:tcW w:w="2381" w:type="dxa"/>
            <w:tcBorders>
              <w:top w:val="single" w:sz="8" w:space="0" w:color="000000"/>
              <w:left w:val="nil"/>
              <w:bottom w:val="single" w:sz="4" w:space="0" w:color="000000"/>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指　　　标</w:t>
            </w:r>
          </w:p>
        </w:tc>
        <w:tc>
          <w:tcPr>
            <w:tcW w:w="1904" w:type="dxa"/>
            <w:tcBorders>
              <w:top w:val="single" w:sz="8" w:space="0" w:color="000000"/>
              <w:left w:val="single" w:sz="4" w:space="0" w:color="000000"/>
              <w:bottom w:val="single" w:sz="4" w:space="0" w:color="000000"/>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单　　位</w:t>
            </w:r>
          </w:p>
        </w:tc>
        <w:tc>
          <w:tcPr>
            <w:tcW w:w="1707"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绝对数</w:t>
            </w:r>
          </w:p>
        </w:tc>
        <w:tc>
          <w:tcPr>
            <w:tcW w:w="2344" w:type="dxa"/>
            <w:tcBorders>
              <w:top w:val="single" w:sz="8" w:space="0" w:color="000000"/>
              <w:left w:val="single" w:sz="4" w:space="0" w:color="000000"/>
              <w:bottom w:val="single" w:sz="4" w:space="0" w:color="000000"/>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2381" w:type="dxa"/>
            <w:tcBorders>
              <w:top w:val="single" w:sz="4" w:space="0" w:color="000000"/>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旅客运输总量</w:t>
            </w:r>
          </w:p>
        </w:tc>
        <w:tc>
          <w:tcPr>
            <w:tcW w:w="1904" w:type="dxa"/>
            <w:tcBorders>
              <w:top w:val="single" w:sz="4" w:space="0" w:color="000000"/>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亿人次</w:t>
            </w:r>
          </w:p>
        </w:tc>
        <w:tc>
          <w:tcPr>
            <w:tcW w:w="1707" w:type="dxa"/>
            <w:tcBorders>
              <w:top w:val="single" w:sz="4" w:space="0" w:color="000000"/>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194.3</w:t>
            </w:r>
          </w:p>
        </w:tc>
        <w:tc>
          <w:tcPr>
            <w:tcW w:w="2344" w:type="dxa"/>
            <w:tcBorders>
              <w:top w:val="single" w:sz="4" w:space="0" w:color="000000"/>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铁路</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亿人次</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25.3</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10.0</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公路</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亿人次</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161.9</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-6.7</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水运</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亿人次</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2.8</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民航</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亿人次</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4.4</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11.1</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旅客运输周转量</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亿人公里</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30047.0</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4.9</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铁路</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亿人公里</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11960.6</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6.4</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公路</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亿人公里</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10742.7</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w:t>
            </w:r>
          </w:p>
        </w:tc>
      </w:tr>
      <w:tr w:rsidR="009271D0" w:rsidRPr="00CD4D4A" w:rsidTr="001504C1">
        <w:trPr>
          <w:trHeight w:val="283"/>
          <w:jc w:val="center"/>
        </w:trPr>
        <w:tc>
          <w:tcPr>
            <w:tcW w:w="2381" w:type="dxa"/>
            <w:tcBorders>
              <w:top w:val="nil"/>
              <w:left w:val="nil"/>
              <w:bottom w:val="nil"/>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水运</w:t>
            </w:r>
          </w:p>
        </w:tc>
        <w:tc>
          <w:tcPr>
            <w:tcW w:w="1904" w:type="dxa"/>
            <w:tcBorders>
              <w:top w:val="nil"/>
              <w:left w:val="single" w:sz="4" w:space="0" w:color="000000"/>
              <w:bottom w:val="nil"/>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亿人公里</w:t>
            </w:r>
          </w:p>
        </w:tc>
        <w:tc>
          <w:tcPr>
            <w:tcW w:w="1707" w:type="dxa"/>
            <w:tcBorders>
              <w:top w:val="nil"/>
              <w:left w:val="single" w:sz="4" w:space="0" w:color="000000"/>
              <w:bottom w:val="nil"/>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73.1</w:t>
            </w:r>
          </w:p>
        </w:tc>
        <w:tc>
          <w:tcPr>
            <w:tcW w:w="2344" w:type="dxa"/>
            <w:tcBorders>
              <w:top w:val="nil"/>
              <w:left w:val="single" w:sz="4" w:space="0" w:color="000000"/>
              <w:bottom w:val="nil"/>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w:t>
            </w:r>
          </w:p>
        </w:tc>
      </w:tr>
      <w:tr w:rsidR="009271D0" w:rsidRPr="00CD4D4A" w:rsidTr="001504C1">
        <w:trPr>
          <w:trHeight w:val="283"/>
          <w:jc w:val="center"/>
        </w:trPr>
        <w:tc>
          <w:tcPr>
            <w:tcW w:w="2381" w:type="dxa"/>
            <w:tcBorders>
              <w:top w:val="nil"/>
              <w:left w:val="nil"/>
              <w:bottom w:val="single" w:sz="8" w:space="0" w:color="000000"/>
              <w:right w:val="single" w:sz="4" w:space="0" w:color="000000"/>
            </w:tcBorders>
            <w:noWrap/>
            <w:tcMar>
              <w:top w:w="15" w:type="dxa"/>
              <w:left w:w="15" w:type="dxa"/>
              <w:bottom w:w="0" w:type="dxa"/>
              <w:right w:w="15" w:type="dxa"/>
            </w:tcMar>
            <w:vAlign w:val="center"/>
          </w:tcPr>
          <w:p w:rsidR="009271D0" w:rsidRPr="00CD4D4A" w:rsidRDefault="009271D0" w:rsidP="009271D0">
            <w:pPr>
              <w:widowControl/>
              <w:snapToGrid w:val="0"/>
              <w:ind w:leftChars="27" w:left="31680" w:right="57" w:firstLineChars="100" w:firstLine="31680"/>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民航</w:t>
            </w:r>
          </w:p>
        </w:tc>
        <w:tc>
          <w:tcPr>
            <w:tcW w:w="1904" w:type="dxa"/>
            <w:tcBorders>
              <w:top w:val="nil"/>
              <w:left w:val="single" w:sz="4" w:space="0" w:color="000000"/>
              <w:bottom w:val="single" w:sz="8" w:space="0" w:color="000000"/>
              <w:right w:val="single" w:sz="4" w:space="0" w:color="000000"/>
            </w:tcBorders>
            <w:noWrap/>
            <w:tcMar>
              <w:top w:w="15" w:type="dxa"/>
              <w:left w:w="15" w:type="dxa"/>
              <w:bottom w:w="0" w:type="dxa"/>
              <w:right w:w="15" w:type="dxa"/>
            </w:tcMar>
            <w:vAlign w:val="center"/>
          </w:tcPr>
          <w:p w:rsidR="009271D0" w:rsidRPr="00CD4D4A" w:rsidRDefault="009271D0" w:rsidP="00CD4D4A">
            <w:pPr>
              <w:widowControl/>
              <w:snapToGrid w:val="0"/>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亿人公里</w:t>
            </w:r>
          </w:p>
        </w:tc>
        <w:tc>
          <w:tcPr>
            <w:tcW w:w="1707" w:type="dxa"/>
            <w:tcBorders>
              <w:top w:val="nil"/>
              <w:left w:val="single" w:sz="4" w:space="0" w:color="000000"/>
              <w:bottom w:val="single" w:sz="8" w:space="0" w:color="000000"/>
              <w:right w:val="single" w:sz="4" w:space="0" w:color="000000"/>
            </w:tcBorders>
            <w:tcMar>
              <w:top w:w="15" w:type="dxa"/>
              <w:left w:w="15" w:type="dxa"/>
              <w:bottom w:w="0" w:type="dxa"/>
              <w:right w:w="15" w:type="dxa"/>
            </w:tcMar>
            <w:vAlign w:val="center"/>
          </w:tcPr>
          <w:p w:rsidR="009271D0" w:rsidRPr="00CD4D4A" w:rsidRDefault="009271D0" w:rsidP="00CD4D4A">
            <w:pPr>
              <w:widowControl/>
              <w:snapToGrid w:val="0"/>
              <w:ind w:left="57" w:right="525"/>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7270.7</w:t>
            </w:r>
          </w:p>
        </w:tc>
        <w:tc>
          <w:tcPr>
            <w:tcW w:w="2344" w:type="dxa"/>
            <w:tcBorders>
              <w:top w:val="nil"/>
              <w:left w:val="single" w:sz="4" w:space="0" w:color="000000"/>
              <w:bottom w:val="single" w:sz="8" w:space="0" w:color="000000"/>
              <w:right w:val="nil"/>
            </w:tcBorders>
            <w:noWrap/>
            <w:tcMar>
              <w:top w:w="15" w:type="dxa"/>
              <w:left w:w="15" w:type="dxa"/>
              <w:bottom w:w="0" w:type="dxa"/>
              <w:right w:w="15" w:type="dxa"/>
            </w:tcMar>
            <w:vAlign w:val="center"/>
          </w:tcPr>
          <w:p w:rsidR="009271D0" w:rsidRPr="00CD4D4A" w:rsidRDefault="009271D0" w:rsidP="00CD4D4A">
            <w:pPr>
              <w:widowControl/>
              <w:snapToGrid w:val="0"/>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14.8</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年末全国民用汽车保有量达到</w:t>
      </w:r>
      <w:r w:rsidRPr="00CD4D4A">
        <w:rPr>
          <w:rFonts w:ascii="Times New Roman" w:hAnsi="Times New Roman"/>
          <w:color w:val="333333"/>
          <w:kern w:val="0"/>
          <w:sz w:val="18"/>
          <w:szCs w:val="18"/>
        </w:rPr>
        <w:t>17228</w:t>
      </w:r>
      <w:r w:rsidRPr="00CD4D4A">
        <w:rPr>
          <w:rFonts w:ascii="Times New Roman" w:hAnsi="Times New Roman" w:hint="eastAsia"/>
          <w:color w:val="333333"/>
          <w:kern w:val="0"/>
          <w:sz w:val="18"/>
          <w:szCs w:val="18"/>
        </w:rPr>
        <w:t>万辆（包括三轮汽车和低速货车</w:t>
      </w:r>
      <w:r w:rsidRPr="00CD4D4A">
        <w:rPr>
          <w:rFonts w:ascii="Times New Roman" w:hAnsi="Times New Roman"/>
          <w:color w:val="333333"/>
          <w:kern w:val="0"/>
          <w:sz w:val="18"/>
          <w:szCs w:val="18"/>
        </w:rPr>
        <w:t>955</w:t>
      </w:r>
      <w:r w:rsidRPr="00CD4D4A">
        <w:rPr>
          <w:rFonts w:ascii="Times New Roman" w:hAnsi="Times New Roman" w:hint="eastAsia"/>
          <w:color w:val="333333"/>
          <w:kern w:val="0"/>
          <w:sz w:val="18"/>
          <w:szCs w:val="18"/>
        </w:rPr>
        <w:t>万辆），比上年末增长</w:t>
      </w:r>
      <w:r w:rsidRPr="00CD4D4A">
        <w:rPr>
          <w:rFonts w:ascii="Times New Roman" w:hAnsi="Times New Roman"/>
          <w:color w:val="333333"/>
          <w:kern w:val="0"/>
          <w:sz w:val="18"/>
          <w:szCs w:val="18"/>
        </w:rPr>
        <w:t>11.5%</w:t>
      </w:r>
      <w:r w:rsidRPr="00CD4D4A">
        <w:rPr>
          <w:rFonts w:ascii="Times New Roman" w:hAnsi="Times New Roman" w:hint="eastAsia"/>
          <w:color w:val="333333"/>
          <w:kern w:val="0"/>
          <w:sz w:val="18"/>
          <w:szCs w:val="18"/>
        </w:rPr>
        <w:t>，其中私人汽车保有量</w:t>
      </w:r>
      <w:r w:rsidRPr="00CD4D4A">
        <w:rPr>
          <w:rFonts w:ascii="Times New Roman" w:hAnsi="Times New Roman"/>
          <w:color w:val="333333"/>
          <w:kern w:val="0"/>
          <w:sz w:val="18"/>
          <w:szCs w:val="18"/>
        </w:rPr>
        <w:t>14399</w:t>
      </w:r>
      <w:r w:rsidRPr="00CD4D4A">
        <w:rPr>
          <w:rFonts w:ascii="Times New Roman" w:hAnsi="Times New Roman" w:hint="eastAsia"/>
          <w:color w:val="333333"/>
          <w:kern w:val="0"/>
          <w:sz w:val="18"/>
          <w:szCs w:val="18"/>
        </w:rPr>
        <w:t>万辆，增长</w:t>
      </w:r>
      <w:r w:rsidRPr="00CD4D4A">
        <w:rPr>
          <w:rFonts w:ascii="Times New Roman" w:hAnsi="Times New Roman"/>
          <w:color w:val="333333"/>
          <w:kern w:val="0"/>
          <w:sz w:val="18"/>
          <w:szCs w:val="18"/>
        </w:rPr>
        <w:t>14.4%</w:t>
      </w:r>
      <w:r w:rsidRPr="00CD4D4A">
        <w:rPr>
          <w:rFonts w:ascii="Times New Roman" w:hAnsi="Times New Roman" w:hint="eastAsia"/>
          <w:color w:val="333333"/>
          <w:kern w:val="0"/>
          <w:sz w:val="18"/>
          <w:szCs w:val="18"/>
        </w:rPr>
        <w:t>。民用轿车保有量</w:t>
      </w:r>
      <w:r w:rsidRPr="00CD4D4A">
        <w:rPr>
          <w:rFonts w:ascii="Times New Roman" w:hAnsi="Times New Roman"/>
          <w:color w:val="333333"/>
          <w:kern w:val="0"/>
          <w:sz w:val="18"/>
          <w:szCs w:val="18"/>
        </w:rPr>
        <w:t>9508</w:t>
      </w:r>
      <w:r w:rsidRPr="00CD4D4A">
        <w:rPr>
          <w:rFonts w:ascii="Times New Roman" w:hAnsi="Times New Roman" w:hint="eastAsia"/>
          <w:color w:val="333333"/>
          <w:kern w:val="0"/>
          <w:sz w:val="18"/>
          <w:szCs w:val="18"/>
        </w:rPr>
        <w:t>万辆，增长</w:t>
      </w:r>
      <w:r w:rsidRPr="00CD4D4A">
        <w:rPr>
          <w:rFonts w:ascii="Times New Roman" w:hAnsi="Times New Roman"/>
          <w:color w:val="333333"/>
          <w:kern w:val="0"/>
          <w:sz w:val="18"/>
          <w:szCs w:val="18"/>
        </w:rPr>
        <w:t>14.6%</w:t>
      </w:r>
      <w:r w:rsidRPr="00CD4D4A">
        <w:rPr>
          <w:rFonts w:ascii="Times New Roman" w:hAnsi="Times New Roman" w:hint="eastAsia"/>
          <w:color w:val="333333"/>
          <w:kern w:val="0"/>
          <w:sz w:val="18"/>
          <w:szCs w:val="18"/>
        </w:rPr>
        <w:t>，其中私人轿车</w:t>
      </w:r>
      <w:r w:rsidRPr="00CD4D4A">
        <w:rPr>
          <w:rFonts w:ascii="Times New Roman" w:hAnsi="Times New Roman"/>
          <w:color w:val="333333"/>
          <w:kern w:val="0"/>
          <w:sz w:val="18"/>
          <w:szCs w:val="18"/>
        </w:rPr>
        <w:t>8793</w:t>
      </w:r>
      <w:r w:rsidRPr="00CD4D4A">
        <w:rPr>
          <w:rFonts w:ascii="Times New Roman" w:hAnsi="Times New Roman" w:hint="eastAsia"/>
          <w:color w:val="333333"/>
          <w:kern w:val="0"/>
          <w:sz w:val="18"/>
          <w:szCs w:val="18"/>
        </w:rPr>
        <w:t>万辆，增长</w:t>
      </w:r>
      <w:r w:rsidRPr="00CD4D4A">
        <w:rPr>
          <w:rFonts w:ascii="Times New Roman" w:hAnsi="Times New Roman"/>
          <w:color w:val="333333"/>
          <w:kern w:val="0"/>
          <w:sz w:val="18"/>
          <w:szCs w:val="18"/>
        </w:rPr>
        <w:t>15.8%</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全年完成邮电业务总量</w:t>
      </w:r>
      <w:r w:rsidRPr="00CD4D4A">
        <w:rPr>
          <w:rFonts w:ascii="Times New Roman" w:hAnsi="Times New Roman"/>
          <w:color w:val="333333"/>
          <w:kern w:val="0"/>
          <w:sz w:val="18"/>
          <w:szCs w:val="18"/>
          <w:vertAlign w:val="superscript"/>
        </w:rPr>
        <w:t>[29]</w:t>
      </w:r>
      <w:r w:rsidRPr="00CD4D4A">
        <w:rPr>
          <w:rFonts w:ascii="Times New Roman" w:hAnsi="Times New Roman"/>
          <w:color w:val="333333"/>
          <w:kern w:val="0"/>
          <w:sz w:val="18"/>
          <w:szCs w:val="18"/>
        </w:rPr>
        <w:t>28220</w:t>
      </w:r>
      <w:r w:rsidRPr="00CD4D4A">
        <w:rPr>
          <w:rFonts w:ascii="Times New Roman" w:hAnsi="Times New Roman" w:hint="eastAsia"/>
          <w:color w:val="333333"/>
          <w:kern w:val="0"/>
          <w:sz w:val="18"/>
          <w:szCs w:val="18"/>
        </w:rPr>
        <w:t>亿元，比上年增长</w:t>
      </w:r>
      <w:r w:rsidRPr="00CD4D4A">
        <w:rPr>
          <w:rFonts w:ascii="Times New Roman" w:hAnsi="Times New Roman"/>
          <w:color w:val="333333"/>
          <w:kern w:val="0"/>
          <w:sz w:val="18"/>
          <w:szCs w:val="18"/>
        </w:rPr>
        <w:t>29.2%</w:t>
      </w:r>
      <w:r w:rsidRPr="00CD4D4A">
        <w:rPr>
          <w:rFonts w:ascii="Times New Roman" w:hAnsi="Times New Roman" w:hint="eastAsia"/>
          <w:color w:val="333333"/>
          <w:kern w:val="0"/>
          <w:sz w:val="18"/>
          <w:szCs w:val="18"/>
        </w:rPr>
        <w:t>。其中，邮政行业业务总量</w:t>
      </w:r>
      <w:r w:rsidRPr="00CD4D4A">
        <w:rPr>
          <w:rFonts w:ascii="Times New Roman" w:hAnsi="Times New Roman"/>
          <w:color w:val="333333"/>
          <w:kern w:val="0"/>
          <w:sz w:val="18"/>
          <w:szCs w:val="18"/>
        </w:rPr>
        <w:t>5079</w:t>
      </w:r>
      <w:r w:rsidRPr="00CD4D4A">
        <w:rPr>
          <w:rFonts w:ascii="Times New Roman" w:hAnsi="Times New Roman" w:hint="eastAsia"/>
          <w:color w:val="333333"/>
          <w:kern w:val="0"/>
          <w:sz w:val="18"/>
          <w:szCs w:val="18"/>
        </w:rPr>
        <w:t>亿元，增长</w:t>
      </w:r>
      <w:r w:rsidRPr="00CD4D4A">
        <w:rPr>
          <w:rFonts w:ascii="Times New Roman" w:hAnsi="Times New Roman"/>
          <w:color w:val="333333"/>
          <w:kern w:val="0"/>
          <w:sz w:val="18"/>
          <w:szCs w:val="18"/>
        </w:rPr>
        <w:t>37.4%</w:t>
      </w:r>
      <w:r w:rsidRPr="00CD4D4A">
        <w:rPr>
          <w:rFonts w:ascii="Times New Roman" w:hAnsi="Times New Roman" w:hint="eastAsia"/>
          <w:color w:val="333333"/>
          <w:kern w:val="0"/>
          <w:sz w:val="18"/>
          <w:szCs w:val="18"/>
        </w:rPr>
        <w:t>；电信业务总量</w:t>
      </w:r>
      <w:r w:rsidRPr="00CD4D4A">
        <w:rPr>
          <w:rFonts w:ascii="Times New Roman" w:hAnsi="Times New Roman"/>
          <w:color w:val="333333"/>
          <w:kern w:val="0"/>
          <w:sz w:val="18"/>
          <w:szCs w:val="18"/>
        </w:rPr>
        <w:t>23142</w:t>
      </w:r>
      <w:r w:rsidRPr="00CD4D4A">
        <w:rPr>
          <w:rFonts w:ascii="Times New Roman" w:hAnsi="Times New Roman" w:hint="eastAsia"/>
          <w:color w:val="333333"/>
          <w:kern w:val="0"/>
          <w:sz w:val="18"/>
          <w:szCs w:val="18"/>
        </w:rPr>
        <w:t>亿元，增长</w:t>
      </w:r>
      <w:r w:rsidRPr="00CD4D4A">
        <w:rPr>
          <w:rFonts w:ascii="Times New Roman" w:hAnsi="Times New Roman"/>
          <w:color w:val="333333"/>
          <w:kern w:val="0"/>
          <w:sz w:val="18"/>
          <w:szCs w:val="18"/>
        </w:rPr>
        <w:t>27.5%</w:t>
      </w:r>
      <w:r w:rsidRPr="00CD4D4A">
        <w:rPr>
          <w:rFonts w:ascii="Times New Roman" w:hAnsi="Times New Roman" w:hint="eastAsia"/>
          <w:color w:val="333333"/>
          <w:kern w:val="0"/>
          <w:sz w:val="18"/>
          <w:szCs w:val="18"/>
        </w:rPr>
        <w:t>。邮政业全年完成邮政函件业务</w:t>
      </w:r>
      <w:r w:rsidRPr="00CD4D4A">
        <w:rPr>
          <w:rFonts w:ascii="Times New Roman" w:hAnsi="Times New Roman"/>
          <w:color w:val="333333"/>
          <w:kern w:val="0"/>
          <w:sz w:val="18"/>
          <w:szCs w:val="18"/>
        </w:rPr>
        <w:t>45.8</w:t>
      </w:r>
      <w:r w:rsidRPr="00CD4D4A">
        <w:rPr>
          <w:rFonts w:ascii="Times New Roman" w:hAnsi="Times New Roman" w:hint="eastAsia"/>
          <w:color w:val="333333"/>
          <w:kern w:val="0"/>
          <w:sz w:val="18"/>
          <w:szCs w:val="18"/>
        </w:rPr>
        <w:t>亿件，包裹业务</w:t>
      </w:r>
      <w:r w:rsidRPr="00CD4D4A">
        <w:rPr>
          <w:rFonts w:ascii="Times New Roman" w:hAnsi="Times New Roman"/>
          <w:color w:val="333333"/>
          <w:kern w:val="0"/>
          <w:sz w:val="18"/>
          <w:szCs w:val="18"/>
        </w:rPr>
        <w:t>0.4</w:t>
      </w:r>
      <w:r w:rsidRPr="00CD4D4A">
        <w:rPr>
          <w:rFonts w:ascii="Times New Roman" w:hAnsi="Times New Roman" w:hint="eastAsia"/>
          <w:color w:val="333333"/>
          <w:kern w:val="0"/>
          <w:sz w:val="18"/>
          <w:szCs w:val="18"/>
        </w:rPr>
        <w:t>亿件，快递业务量</w:t>
      </w:r>
      <w:r w:rsidRPr="00CD4D4A">
        <w:rPr>
          <w:rFonts w:ascii="Times New Roman" w:hAnsi="Times New Roman"/>
          <w:color w:val="333333"/>
          <w:kern w:val="0"/>
          <w:sz w:val="18"/>
          <w:szCs w:val="18"/>
        </w:rPr>
        <w:t>206.7</w:t>
      </w:r>
      <w:r w:rsidRPr="00CD4D4A">
        <w:rPr>
          <w:rFonts w:ascii="Times New Roman" w:hAnsi="Times New Roman" w:hint="eastAsia"/>
          <w:color w:val="333333"/>
          <w:kern w:val="0"/>
          <w:sz w:val="18"/>
          <w:szCs w:val="18"/>
        </w:rPr>
        <w:t>亿件；快递业务收入</w:t>
      </w:r>
      <w:r w:rsidRPr="00CD4D4A">
        <w:rPr>
          <w:rFonts w:ascii="Times New Roman" w:hAnsi="Times New Roman"/>
          <w:color w:val="333333"/>
          <w:kern w:val="0"/>
          <w:sz w:val="18"/>
          <w:szCs w:val="18"/>
        </w:rPr>
        <w:t>2770</w:t>
      </w:r>
      <w:r w:rsidRPr="00CD4D4A">
        <w:rPr>
          <w:rFonts w:ascii="Times New Roman" w:hAnsi="Times New Roman" w:hint="eastAsia"/>
          <w:color w:val="333333"/>
          <w:kern w:val="0"/>
          <w:sz w:val="18"/>
          <w:szCs w:val="18"/>
        </w:rPr>
        <w:t>亿元。电信业全年新增移动电话交换机容量</w:t>
      </w:r>
      <w:r w:rsidRPr="00CD4D4A">
        <w:rPr>
          <w:rFonts w:ascii="Times New Roman" w:hAnsi="Times New Roman"/>
          <w:color w:val="333333"/>
          <w:kern w:val="0"/>
          <w:sz w:val="18"/>
          <w:szCs w:val="18"/>
          <w:vertAlign w:val="superscript"/>
        </w:rPr>
        <w:t>[30]</w:t>
      </w:r>
      <w:r w:rsidRPr="00CD4D4A">
        <w:rPr>
          <w:rFonts w:ascii="Times New Roman" w:hAnsi="Times New Roman"/>
          <w:color w:val="333333"/>
          <w:kern w:val="0"/>
          <w:sz w:val="18"/>
          <w:szCs w:val="18"/>
        </w:rPr>
        <w:t>6529</w:t>
      </w:r>
      <w:r w:rsidRPr="00CD4D4A">
        <w:rPr>
          <w:rFonts w:ascii="Times New Roman" w:hAnsi="Times New Roman" w:hint="eastAsia"/>
          <w:color w:val="333333"/>
          <w:kern w:val="0"/>
          <w:sz w:val="18"/>
          <w:szCs w:val="18"/>
        </w:rPr>
        <w:t>万户，达到</w:t>
      </w:r>
      <w:r w:rsidRPr="00CD4D4A">
        <w:rPr>
          <w:rFonts w:ascii="Times New Roman" w:hAnsi="Times New Roman"/>
          <w:color w:val="333333"/>
          <w:kern w:val="0"/>
          <w:sz w:val="18"/>
          <w:szCs w:val="18"/>
        </w:rPr>
        <w:t>211066</w:t>
      </w:r>
      <w:r w:rsidRPr="00CD4D4A">
        <w:rPr>
          <w:rFonts w:ascii="Times New Roman" w:hAnsi="Times New Roman" w:hint="eastAsia"/>
          <w:color w:val="333333"/>
          <w:kern w:val="0"/>
          <w:sz w:val="18"/>
          <w:szCs w:val="18"/>
        </w:rPr>
        <w:t>万户。年末全国电话用户总数达到</w:t>
      </w:r>
      <w:r w:rsidRPr="00CD4D4A">
        <w:rPr>
          <w:rFonts w:ascii="Times New Roman" w:hAnsi="Times New Roman"/>
          <w:color w:val="333333"/>
          <w:kern w:val="0"/>
          <w:sz w:val="18"/>
          <w:szCs w:val="18"/>
        </w:rPr>
        <w:t>153673</w:t>
      </w:r>
      <w:r w:rsidRPr="00CD4D4A">
        <w:rPr>
          <w:rFonts w:ascii="Times New Roman" w:hAnsi="Times New Roman" w:hint="eastAsia"/>
          <w:color w:val="333333"/>
          <w:kern w:val="0"/>
          <w:sz w:val="18"/>
          <w:szCs w:val="18"/>
        </w:rPr>
        <w:t>万户，其中移动电话用户</w:t>
      </w:r>
      <w:r w:rsidRPr="00CD4D4A">
        <w:rPr>
          <w:rFonts w:ascii="Times New Roman" w:hAnsi="Times New Roman"/>
          <w:color w:val="333333"/>
          <w:kern w:val="0"/>
          <w:sz w:val="18"/>
          <w:szCs w:val="18"/>
        </w:rPr>
        <w:t>130574</w:t>
      </w:r>
      <w:r w:rsidRPr="00CD4D4A">
        <w:rPr>
          <w:rFonts w:ascii="Times New Roman" w:hAnsi="Times New Roman" w:hint="eastAsia"/>
          <w:color w:val="333333"/>
          <w:kern w:val="0"/>
          <w:sz w:val="18"/>
          <w:szCs w:val="18"/>
        </w:rPr>
        <w:t>万户。移动电话普及率上升至</w:t>
      </w:r>
      <w:r w:rsidRPr="00CD4D4A">
        <w:rPr>
          <w:rFonts w:ascii="Times New Roman" w:hAnsi="Times New Roman"/>
          <w:color w:val="333333"/>
          <w:kern w:val="0"/>
          <w:sz w:val="18"/>
          <w:szCs w:val="18"/>
        </w:rPr>
        <w:t>95.5</w:t>
      </w:r>
      <w:r w:rsidRPr="00CD4D4A">
        <w:rPr>
          <w:rFonts w:ascii="Times New Roman" w:hAnsi="Times New Roman" w:hint="eastAsia"/>
          <w:color w:val="333333"/>
          <w:kern w:val="0"/>
          <w:sz w:val="18"/>
          <w:szCs w:val="18"/>
        </w:rPr>
        <w:t>部</w:t>
      </w:r>
      <w:r w:rsidRPr="00CD4D4A">
        <w:rPr>
          <w:rFonts w:ascii="Times New Roman" w:hAnsi="Times New Roman"/>
          <w:color w:val="333333"/>
          <w:kern w:val="0"/>
          <w:sz w:val="18"/>
          <w:szCs w:val="18"/>
        </w:rPr>
        <w:t>/</w:t>
      </w:r>
      <w:r w:rsidRPr="00CD4D4A">
        <w:rPr>
          <w:rFonts w:ascii="Times New Roman" w:hAnsi="Times New Roman" w:hint="eastAsia"/>
          <w:color w:val="333333"/>
          <w:kern w:val="0"/>
          <w:sz w:val="18"/>
          <w:szCs w:val="18"/>
        </w:rPr>
        <w:t>百人。固定互联网宽带接入用户</w:t>
      </w:r>
      <w:r w:rsidRPr="00CD4D4A">
        <w:rPr>
          <w:rFonts w:ascii="Times New Roman" w:hAnsi="Times New Roman"/>
          <w:color w:val="333333"/>
          <w:kern w:val="0"/>
          <w:sz w:val="18"/>
          <w:szCs w:val="18"/>
          <w:vertAlign w:val="superscript"/>
        </w:rPr>
        <w:t>[31]</w:t>
      </w:r>
      <w:r w:rsidRPr="00CD4D4A">
        <w:rPr>
          <w:rFonts w:ascii="Times New Roman" w:hAnsi="Times New Roman"/>
          <w:color w:val="333333"/>
          <w:kern w:val="0"/>
          <w:sz w:val="18"/>
          <w:szCs w:val="18"/>
        </w:rPr>
        <w:t>21337</w:t>
      </w:r>
      <w:r w:rsidRPr="00CD4D4A">
        <w:rPr>
          <w:rFonts w:ascii="Times New Roman" w:hAnsi="Times New Roman" w:hint="eastAsia"/>
          <w:color w:val="333333"/>
          <w:kern w:val="0"/>
          <w:sz w:val="18"/>
          <w:szCs w:val="18"/>
        </w:rPr>
        <w:t>万户，比上年增加</w:t>
      </w:r>
      <w:r w:rsidRPr="00CD4D4A">
        <w:rPr>
          <w:rFonts w:ascii="Times New Roman" w:hAnsi="Times New Roman"/>
          <w:color w:val="333333"/>
          <w:kern w:val="0"/>
          <w:sz w:val="18"/>
          <w:szCs w:val="18"/>
        </w:rPr>
        <w:t>1289</w:t>
      </w:r>
      <w:r w:rsidRPr="00CD4D4A">
        <w:rPr>
          <w:rFonts w:ascii="Times New Roman" w:hAnsi="Times New Roman" w:hint="eastAsia"/>
          <w:color w:val="333333"/>
          <w:kern w:val="0"/>
          <w:sz w:val="18"/>
          <w:szCs w:val="18"/>
        </w:rPr>
        <w:t>万户；移动宽带用户</w:t>
      </w:r>
      <w:r w:rsidRPr="00CD4D4A">
        <w:rPr>
          <w:rFonts w:ascii="Times New Roman" w:hAnsi="Times New Roman"/>
          <w:color w:val="333333"/>
          <w:kern w:val="0"/>
          <w:sz w:val="18"/>
          <w:szCs w:val="18"/>
          <w:vertAlign w:val="superscript"/>
        </w:rPr>
        <w:t>[32]</w:t>
      </w:r>
      <w:r w:rsidRPr="00CD4D4A">
        <w:rPr>
          <w:rFonts w:ascii="Times New Roman" w:hAnsi="Times New Roman"/>
          <w:color w:val="333333"/>
          <w:kern w:val="0"/>
          <w:sz w:val="18"/>
          <w:szCs w:val="18"/>
        </w:rPr>
        <w:t>78533</w:t>
      </w:r>
      <w:r w:rsidRPr="00CD4D4A">
        <w:rPr>
          <w:rFonts w:ascii="Times New Roman" w:hAnsi="Times New Roman" w:hint="eastAsia"/>
          <w:color w:val="333333"/>
          <w:kern w:val="0"/>
          <w:sz w:val="18"/>
          <w:szCs w:val="18"/>
        </w:rPr>
        <w:t>万户，增加</w:t>
      </w:r>
      <w:r w:rsidRPr="00CD4D4A">
        <w:rPr>
          <w:rFonts w:ascii="Times New Roman" w:hAnsi="Times New Roman"/>
          <w:color w:val="333333"/>
          <w:kern w:val="0"/>
          <w:sz w:val="18"/>
          <w:szCs w:val="18"/>
        </w:rPr>
        <w:t>20279</w:t>
      </w:r>
      <w:r w:rsidRPr="00CD4D4A">
        <w:rPr>
          <w:rFonts w:ascii="Times New Roman" w:hAnsi="Times New Roman" w:hint="eastAsia"/>
          <w:color w:val="333333"/>
          <w:kern w:val="0"/>
          <w:sz w:val="18"/>
          <w:szCs w:val="18"/>
        </w:rPr>
        <w:t>万户。移动互联网接入流量</w:t>
      </w:r>
      <w:r w:rsidRPr="00CD4D4A">
        <w:rPr>
          <w:rFonts w:ascii="Times New Roman" w:hAnsi="Times New Roman"/>
          <w:color w:val="333333"/>
          <w:kern w:val="0"/>
          <w:sz w:val="18"/>
          <w:szCs w:val="18"/>
        </w:rPr>
        <w:t>41.9</w:t>
      </w:r>
      <w:r w:rsidRPr="00CD4D4A">
        <w:rPr>
          <w:rFonts w:ascii="Times New Roman" w:hAnsi="Times New Roman" w:hint="eastAsia"/>
          <w:color w:val="333333"/>
          <w:kern w:val="0"/>
          <w:sz w:val="18"/>
          <w:szCs w:val="18"/>
        </w:rPr>
        <w:t>亿</w:t>
      </w:r>
      <w:r w:rsidRPr="00CD4D4A">
        <w:rPr>
          <w:rFonts w:ascii="Times New Roman" w:hAnsi="Times New Roman"/>
          <w:color w:val="333333"/>
          <w:kern w:val="0"/>
          <w:sz w:val="18"/>
          <w:szCs w:val="18"/>
        </w:rPr>
        <w:t>G</w:t>
      </w:r>
      <w:r w:rsidRPr="00CD4D4A">
        <w:rPr>
          <w:rFonts w:ascii="Times New Roman" w:hAnsi="Times New Roman" w:hint="eastAsia"/>
          <w:color w:val="333333"/>
          <w:kern w:val="0"/>
          <w:sz w:val="18"/>
          <w:szCs w:val="18"/>
        </w:rPr>
        <w:t>，比上年增长</w:t>
      </w:r>
      <w:r w:rsidRPr="00CD4D4A">
        <w:rPr>
          <w:rFonts w:ascii="Times New Roman" w:hAnsi="Times New Roman"/>
          <w:color w:val="333333"/>
          <w:kern w:val="0"/>
          <w:sz w:val="18"/>
          <w:szCs w:val="18"/>
        </w:rPr>
        <w:t>103%</w:t>
      </w:r>
      <w:r w:rsidRPr="00CD4D4A">
        <w:rPr>
          <w:rFonts w:ascii="Times New Roman" w:hAnsi="Times New Roman" w:hint="eastAsia"/>
          <w:color w:val="333333"/>
          <w:kern w:val="0"/>
          <w:sz w:val="18"/>
          <w:szCs w:val="18"/>
        </w:rPr>
        <w:t>。互联网上网人数</w:t>
      </w:r>
      <w:r w:rsidRPr="00CD4D4A">
        <w:rPr>
          <w:rFonts w:ascii="Times New Roman" w:hAnsi="Times New Roman"/>
          <w:color w:val="333333"/>
          <w:kern w:val="0"/>
          <w:sz w:val="18"/>
          <w:szCs w:val="18"/>
        </w:rPr>
        <w:t>6.88</w:t>
      </w:r>
      <w:r w:rsidRPr="00CD4D4A">
        <w:rPr>
          <w:rFonts w:ascii="Times New Roman" w:hAnsi="Times New Roman" w:hint="eastAsia"/>
          <w:color w:val="333333"/>
          <w:kern w:val="0"/>
          <w:sz w:val="18"/>
          <w:szCs w:val="18"/>
        </w:rPr>
        <w:t>亿人，增加</w:t>
      </w:r>
      <w:r w:rsidRPr="00CD4D4A">
        <w:rPr>
          <w:rFonts w:ascii="Times New Roman" w:hAnsi="Times New Roman"/>
          <w:color w:val="333333"/>
          <w:kern w:val="0"/>
          <w:sz w:val="18"/>
          <w:szCs w:val="18"/>
        </w:rPr>
        <w:t>3951</w:t>
      </w:r>
      <w:r w:rsidRPr="00CD4D4A">
        <w:rPr>
          <w:rFonts w:ascii="Times New Roman" w:hAnsi="Times New Roman" w:hint="eastAsia"/>
          <w:color w:val="333333"/>
          <w:kern w:val="0"/>
          <w:sz w:val="18"/>
          <w:szCs w:val="18"/>
        </w:rPr>
        <w:t>万人，其中手机上网人数</w:t>
      </w:r>
      <w:r w:rsidRPr="00CD4D4A">
        <w:rPr>
          <w:rFonts w:ascii="Times New Roman" w:hAnsi="Times New Roman"/>
          <w:color w:val="333333"/>
          <w:kern w:val="0"/>
          <w:sz w:val="18"/>
          <w:szCs w:val="18"/>
          <w:vertAlign w:val="superscript"/>
        </w:rPr>
        <w:t>[33]</w:t>
      </w:r>
      <w:r w:rsidRPr="00CD4D4A">
        <w:rPr>
          <w:rFonts w:ascii="Times New Roman" w:hAnsi="Times New Roman"/>
          <w:color w:val="333333"/>
          <w:kern w:val="0"/>
          <w:sz w:val="18"/>
          <w:szCs w:val="18"/>
        </w:rPr>
        <w:t>6.20</w:t>
      </w:r>
      <w:r w:rsidRPr="00CD4D4A">
        <w:rPr>
          <w:rFonts w:ascii="Times New Roman" w:hAnsi="Times New Roman" w:hint="eastAsia"/>
          <w:color w:val="333333"/>
          <w:kern w:val="0"/>
          <w:sz w:val="18"/>
          <w:szCs w:val="18"/>
        </w:rPr>
        <w:t>亿人，增加</w:t>
      </w:r>
      <w:r w:rsidRPr="00CD4D4A">
        <w:rPr>
          <w:rFonts w:ascii="Times New Roman" w:hAnsi="Times New Roman"/>
          <w:color w:val="333333"/>
          <w:kern w:val="0"/>
          <w:sz w:val="18"/>
          <w:szCs w:val="18"/>
        </w:rPr>
        <w:t>6303</w:t>
      </w:r>
      <w:r w:rsidRPr="00CD4D4A">
        <w:rPr>
          <w:rFonts w:ascii="Times New Roman" w:hAnsi="Times New Roman" w:hint="eastAsia"/>
          <w:color w:val="333333"/>
          <w:kern w:val="0"/>
          <w:sz w:val="18"/>
          <w:szCs w:val="18"/>
        </w:rPr>
        <w:t>万人。互联网普及率达到</w:t>
      </w:r>
      <w:r w:rsidRPr="00CD4D4A">
        <w:rPr>
          <w:rFonts w:ascii="Times New Roman" w:hAnsi="Times New Roman"/>
          <w:color w:val="333333"/>
          <w:kern w:val="0"/>
          <w:sz w:val="18"/>
          <w:szCs w:val="18"/>
        </w:rPr>
        <w:t>50.3%</w:t>
      </w:r>
      <w:r w:rsidRPr="00CD4D4A">
        <w:rPr>
          <w:rFonts w:ascii="Times New Roman" w:hAnsi="Times New Roman" w:hint="eastAsia"/>
          <w:color w:val="333333"/>
          <w:kern w:val="0"/>
          <w:sz w:val="18"/>
          <w:szCs w:val="18"/>
        </w:rPr>
        <w:t>。软件和信息技术服务业</w:t>
      </w:r>
      <w:r w:rsidRPr="00CD4D4A">
        <w:rPr>
          <w:rFonts w:ascii="Times New Roman" w:hAnsi="Times New Roman"/>
          <w:color w:val="333333"/>
          <w:kern w:val="0"/>
          <w:sz w:val="18"/>
          <w:szCs w:val="18"/>
          <w:vertAlign w:val="superscript"/>
        </w:rPr>
        <w:t>[34]</w:t>
      </w:r>
      <w:r w:rsidRPr="00CD4D4A">
        <w:rPr>
          <w:rFonts w:ascii="Times New Roman" w:hAnsi="Times New Roman" w:hint="eastAsia"/>
          <w:color w:val="333333"/>
          <w:kern w:val="0"/>
          <w:sz w:val="18"/>
          <w:szCs w:val="18"/>
        </w:rPr>
        <w:t>完成软件业务收入</w:t>
      </w:r>
      <w:r w:rsidRPr="00CD4D4A">
        <w:rPr>
          <w:rFonts w:ascii="Times New Roman" w:hAnsi="Times New Roman"/>
          <w:color w:val="333333"/>
          <w:kern w:val="0"/>
          <w:sz w:val="18"/>
          <w:szCs w:val="18"/>
        </w:rPr>
        <w:t>43249</w:t>
      </w:r>
      <w:r w:rsidRPr="00CD4D4A">
        <w:rPr>
          <w:rFonts w:ascii="Times New Roman" w:hAnsi="Times New Roman" w:hint="eastAsia"/>
          <w:color w:val="333333"/>
          <w:kern w:val="0"/>
          <w:sz w:val="18"/>
          <w:szCs w:val="18"/>
        </w:rPr>
        <w:t>亿元，比上年增长</w:t>
      </w:r>
      <w:r w:rsidRPr="00CD4D4A">
        <w:rPr>
          <w:rFonts w:ascii="Times New Roman" w:hAnsi="Times New Roman"/>
          <w:color w:val="333333"/>
          <w:kern w:val="0"/>
          <w:sz w:val="18"/>
          <w:szCs w:val="18"/>
        </w:rPr>
        <w:t>16.6%</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9" o:spid="_x0000_i1040" type="#_x0000_t75" alt="http://www.stats.gov.cn/tjsj/zxfb/201602/W020160229379124621617_r75.gif" style="width:396.75pt;height:213pt;visibility:visible">
            <v:imagedata r:id="rId19"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8" o:spid="_x0000_i1041" type="#_x0000_t75" alt="http://www.stats.gov.cn/tjsj/zxfb/201602/W020160229379124637055_r75.gif" style="width:396.75pt;height:224.25pt;visibility:visible">
            <v:imagedata r:id="rId20"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全年国内游客</w:t>
      </w:r>
      <w:r w:rsidRPr="00CD4D4A">
        <w:rPr>
          <w:rFonts w:ascii="Times New Roman" w:hAnsi="Times New Roman"/>
          <w:color w:val="333333"/>
          <w:kern w:val="0"/>
          <w:sz w:val="18"/>
          <w:szCs w:val="18"/>
        </w:rPr>
        <w:t>40</w:t>
      </w:r>
      <w:r w:rsidRPr="00CD4D4A">
        <w:rPr>
          <w:rFonts w:ascii="Times New Roman" w:hAnsi="Times New Roman" w:hint="eastAsia"/>
          <w:color w:val="333333"/>
          <w:kern w:val="0"/>
          <w:sz w:val="18"/>
          <w:szCs w:val="18"/>
        </w:rPr>
        <w:t>亿人次，比上年增长</w:t>
      </w:r>
      <w:r w:rsidRPr="00CD4D4A">
        <w:rPr>
          <w:rFonts w:ascii="Times New Roman" w:hAnsi="Times New Roman"/>
          <w:color w:val="333333"/>
          <w:kern w:val="0"/>
          <w:sz w:val="18"/>
          <w:szCs w:val="18"/>
        </w:rPr>
        <w:t>10.5%</w:t>
      </w:r>
      <w:r w:rsidRPr="00CD4D4A">
        <w:rPr>
          <w:rFonts w:ascii="Times New Roman" w:hAnsi="Times New Roman" w:hint="eastAsia"/>
          <w:color w:val="333333"/>
          <w:kern w:val="0"/>
          <w:sz w:val="18"/>
          <w:szCs w:val="18"/>
        </w:rPr>
        <w:t>，国内旅游收入</w:t>
      </w:r>
      <w:r w:rsidRPr="00CD4D4A">
        <w:rPr>
          <w:rFonts w:ascii="Times New Roman" w:hAnsi="Times New Roman"/>
          <w:color w:val="333333"/>
          <w:kern w:val="0"/>
          <w:sz w:val="18"/>
          <w:szCs w:val="18"/>
        </w:rPr>
        <w:t>34195</w:t>
      </w:r>
      <w:r w:rsidRPr="00CD4D4A">
        <w:rPr>
          <w:rFonts w:ascii="Times New Roman" w:hAnsi="Times New Roman" w:hint="eastAsia"/>
          <w:color w:val="333333"/>
          <w:kern w:val="0"/>
          <w:sz w:val="18"/>
          <w:szCs w:val="18"/>
        </w:rPr>
        <w:t>亿元，增长</w:t>
      </w:r>
      <w:r w:rsidRPr="00CD4D4A">
        <w:rPr>
          <w:rFonts w:ascii="Times New Roman" w:hAnsi="Times New Roman"/>
          <w:color w:val="333333"/>
          <w:kern w:val="0"/>
          <w:sz w:val="18"/>
          <w:szCs w:val="18"/>
        </w:rPr>
        <w:t>13.1%</w:t>
      </w:r>
      <w:r w:rsidRPr="00CD4D4A">
        <w:rPr>
          <w:rFonts w:ascii="Times New Roman" w:hAnsi="Times New Roman" w:hint="eastAsia"/>
          <w:color w:val="333333"/>
          <w:kern w:val="0"/>
          <w:sz w:val="18"/>
          <w:szCs w:val="18"/>
        </w:rPr>
        <w:t>。入境游客</w:t>
      </w:r>
      <w:r w:rsidRPr="00CD4D4A">
        <w:rPr>
          <w:rFonts w:ascii="Times New Roman" w:hAnsi="Times New Roman"/>
          <w:color w:val="333333"/>
          <w:kern w:val="0"/>
          <w:sz w:val="18"/>
          <w:szCs w:val="18"/>
        </w:rPr>
        <w:t>13382</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4.1%</w:t>
      </w:r>
      <w:r w:rsidRPr="00CD4D4A">
        <w:rPr>
          <w:rFonts w:ascii="Times New Roman" w:hAnsi="Times New Roman" w:hint="eastAsia"/>
          <w:color w:val="333333"/>
          <w:kern w:val="0"/>
          <w:sz w:val="18"/>
          <w:szCs w:val="18"/>
        </w:rPr>
        <w:t>。其中，外国人</w:t>
      </w:r>
      <w:r w:rsidRPr="00CD4D4A">
        <w:rPr>
          <w:rFonts w:ascii="Times New Roman" w:hAnsi="Times New Roman"/>
          <w:color w:val="333333"/>
          <w:kern w:val="0"/>
          <w:sz w:val="18"/>
          <w:szCs w:val="18"/>
        </w:rPr>
        <w:t>2599</w:t>
      </w:r>
      <w:r w:rsidRPr="00CD4D4A">
        <w:rPr>
          <w:rFonts w:ascii="Times New Roman" w:hAnsi="Times New Roman" w:hint="eastAsia"/>
          <w:color w:val="333333"/>
          <w:kern w:val="0"/>
          <w:sz w:val="18"/>
          <w:szCs w:val="18"/>
        </w:rPr>
        <w:t>万人次，下降</w:t>
      </w:r>
      <w:r w:rsidRPr="00CD4D4A">
        <w:rPr>
          <w:rFonts w:ascii="Times New Roman" w:hAnsi="Times New Roman"/>
          <w:color w:val="333333"/>
          <w:kern w:val="0"/>
          <w:sz w:val="18"/>
          <w:szCs w:val="18"/>
        </w:rPr>
        <w:t>1.4%</w:t>
      </w:r>
      <w:r w:rsidRPr="00CD4D4A">
        <w:rPr>
          <w:rFonts w:ascii="Times New Roman" w:hAnsi="Times New Roman" w:hint="eastAsia"/>
          <w:color w:val="333333"/>
          <w:kern w:val="0"/>
          <w:sz w:val="18"/>
          <w:szCs w:val="18"/>
        </w:rPr>
        <w:t>；香港、澳门和台湾同胞</w:t>
      </w:r>
      <w:r w:rsidRPr="00CD4D4A">
        <w:rPr>
          <w:rFonts w:ascii="Times New Roman" w:hAnsi="Times New Roman"/>
          <w:color w:val="333333"/>
          <w:kern w:val="0"/>
          <w:sz w:val="18"/>
          <w:szCs w:val="18"/>
        </w:rPr>
        <w:t>10783</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5.6%</w:t>
      </w:r>
      <w:r w:rsidRPr="00CD4D4A">
        <w:rPr>
          <w:rFonts w:ascii="Times New Roman" w:hAnsi="Times New Roman" w:hint="eastAsia"/>
          <w:color w:val="333333"/>
          <w:kern w:val="0"/>
          <w:sz w:val="18"/>
          <w:szCs w:val="18"/>
        </w:rPr>
        <w:t>。在入境游客中，过夜游客</w:t>
      </w:r>
      <w:r w:rsidRPr="00CD4D4A">
        <w:rPr>
          <w:rFonts w:ascii="Times New Roman" w:hAnsi="Times New Roman"/>
          <w:color w:val="333333"/>
          <w:kern w:val="0"/>
          <w:sz w:val="18"/>
          <w:szCs w:val="18"/>
        </w:rPr>
        <w:t>5689</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2.3%</w:t>
      </w:r>
      <w:r w:rsidRPr="00CD4D4A">
        <w:rPr>
          <w:rFonts w:ascii="Times New Roman" w:hAnsi="Times New Roman" w:hint="eastAsia"/>
          <w:color w:val="333333"/>
          <w:kern w:val="0"/>
          <w:sz w:val="18"/>
          <w:szCs w:val="18"/>
        </w:rPr>
        <w:t>。国际旅游收入</w:t>
      </w:r>
      <w:r w:rsidRPr="00CD4D4A">
        <w:rPr>
          <w:rFonts w:ascii="Times New Roman" w:hAnsi="Times New Roman"/>
          <w:color w:val="333333"/>
          <w:kern w:val="0"/>
          <w:sz w:val="18"/>
          <w:szCs w:val="18"/>
        </w:rPr>
        <w:t>1137</w:t>
      </w:r>
      <w:r w:rsidRPr="00CD4D4A">
        <w:rPr>
          <w:rFonts w:ascii="Times New Roman" w:hAnsi="Times New Roman" w:hint="eastAsia"/>
          <w:color w:val="333333"/>
          <w:kern w:val="0"/>
          <w:sz w:val="18"/>
          <w:szCs w:val="18"/>
        </w:rPr>
        <w:t>亿美元，增长</w:t>
      </w:r>
      <w:r w:rsidRPr="00CD4D4A">
        <w:rPr>
          <w:rFonts w:ascii="Times New Roman" w:hAnsi="Times New Roman"/>
          <w:color w:val="333333"/>
          <w:kern w:val="0"/>
          <w:sz w:val="18"/>
          <w:szCs w:val="18"/>
        </w:rPr>
        <w:t>7.8%</w:t>
      </w:r>
      <w:r w:rsidRPr="00CD4D4A">
        <w:rPr>
          <w:rFonts w:ascii="Times New Roman" w:hAnsi="Times New Roman" w:hint="eastAsia"/>
          <w:color w:val="333333"/>
          <w:kern w:val="0"/>
          <w:sz w:val="18"/>
          <w:szCs w:val="18"/>
        </w:rPr>
        <w:t>。国内居民出境</w:t>
      </w:r>
      <w:r w:rsidRPr="00CD4D4A">
        <w:rPr>
          <w:rFonts w:ascii="Times New Roman" w:hAnsi="Times New Roman"/>
          <w:color w:val="333333"/>
          <w:kern w:val="0"/>
          <w:sz w:val="18"/>
          <w:szCs w:val="18"/>
        </w:rPr>
        <w:t>12786</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9.7%</w:t>
      </w:r>
      <w:r w:rsidRPr="00CD4D4A">
        <w:rPr>
          <w:rFonts w:ascii="Times New Roman" w:hAnsi="Times New Roman" w:hint="eastAsia"/>
          <w:color w:val="333333"/>
          <w:kern w:val="0"/>
          <w:sz w:val="18"/>
          <w:szCs w:val="18"/>
        </w:rPr>
        <w:t>。其中因私出境</w:t>
      </w:r>
      <w:r w:rsidRPr="00CD4D4A">
        <w:rPr>
          <w:rFonts w:ascii="Times New Roman" w:hAnsi="Times New Roman"/>
          <w:color w:val="333333"/>
          <w:kern w:val="0"/>
          <w:sz w:val="18"/>
          <w:szCs w:val="18"/>
        </w:rPr>
        <w:t>12172</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10.6%</w:t>
      </w:r>
      <w:r w:rsidRPr="00CD4D4A">
        <w:rPr>
          <w:rFonts w:ascii="Times New Roman" w:hAnsi="Times New Roman" w:hint="eastAsia"/>
          <w:color w:val="333333"/>
          <w:kern w:val="0"/>
          <w:sz w:val="18"/>
          <w:szCs w:val="18"/>
        </w:rPr>
        <w:t>；赴港澳台出境</w:t>
      </w:r>
      <w:r w:rsidRPr="00CD4D4A">
        <w:rPr>
          <w:rFonts w:ascii="Times New Roman" w:hAnsi="Times New Roman"/>
          <w:color w:val="333333"/>
          <w:kern w:val="0"/>
          <w:sz w:val="18"/>
          <w:szCs w:val="18"/>
        </w:rPr>
        <w:t>8588</w:t>
      </w:r>
      <w:r w:rsidRPr="00CD4D4A">
        <w:rPr>
          <w:rFonts w:ascii="Times New Roman" w:hAnsi="Times New Roman" w:hint="eastAsia"/>
          <w:color w:val="333333"/>
          <w:kern w:val="0"/>
          <w:sz w:val="18"/>
          <w:szCs w:val="18"/>
        </w:rPr>
        <w:t>万人次，增长</w:t>
      </w:r>
      <w:r w:rsidRPr="00CD4D4A">
        <w:rPr>
          <w:rFonts w:ascii="Times New Roman" w:hAnsi="Times New Roman"/>
          <w:color w:val="333333"/>
          <w:kern w:val="0"/>
          <w:sz w:val="18"/>
          <w:szCs w:val="18"/>
        </w:rPr>
        <w:t>4.4%</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八、金融</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年末广义货币供应量（</w:t>
      </w:r>
      <w:r w:rsidRPr="00CD4D4A">
        <w:rPr>
          <w:rFonts w:ascii="Times New Roman" w:hAnsi="Times New Roman"/>
          <w:color w:val="333333"/>
          <w:kern w:val="0"/>
          <w:sz w:val="18"/>
          <w:szCs w:val="18"/>
        </w:rPr>
        <w:t>M2</w:t>
      </w:r>
      <w:r w:rsidRPr="00CD4D4A">
        <w:rPr>
          <w:rFonts w:ascii="Times New Roman" w:hAnsi="Times New Roman" w:hint="eastAsia"/>
          <w:color w:val="333333"/>
          <w:kern w:val="0"/>
          <w:sz w:val="18"/>
          <w:szCs w:val="18"/>
        </w:rPr>
        <w:t>）余额</w:t>
      </w:r>
      <w:r w:rsidRPr="00CD4D4A">
        <w:rPr>
          <w:rFonts w:ascii="Times New Roman" w:hAnsi="Times New Roman"/>
          <w:color w:val="333333"/>
          <w:kern w:val="0"/>
          <w:sz w:val="18"/>
          <w:szCs w:val="18"/>
        </w:rPr>
        <w:t>139.2</w:t>
      </w:r>
      <w:r w:rsidRPr="00CD4D4A">
        <w:rPr>
          <w:rFonts w:ascii="Times New Roman" w:hAnsi="Times New Roman" w:hint="eastAsia"/>
          <w:color w:val="333333"/>
          <w:kern w:val="0"/>
          <w:sz w:val="18"/>
          <w:szCs w:val="18"/>
        </w:rPr>
        <w:t>万亿元，比上年末增长</w:t>
      </w:r>
      <w:r w:rsidRPr="00CD4D4A">
        <w:rPr>
          <w:rFonts w:ascii="Times New Roman" w:hAnsi="Times New Roman"/>
          <w:color w:val="333333"/>
          <w:kern w:val="0"/>
          <w:sz w:val="18"/>
          <w:szCs w:val="18"/>
        </w:rPr>
        <w:t>13.3%</w:t>
      </w:r>
      <w:r w:rsidRPr="00CD4D4A">
        <w:rPr>
          <w:rFonts w:ascii="Times New Roman" w:hAnsi="Times New Roman" w:hint="eastAsia"/>
          <w:color w:val="333333"/>
          <w:kern w:val="0"/>
          <w:sz w:val="18"/>
          <w:szCs w:val="18"/>
        </w:rPr>
        <w:t>；狭义货币供应量（</w:t>
      </w:r>
      <w:r w:rsidRPr="00CD4D4A">
        <w:rPr>
          <w:rFonts w:ascii="Times New Roman" w:hAnsi="Times New Roman"/>
          <w:color w:val="333333"/>
          <w:kern w:val="0"/>
          <w:sz w:val="18"/>
          <w:szCs w:val="18"/>
        </w:rPr>
        <w:t>M1</w:t>
      </w:r>
      <w:r w:rsidRPr="00CD4D4A">
        <w:rPr>
          <w:rFonts w:ascii="Times New Roman" w:hAnsi="Times New Roman" w:hint="eastAsia"/>
          <w:color w:val="333333"/>
          <w:kern w:val="0"/>
          <w:sz w:val="18"/>
          <w:szCs w:val="18"/>
        </w:rPr>
        <w:t>）余额</w:t>
      </w:r>
      <w:r w:rsidRPr="00CD4D4A">
        <w:rPr>
          <w:rFonts w:ascii="Times New Roman" w:hAnsi="Times New Roman"/>
          <w:color w:val="333333"/>
          <w:kern w:val="0"/>
          <w:sz w:val="18"/>
          <w:szCs w:val="18"/>
        </w:rPr>
        <w:t>40.1</w:t>
      </w:r>
      <w:r w:rsidRPr="00CD4D4A">
        <w:rPr>
          <w:rFonts w:ascii="Times New Roman" w:hAnsi="Times New Roman" w:hint="eastAsia"/>
          <w:color w:val="333333"/>
          <w:kern w:val="0"/>
          <w:sz w:val="18"/>
          <w:szCs w:val="18"/>
        </w:rPr>
        <w:t>万亿元，增长</w:t>
      </w:r>
      <w:r w:rsidRPr="00CD4D4A">
        <w:rPr>
          <w:rFonts w:ascii="Times New Roman" w:hAnsi="Times New Roman"/>
          <w:color w:val="333333"/>
          <w:kern w:val="0"/>
          <w:sz w:val="18"/>
          <w:szCs w:val="18"/>
        </w:rPr>
        <w:t>15.2%</w:t>
      </w:r>
      <w:r w:rsidRPr="00CD4D4A">
        <w:rPr>
          <w:rFonts w:ascii="Times New Roman" w:hAnsi="Times New Roman" w:hint="eastAsia"/>
          <w:color w:val="333333"/>
          <w:kern w:val="0"/>
          <w:sz w:val="18"/>
          <w:szCs w:val="18"/>
        </w:rPr>
        <w:t>；流通中货币（</w:t>
      </w:r>
      <w:r w:rsidRPr="00CD4D4A">
        <w:rPr>
          <w:rFonts w:ascii="Times New Roman" w:hAnsi="Times New Roman"/>
          <w:color w:val="333333"/>
          <w:kern w:val="0"/>
          <w:sz w:val="18"/>
          <w:szCs w:val="18"/>
        </w:rPr>
        <w:t>M0</w:t>
      </w:r>
      <w:r w:rsidRPr="00CD4D4A">
        <w:rPr>
          <w:rFonts w:ascii="Times New Roman" w:hAnsi="Times New Roman" w:hint="eastAsia"/>
          <w:color w:val="333333"/>
          <w:kern w:val="0"/>
          <w:sz w:val="18"/>
          <w:szCs w:val="18"/>
        </w:rPr>
        <w:t>）余额</w:t>
      </w:r>
      <w:r w:rsidRPr="00CD4D4A">
        <w:rPr>
          <w:rFonts w:ascii="Times New Roman" w:hAnsi="Times New Roman"/>
          <w:color w:val="333333"/>
          <w:kern w:val="0"/>
          <w:sz w:val="18"/>
          <w:szCs w:val="18"/>
        </w:rPr>
        <w:t>6.3</w:t>
      </w:r>
      <w:r w:rsidRPr="00CD4D4A">
        <w:rPr>
          <w:rFonts w:ascii="Times New Roman" w:hAnsi="Times New Roman" w:hint="eastAsia"/>
          <w:color w:val="333333"/>
          <w:kern w:val="0"/>
          <w:sz w:val="18"/>
          <w:szCs w:val="18"/>
        </w:rPr>
        <w:t>万亿元，增长</w:t>
      </w:r>
      <w:r w:rsidRPr="00CD4D4A">
        <w:rPr>
          <w:rFonts w:ascii="Times New Roman" w:hAnsi="Times New Roman"/>
          <w:color w:val="333333"/>
          <w:kern w:val="0"/>
          <w:sz w:val="18"/>
          <w:szCs w:val="18"/>
        </w:rPr>
        <w:t>4.9%</w:t>
      </w:r>
      <w:r w:rsidRPr="00CD4D4A">
        <w:rPr>
          <w:rFonts w:ascii="Times New Roman" w:hAnsi="Times New Roman" w:hint="eastAsia"/>
          <w:color w:val="333333"/>
          <w:kern w:val="0"/>
          <w:sz w:val="18"/>
          <w:szCs w:val="18"/>
        </w:rPr>
        <w:t>。</w:t>
      </w: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全年社会融资规模增量</w:t>
      </w:r>
      <w:r w:rsidRPr="00CD4D4A">
        <w:rPr>
          <w:rFonts w:ascii="Times New Roman" w:hAnsi="Times New Roman"/>
          <w:color w:val="333333"/>
          <w:kern w:val="0"/>
          <w:sz w:val="18"/>
          <w:szCs w:val="18"/>
          <w:vertAlign w:val="superscript"/>
        </w:rPr>
        <w:t>[35]</w:t>
      </w:r>
      <w:r w:rsidRPr="00CD4D4A">
        <w:rPr>
          <w:rFonts w:ascii="Times New Roman" w:hAnsi="Times New Roman"/>
          <w:color w:val="333333"/>
          <w:kern w:val="0"/>
          <w:sz w:val="18"/>
          <w:szCs w:val="18"/>
        </w:rPr>
        <w:t>15.4</w:t>
      </w:r>
      <w:r w:rsidRPr="00CD4D4A">
        <w:rPr>
          <w:rFonts w:ascii="Times New Roman" w:hAnsi="Times New Roman" w:hint="eastAsia"/>
          <w:color w:val="333333"/>
          <w:kern w:val="0"/>
          <w:sz w:val="18"/>
          <w:szCs w:val="18"/>
        </w:rPr>
        <w:t>万亿元，按可比口径计算，比上年少</w:t>
      </w:r>
      <w:r w:rsidRPr="00CD4D4A">
        <w:rPr>
          <w:rFonts w:ascii="Times New Roman" w:hAnsi="Times New Roman"/>
          <w:color w:val="333333"/>
          <w:kern w:val="0"/>
          <w:sz w:val="18"/>
          <w:szCs w:val="18"/>
        </w:rPr>
        <w:t>4675</w:t>
      </w:r>
      <w:r w:rsidRPr="00CD4D4A">
        <w:rPr>
          <w:rFonts w:ascii="Times New Roman" w:hAnsi="Times New Roman" w:hint="eastAsia"/>
          <w:color w:val="333333"/>
          <w:kern w:val="0"/>
          <w:sz w:val="18"/>
          <w:szCs w:val="18"/>
        </w:rPr>
        <w:t>亿元。年末全部金融机构本外币各项存款余额</w:t>
      </w:r>
      <w:r w:rsidRPr="00CD4D4A">
        <w:rPr>
          <w:rFonts w:ascii="Times New Roman" w:hAnsi="Times New Roman"/>
          <w:color w:val="333333"/>
          <w:kern w:val="0"/>
          <w:sz w:val="18"/>
          <w:szCs w:val="18"/>
        </w:rPr>
        <w:t>139.8</w:t>
      </w:r>
      <w:r w:rsidRPr="00CD4D4A">
        <w:rPr>
          <w:rFonts w:ascii="Times New Roman" w:hAnsi="Times New Roman" w:hint="eastAsia"/>
          <w:color w:val="333333"/>
          <w:kern w:val="0"/>
          <w:sz w:val="18"/>
          <w:szCs w:val="18"/>
        </w:rPr>
        <w:t>万亿元，比年初增加</w:t>
      </w:r>
      <w:r w:rsidRPr="00CD4D4A">
        <w:rPr>
          <w:rFonts w:ascii="Times New Roman" w:hAnsi="Times New Roman"/>
          <w:color w:val="333333"/>
          <w:kern w:val="0"/>
          <w:sz w:val="18"/>
          <w:szCs w:val="18"/>
        </w:rPr>
        <w:t>15.3</w:t>
      </w:r>
      <w:r w:rsidRPr="00CD4D4A">
        <w:rPr>
          <w:rFonts w:ascii="Times New Roman" w:hAnsi="Times New Roman" w:hint="eastAsia"/>
          <w:color w:val="333333"/>
          <w:kern w:val="0"/>
          <w:sz w:val="18"/>
          <w:szCs w:val="18"/>
        </w:rPr>
        <w:t>万亿元，其中人民币各项存款余额</w:t>
      </w:r>
      <w:r w:rsidRPr="00CD4D4A">
        <w:rPr>
          <w:rFonts w:ascii="Times New Roman" w:hAnsi="Times New Roman"/>
          <w:color w:val="333333"/>
          <w:kern w:val="0"/>
          <w:sz w:val="18"/>
          <w:szCs w:val="18"/>
        </w:rPr>
        <w:t>135.7</w:t>
      </w:r>
      <w:r w:rsidRPr="00CD4D4A">
        <w:rPr>
          <w:rFonts w:ascii="Times New Roman" w:hAnsi="Times New Roman" w:hint="eastAsia"/>
          <w:color w:val="333333"/>
          <w:kern w:val="0"/>
          <w:sz w:val="18"/>
          <w:szCs w:val="18"/>
        </w:rPr>
        <w:t>万亿元，增加</w:t>
      </w:r>
      <w:r w:rsidRPr="00CD4D4A">
        <w:rPr>
          <w:rFonts w:ascii="Times New Roman" w:hAnsi="Times New Roman"/>
          <w:color w:val="333333"/>
          <w:kern w:val="0"/>
          <w:sz w:val="18"/>
          <w:szCs w:val="18"/>
        </w:rPr>
        <w:t>15.0</w:t>
      </w:r>
      <w:r w:rsidRPr="00CD4D4A">
        <w:rPr>
          <w:rFonts w:ascii="Times New Roman" w:hAnsi="Times New Roman" w:hint="eastAsia"/>
          <w:color w:val="333333"/>
          <w:kern w:val="0"/>
          <w:sz w:val="18"/>
          <w:szCs w:val="18"/>
        </w:rPr>
        <w:t>万亿元。全部金融机构本外币各项贷款余额</w:t>
      </w:r>
      <w:r w:rsidRPr="00CD4D4A">
        <w:rPr>
          <w:rFonts w:ascii="Times New Roman" w:hAnsi="Times New Roman"/>
          <w:color w:val="333333"/>
          <w:kern w:val="0"/>
          <w:sz w:val="18"/>
          <w:szCs w:val="18"/>
        </w:rPr>
        <w:t>99.3</w:t>
      </w:r>
      <w:r w:rsidRPr="00CD4D4A">
        <w:rPr>
          <w:rFonts w:ascii="Times New Roman" w:hAnsi="Times New Roman" w:hint="eastAsia"/>
          <w:color w:val="333333"/>
          <w:kern w:val="0"/>
          <w:sz w:val="18"/>
          <w:szCs w:val="18"/>
        </w:rPr>
        <w:t>万亿元，增加</w:t>
      </w:r>
      <w:r w:rsidRPr="00CD4D4A">
        <w:rPr>
          <w:rFonts w:ascii="Times New Roman" w:hAnsi="Times New Roman"/>
          <w:color w:val="333333"/>
          <w:kern w:val="0"/>
          <w:sz w:val="18"/>
          <w:szCs w:val="18"/>
        </w:rPr>
        <w:t>11.7</w:t>
      </w:r>
      <w:r w:rsidRPr="00CD4D4A">
        <w:rPr>
          <w:rFonts w:ascii="Times New Roman" w:hAnsi="Times New Roman" w:hint="eastAsia"/>
          <w:color w:val="333333"/>
          <w:kern w:val="0"/>
          <w:sz w:val="18"/>
          <w:szCs w:val="18"/>
        </w:rPr>
        <w:t>万亿元，其中人民币各项贷款余额</w:t>
      </w:r>
      <w:r w:rsidRPr="00CD4D4A">
        <w:rPr>
          <w:rFonts w:ascii="Times New Roman" w:hAnsi="Times New Roman"/>
          <w:color w:val="333333"/>
          <w:kern w:val="0"/>
          <w:sz w:val="18"/>
          <w:szCs w:val="18"/>
        </w:rPr>
        <w:t>94.0</w:t>
      </w:r>
      <w:r w:rsidRPr="00CD4D4A">
        <w:rPr>
          <w:rFonts w:ascii="Times New Roman" w:hAnsi="Times New Roman" w:hint="eastAsia"/>
          <w:color w:val="333333"/>
          <w:kern w:val="0"/>
          <w:sz w:val="18"/>
          <w:szCs w:val="18"/>
        </w:rPr>
        <w:t>万亿元，增加</w:t>
      </w:r>
      <w:r w:rsidRPr="00CD4D4A">
        <w:rPr>
          <w:rFonts w:ascii="Times New Roman" w:hAnsi="Times New Roman"/>
          <w:color w:val="333333"/>
          <w:kern w:val="0"/>
          <w:sz w:val="18"/>
          <w:szCs w:val="18"/>
        </w:rPr>
        <w:t>11.7</w:t>
      </w:r>
      <w:r w:rsidRPr="00CD4D4A">
        <w:rPr>
          <w:rFonts w:ascii="Times New Roman" w:hAnsi="Times New Roman" w:hint="eastAsia"/>
          <w:color w:val="333333"/>
          <w:kern w:val="0"/>
          <w:sz w:val="18"/>
          <w:szCs w:val="18"/>
        </w:rPr>
        <w:t>万亿元。</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3478"/>
        <w:gridCol w:w="2502"/>
        <w:gridCol w:w="2326"/>
      </w:tblGrid>
      <w:tr w:rsidR="009271D0" w:rsidRPr="00CD4D4A" w:rsidTr="001504C1">
        <w:trPr>
          <w:trHeight w:val="567"/>
          <w:jc w:val="center"/>
        </w:trPr>
        <w:tc>
          <w:tcPr>
            <w:tcW w:w="8306" w:type="dxa"/>
            <w:gridSpan w:val="3"/>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15  2015</w:t>
            </w:r>
            <w:r w:rsidRPr="00CD4D4A">
              <w:rPr>
                <w:rFonts w:ascii="Times New Roman" w:hAnsi="Times New Roman" w:hint="eastAsia"/>
                <w:b/>
                <w:bCs/>
                <w:snapToGrid w:val="0"/>
                <w:color w:val="333333"/>
                <w:kern w:val="0"/>
                <w:sz w:val="18"/>
                <w:szCs w:val="18"/>
                <w:bdr w:val="none" w:sz="0" w:space="0" w:color="auto" w:frame="1"/>
              </w:rPr>
              <w:t>年年末全部金融机构本外币存贷款余额及其增长速度</w:t>
            </w:r>
          </w:p>
        </w:tc>
      </w:tr>
      <w:tr w:rsidR="009271D0" w:rsidRPr="00CD4D4A" w:rsidTr="001504C1">
        <w:trPr>
          <w:trHeight w:val="567"/>
          <w:jc w:val="center"/>
        </w:trPr>
        <w:tc>
          <w:tcPr>
            <w:tcW w:w="3478"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指　　　　标</w:t>
            </w:r>
          </w:p>
        </w:tc>
        <w:tc>
          <w:tcPr>
            <w:tcW w:w="2502"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年末数（亿元）</w:t>
            </w:r>
          </w:p>
        </w:tc>
        <w:tc>
          <w:tcPr>
            <w:tcW w:w="2326"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比上年末增长（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3478" w:type="dxa"/>
            <w:tcBorders>
              <w:top w:val="single" w:sz="4" w:space="0" w:color="000000"/>
              <w:left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各项存款余额</w:t>
            </w:r>
          </w:p>
        </w:tc>
        <w:tc>
          <w:tcPr>
            <w:tcW w:w="2502" w:type="dxa"/>
            <w:tcBorders>
              <w:top w:val="single" w:sz="4" w:space="0" w:color="000000"/>
              <w:left w:val="single" w:sz="4" w:space="0" w:color="000000"/>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1397752</w:t>
            </w:r>
          </w:p>
        </w:tc>
        <w:tc>
          <w:tcPr>
            <w:tcW w:w="2326" w:type="dxa"/>
            <w:tcBorders>
              <w:top w:val="single" w:sz="4" w:space="0" w:color="000000"/>
              <w:left w:val="single" w:sz="4" w:space="0" w:color="000000"/>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12.4</w:t>
            </w:r>
          </w:p>
        </w:tc>
      </w:tr>
      <w:tr w:rsidR="009271D0" w:rsidRPr="00CD4D4A" w:rsidTr="001504C1">
        <w:trPr>
          <w:trHeight w:val="283"/>
          <w:jc w:val="center"/>
        </w:trPr>
        <w:tc>
          <w:tcPr>
            <w:tcW w:w="3478" w:type="dxa"/>
            <w:tcBorders>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其中：住户存款</w:t>
            </w:r>
          </w:p>
        </w:tc>
        <w:tc>
          <w:tcPr>
            <w:tcW w:w="2502" w:type="dxa"/>
            <w:tcBorders>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551929</w:t>
            </w:r>
          </w:p>
        </w:tc>
        <w:tc>
          <w:tcPr>
            <w:tcW w:w="2326" w:type="dxa"/>
            <w:tcBorders>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8.9</w:t>
            </w:r>
          </w:p>
        </w:tc>
      </w:tr>
      <w:tr w:rsidR="009271D0" w:rsidRPr="00CD4D4A" w:rsidTr="001504C1">
        <w:trPr>
          <w:trHeight w:val="283"/>
          <w:jc w:val="center"/>
        </w:trPr>
        <w:tc>
          <w:tcPr>
            <w:tcW w:w="3478" w:type="dxa"/>
            <w:tcBorders>
              <w:top w:val="nil"/>
              <w:left w:val="nil"/>
              <w:bottom w:val="nil"/>
              <w:right w:val="single" w:sz="4" w:space="0" w:color="000000"/>
            </w:tcBorders>
            <w:vAlign w:val="center"/>
          </w:tcPr>
          <w:p w:rsidR="009271D0" w:rsidRPr="00CD4D4A" w:rsidRDefault="009271D0" w:rsidP="009271D0">
            <w:pPr>
              <w:widowControl/>
              <w:ind w:right="57" w:firstLineChars="2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其中：人民币</w:t>
            </w:r>
          </w:p>
        </w:tc>
        <w:tc>
          <w:tcPr>
            <w:tcW w:w="250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546078</w:t>
            </w:r>
          </w:p>
        </w:tc>
        <w:tc>
          <w:tcPr>
            <w:tcW w:w="232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8.7</w:t>
            </w:r>
          </w:p>
        </w:tc>
      </w:tr>
      <w:tr w:rsidR="009271D0" w:rsidRPr="00CD4D4A" w:rsidTr="001504C1">
        <w:trPr>
          <w:trHeight w:val="283"/>
          <w:jc w:val="center"/>
        </w:trPr>
        <w:tc>
          <w:tcPr>
            <w:tcW w:w="3478" w:type="dxa"/>
            <w:tcBorders>
              <w:top w:val="nil"/>
              <w:left w:val="nil"/>
              <w:bottom w:val="nil"/>
              <w:right w:val="single" w:sz="4" w:space="0" w:color="000000"/>
            </w:tcBorders>
            <w:vAlign w:val="center"/>
          </w:tcPr>
          <w:p w:rsidR="009271D0" w:rsidRPr="00CD4D4A" w:rsidRDefault="009271D0" w:rsidP="009271D0">
            <w:pPr>
              <w:widowControl/>
              <w:ind w:right="57" w:firstLineChars="4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非金融企业存款</w:t>
            </w:r>
          </w:p>
        </w:tc>
        <w:tc>
          <w:tcPr>
            <w:tcW w:w="250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455209</w:t>
            </w:r>
          </w:p>
        </w:tc>
        <w:tc>
          <w:tcPr>
            <w:tcW w:w="232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13.7</w:t>
            </w:r>
          </w:p>
        </w:tc>
      </w:tr>
      <w:tr w:rsidR="009271D0" w:rsidRPr="00CD4D4A" w:rsidTr="001504C1">
        <w:trPr>
          <w:trHeight w:val="283"/>
          <w:jc w:val="center"/>
        </w:trPr>
        <w:tc>
          <w:tcPr>
            <w:tcW w:w="3478"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各项贷款余额</w:t>
            </w:r>
          </w:p>
        </w:tc>
        <w:tc>
          <w:tcPr>
            <w:tcW w:w="250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993460</w:t>
            </w:r>
          </w:p>
        </w:tc>
        <w:tc>
          <w:tcPr>
            <w:tcW w:w="232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13.4</w:t>
            </w:r>
          </w:p>
        </w:tc>
      </w:tr>
      <w:tr w:rsidR="009271D0" w:rsidRPr="00CD4D4A" w:rsidTr="001504C1">
        <w:trPr>
          <w:trHeight w:val="283"/>
          <w:jc w:val="center"/>
        </w:trPr>
        <w:tc>
          <w:tcPr>
            <w:tcW w:w="3478"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其中：境内短期贷款</w:t>
            </w:r>
          </w:p>
        </w:tc>
        <w:tc>
          <w:tcPr>
            <w:tcW w:w="2502"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366684</w:t>
            </w:r>
          </w:p>
        </w:tc>
        <w:tc>
          <w:tcPr>
            <w:tcW w:w="232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7.3</w:t>
            </w:r>
          </w:p>
        </w:tc>
      </w:tr>
      <w:tr w:rsidR="009271D0" w:rsidRPr="00CD4D4A" w:rsidTr="001504C1">
        <w:trPr>
          <w:trHeight w:val="283"/>
          <w:jc w:val="center"/>
        </w:trPr>
        <w:tc>
          <w:tcPr>
            <w:tcW w:w="3478"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4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境内中长期贷款</w:t>
            </w:r>
          </w:p>
        </w:tc>
        <w:tc>
          <w:tcPr>
            <w:tcW w:w="2502"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538924</w:t>
            </w:r>
          </w:p>
        </w:tc>
        <w:tc>
          <w:tcPr>
            <w:tcW w:w="2326"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14.2</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年末主要农村金融机构（农村信用社、农村合作银行、农村商业银行）人民币贷款余额</w:t>
      </w:r>
      <w:r w:rsidRPr="00CD4D4A">
        <w:rPr>
          <w:rFonts w:ascii="Times New Roman" w:hAnsi="Times New Roman"/>
          <w:color w:val="333333"/>
          <w:kern w:val="0"/>
          <w:sz w:val="18"/>
          <w:szCs w:val="18"/>
        </w:rPr>
        <w:t>120321</w:t>
      </w:r>
      <w:r w:rsidRPr="00CD4D4A">
        <w:rPr>
          <w:rFonts w:ascii="Times New Roman" w:hAnsi="Times New Roman" w:hint="eastAsia"/>
          <w:color w:val="333333"/>
          <w:kern w:val="0"/>
          <w:sz w:val="18"/>
          <w:szCs w:val="18"/>
        </w:rPr>
        <w:t>亿元，比年初增加</w:t>
      </w:r>
      <w:r w:rsidRPr="00CD4D4A">
        <w:rPr>
          <w:rFonts w:ascii="Times New Roman" w:hAnsi="Times New Roman"/>
          <w:color w:val="333333"/>
          <w:kern w:val="0"/>
          <w:sz w:val="18"/>
          <w:szCs w:val="18"/>
        </w:rPr>
        <w:t>13433</w:t>
      </w:r>
      <w:r w:rsidRPr="00CD4D4A">
        <w:rPr>
          <w:rFonts w:ascii="Times New Roman" w:hAnsi="Times New Roman" w:hint="eastAsia"/>
          <w:color w:val="333333"/>
          <w:kern w:val="0"/>
          <w:sz w:val="18"/>
          <w:szCs w:val="18"/>
        </w:rPr>
        <w:t>亿元。全部金融机构人民币消费贷款余额</w:t>
      </w:r>
      <w:r w:rsidRPr="00CD4D4A">
        <w:rPr>
          <w:rFonts w:ascii="Times New Roman" w:hAnsi="Times New Roman"/>
          <w:color w:val="333333"/>
          <w:kern w:val="0"/>
          <w:sz w:val="18"/>
          <w:szCs w:val="18"/>
        </w:rPr>
        <w:t>189520</w:t>
      </w:r>
      <w:r w:rsidRPr="00CD4D4A">
        <w:rPr>
          <w:rFonts w:ascii="Times New Roman" w:hAnsi="Times New Roman" w:hint="eastAsia"/>
          <w:color w:val="333333"/>
          <w:kern w:val="0"/>
          <w:sz w:val="18"/>
          <w:szCs w:val="18"/>
        </w:rPr>
        <w:t>亿元，增加</w:t>
      </w:r>
      <w:r w:rsidRPr="00CD4D4A">
        <w:rPr>
          <w:rFonts w:ascii="Times New Roman" w:hAnsi="Times New Roman"/>
          <w:color w:val="333333"/>
          <w:kern w:val="0"/>
          <w:sz w:val="18"/>
          <w:szCs w:val="18"/>
        </w:rPr>
        <w:t>35869</w:t>
      </w:r>
      <w:r w:rsidRPr="00CD4D4A">
        <w:rPr>
          <w:rFonts w:ascii="Times New Roman" w:hAnsi="Times New Roman" w:hint="eastAsia"/>
          <w:color w:val="333333"/>
          <w:kern w:val="0"/>
          <w:sz w:val="18"/>
          <w:szCs w:val="18"/>
        </w:rPr>
        <w:t>亿元。其中，个人短期消费贷款余额</w:t>
      </w:r>
      <w:r w:rsidRPr="00CD4D4A">
        <w:rPr>
          <w:rFonts w:ascii="Times New Roman" w:hAnsi="Times New Roman"/>
          <w:color w:val="333333"/>
          <w:kern w:val="0"/>
          <w:sz w:val="18"/>
          <w:szCs w:val="18"/>
        </w:rPr>
        <w:t>41008</w:t>
      </w:r>
      <w:r w:rsidRPr="00CD4D4A">
        <w:rPr>
          <w:rFonts w:ascii="Times New Roman" w:hAnsi="Times New Roman" w:hint="eastAsia"/>
          <w:color w:val="333333"/>
          <w:kern w:val="0"/>
          <w:sz w:val="18"/>
          <w:szCs w:val="18"/>
        </w:rPr>
        <w:t>亿元，增加</w:t>
      </w:r>
      <w:r w:rsidRPr="00CD4D4A">
        <w:rPr>
          <w:rFonts w:ascii="Times New Roman" w:hAnsi="Times New Roman"/>
          <w:color w:val="333333"/>
          <w:kern w:val="0"/>
          <w:sz w:val="18"/>
          <w:szCs w:val="18"/>
        </w:rPr>
        <w:t>8497</w:t>
      </w:r>
      <w:r w:rsidRPr="00CD4D4A">
        <w:rPr>
          <w:rFonts w:ascii="Times New Roman" w:hAnsi="Times New Roman" w:hint="eastAsia"/>
          <w:color w:val="333333"/>
          <w:kern w:val="0"/>
          <w:sz w:val="18"/>
          <w:szCs w:val="18"/>
        </w:rPr>
        <w:t>亿元；个人中长期消费贷款余额</w:t>
      </w:r>
      <w:r w:rsidRPr="00CD4D4A">
        <w:rPr>
          <w:rFonts w:ascii="Times New Roman" w:hAnsi="Times New Roman"/>
          <w:color w:val="333333"/>
          <w:kern w:val="0"/>
          <w:sz w:val="18"/>
          <w:szCs w:val="18"/>
        </w:rPr>
        <w:t>148512</w:t>
      </w:r>
      <w:r w:rsidRPr="00CD4D4A">
        <w:rPr>
          <w:rFonts w:ascii="Times New Roman" w:hAnsi="Times New Roman" w:hint="eastAsia"/>
          <w:color w:val="333333"/>
          <w:kern w:val="0"/>
          <w:sz w:val="18"/>
          <w:szCs w:val="18"/>
        </w:rPr>
        <w:t>亿元，增加</w:t>
      </w:r>
      <w:r w:rsidRPr="00CD4D4A">
        <w:rPr>
          <w:rFonts w:ascii="Times New Roman" w:hAnsi="Times New Roman"/>
          <w:color w:val="333333"/>
          <w:kern w:val="0"/>
          <w:sz w:val="18"/>
          <w:szCs w:val="18"/>
        </w:rPr>
        <w:t>27373</w:t>
      </w:r>
      <w:r w:rsidRPr="00CD4D4A">
        <w:rPr>
          <w:rFonts w:ascii="Times New Roman" w:hAnsi="Times New Roman" w:hint="eastAsia"/>
          <w:color w:val="333333"/>
          <w:kern w:val="0"/>
          <w:sz w:val="18"/>
          <w:szCs w:val="18"/>
        </w:rPr>
        <w:t>亿元。</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全年上市公司通过境内市场累计筹资</w:t>
      </w:r>
      <w:r w:rsidRPr="00CD4D4A">
        <w:rPr>
          <w:rFonts w:ascii="Times New Roman" w:hAnsi="Times New Roman"/>
          <w:color w:val="333333"/>
          <w:kern w:val="0"/>
          <w:sz w:val="18"/>
          <w:szCs w:val="18"/>
        </w:rPr>
        <w:t>29814</w:t>
      </w:r>
      <w:r w:rsidRPr="00CD4D4A">
        <w:rPr>
          <w:rFonts w:ascii="Times New Roman" w:hAnsi="Times New Roman" w:hint="eastAsia"/>
          <w:color w:val="333333"/>
          <w:kern w:val="0"/>
          <w:sz w:val="18"/>
          <w:szCs w:val="18"/>
        </w:rPr>
        <w:t>亿元，比上年增加</w:t>
      </w:r>
      <w:r w:rsidRPr="00CD4D4A">
        <w:rPr>
          <w:rFonts w:ascii="Times New Roman" w:hAnsi="Times New Roman"/>
          <w:color w:val="333333"/>
          <w:kern w:val="0"/>
          <w:sz w:val="18"/>
          <w:szCs w:val="18"/>
        </w:rPr>
        <w:t>21417</w:t>
      </w:r>
      <w:r w:rsidRPr="00CD4D4A">
        <w:rPr>
          <w:rFonts w:ascii="Times New Roman" w:hAnsi="Times New Roman" w:hint="eastAsia"/>
          <w:color w:val="333333"/>
          <w:kern w:val="0"/>
          <w:sz w:val="18"/>
          <w:szCs w:val="18"/>
        </w:rPr>
        <w:t>亿元。其中，首次公开发行</w:t>
      </w:r>
      <w:r w:rsidRPr="00CD4D4A">
        <w:rPr>
          <w:rFonts w:ascii="Times New Roman" w:hAnsi="Times New Roman"/>
          <w:color w:val="333333"/>
          <w:kern w:val="0"/>
          <w:sz w:val="18"/>
          <w:szCs w:val="18"/>
        </w:rPr>
        <w:t>A</w:t>
      </w:r>
      <w:r w:rsidRPr="00CD4D4A">
        <w:rPr>
          <w:rFonts w:ascii="Times New Roman" w:hAnsi="Times New Roman" w:hint="eastAsia"/>
          <w:color w:val="333333"/>
          <w:kern w:val="0"/>
          <w:sz w:val="18"/>
          <w:szCs w:val="18"/>
        </w:rPr>
        <w:t>股</w:t>
      </w:r>
      <w:r w:rsidRPr="00CD4D4A">
        <w:rPr>
          <w:rFonts w:ascii="Times New Roman" w:hAnsi="Times New Roman"/>
          <w:color w:val="333333"/>
          <w:kern w:val="0"/>
          <w:sz w:val="18"/>
          <w:szCs w:val="18"/>
        </w:rPr>
        <w:t>220</w:t>
      </w:r>
      <w:r w:rsidRPr="00CD4D4A">
        <w:rPr>
          <w:rFonts w:ascii="Times New Roman" w:hAnsi="Times New Roman" w:hint="eastAsia"/>
          <w:color w:val="333333"/>
          <w:kern w:val="0"/>
          <w:sz w:val="18"/>
          <w:szCs w:val="18"/>
        </w:rPr>
        <w:t>只，筹资</w:t>
      </w:r>
      <w:r w:rsidRPr="00CD4D4A">
        <w:rPr>
          <w:rFonts w:ascii="Times New Roman" w:hAnsi="Times New Roman"/>
          <w:color w:val="333333"/>
          <w:kern w:val="0"/>
          <w:sz w:val="18"/>
          <w:szCs w:val="18"/>
        </w:rPr>
        <w:t>1579</w:t>
      </w:r>
      <w:r w:rsidRPr="00CD4D4A">
        <w:rPr>
          <w:rFonts w:ascii="Times New Roman" w:hAnsi="Times New Roman" w:hint="eastAsia"/>
          <w:color w:val="333333"/>
          <w:kern w:val="0"/>
          <w:sz w:val="18"/>
          <w:szCs w:val="18"/>
        </w:rPr>
        <w:t>亿元；</w:t>
      </w:r>
      <w:r w:rsidRPr="00CD4D4A">
        <w:rPr>
          <w:rFonts w:ascii="Times New Roman" w:hAnsi="Times New Roman"/>
          <w:color w:val="333333"/>
          <w:kern w:val="0"/>
          <w:sz w:val="18"/>
          <w:szCs w:val="18"/>
        </w:rPr>
        <w:t>A</w:t>
      </w:r>
      <w:r w:rsidRPr="00CD4D4A">
        <w:rPr>
          <w:rFonts w:ascii="Times New Roman" w:hAnsi="Times New Roman" w:hint="eastAsia"/>
          <w:color w:val="333333"/>
          <w:kern w:val="0"/>
          <w:sz w:val="18"/>
          <w:szCs w:val="18"/>
        </w:rPr>
        <w:t>股再筹资（包括配股、公开增发、非公开增发</w:t>
      </w:r>
      <w:r w:rsidRPr="00CD4D4A">
        <w:rPr>
          <w:rFonts w:ascii="Times New Roman" w:hAnsi="Times New Roman"/>
          <w:color w:val="333333"/>
          <w:kern w:val="0"/>
          <w:sz w:val="18"/>
          <w:szCs w:val="18"/>
          <w:vertAlign w:val="superscript"/>
        </w:rPr>
        <w:t>[36]</w:t>
      </w:r>
      <w:r w:rsidRPr="00CD4D4A">
        <w:rPr>
          <w:rFonts w:ascii="Times New Roman" w:hAnsi="Times New Roman" w:hint="eastAsia"/>
          <w:color w:val="333333"/>
          <w:kern w:val="0"/>
          <w:sz w:val="18"/>
          <w:szCs w:val="18"/>
        </w:rPr>
        <w:t>、认股权证）</w:t>
      </w:r>
      <w:r w:rsidRPr="00CD4D4A">
        <w:rPr>
          <w:rFonts w:ascii="Times New Roman" w:hAnsi="Times New Roman"/>
          <w:color w:val="333333"/>
          <w:kern w:val="0"/>
          <w:sz w:val="18"/>
          <w:szCs w:val="18"/>
        </w:rPr>
        <w:t>6711</w:t>
      </w:r>
      <w:r w:rsidRPr="00CD4D4A">
        <w:rPr>
          <w:rFonts w:ascii="Times New Roman" w:hAnsi="Times New Roman" w:hint="eastAsia"/>
          <w:color w:val="333333"/>
          <w:kern w:val="0"/>
          <w:sz w:val="18"/>
          <w:szCs w:val="18"/>
        </w:rPr>
        <w:t>亿元，增加</w:t>
      </w:r>
      <w:r w:rsidRPr="00CD4D4A">
        <w:rPr>
          <w:rFonts w:ascii="Times New Roman" w:hAnsi="Times New Roman"/>
          <w:color w:val="333333"/>
          <w:kern w:val="0"/>
          <w:sz w:val="18"/>
          <w:szCs w:val="18"/>
        </w:rPr>
        <w:t>2546</w:t>
      </w:r>
      <w:r w:rsidRPr="00CD4D4A">
        <w:rPr>
          <w:rFonts w:ascii="Times New Roman" w:hAnsi="Times New Roman" w:hint="eastAsia"/>
          <w:color w:val="333333"/>
          <w:kern w:val="0"/>
          <w:sz w:val="18"/>
          <w:szCs w:val="18"/>
        </w:rPr>
        <w:t>亿元；上市公司通过发行可转债、可分离债、公司债、中小企业私募债筹资</w:t>
      </w:r>
      <w:r w:rsidRPr="00CD4D4A">
        <w:rPr>
          <w:rFonts w:ascii="Times New Roman" w:hAnsi="Times New Roman"/>
          <w:color w:val="333333"/>
          <w:kern w:val="0"/>
          <w:sz w:val="18"/>
          <w:szCs w:val="18"/>
        </w:rPr>
        <w:t>21524</w:t>
      </w:r>
      <w:r w:rsidRPr="00CD4D4A">
        <w:rPr>
          <w:rFonts w:ascii="Times New Roman" w:hAnsi="Times New Roman" w:hint="eastAsia"/>
          <w:color w:val="333333"/>
          <w:kern w:val="0"/>
          <w:sz w:val="18"/>
          <w:szCs w:val="18"/>
        </w:rPr>
        <w:t>亿元，增加</w:t>
      </w:r>
      <w:r w:rsidRPr="00CD4D4A">
        <w:rPr>
          <w:rFonts w:ascii="Times New Roman" w:hAnsi="Times New Roman"/>
          <w:color w:val="333333"/>
          <w:kern w:val="0"/>
          <w:sz w:val="18"/>
          <w:szCs w:val="18"/>
        </w:rPr>
        <w:t>17961</w:t>
      </w:r>
      <w:r w:rsidRPr="00CD4D4A">
        <w:rPr>
          <w:rFonts w:ascii="Times New Roman" w:hAnsi="Times New Roman" w:hint="eastAsia"/>
          <w:color w:val="333333"/>
          <w:kern w:val="0"/>
          <w:sz w:val="18"/>
          <w:szCs w:val="18"/>
        </w:rPr>
        <w:t>亿元。全年首次公开发行创业板股票</w:t>
      </w:r>
      <w:r w:rsidRPr="00CD4D4A">
        <w:rPr>
          <w:rFonts w:ascii="Times New Roman" w:hAnsi="Times New Roman"/>
          <w:color w:val="333333"/>
          <w:kern w:val="0"/>
          <w:sz w:val="18"/>
          <w:szCs w:val="18"/>
        </w:rPr>
        <w:t>86</w:t>
      </w:r>
      <w:r w:rsidRPr="00CD4D4A">
        <w:rPr>
          <w:rFonts w:ascii="Times New Roman" w:hAnsi="Times New Roman" w:hint="eastAsia"/>
          <w:color w:val="333333"/>
          <w:kern w:val="0"/>
          <w:sz w:val="18"/>
          <w:szCs w:val="18"/>
        </w:rPr>
        <w:t>只，筹资</w:t>
      </w:r>
      <w:r w:rsidRPr="00CD4D4A">
        <w:rPr>
          <w:rFonts w:ascii="Times New Roman" w:hAnsi="Times New Roman"/>
          <w:color w:val="333333"/>
          <w:kern w:val="0"/>
          <w:sz w:val="18"/>
          <w:szCs w:val="18"/>
        </w:rPr>
        <w:t>309</w:t>
      </w:r>
      <w:r w:rsidRPr="00CD4D4A">
        <w:rPr>
          <w:rFonts w:ascii="Times New Roman" w:hAnsi="Times New Roman" w:hint="eastAsia"/>
          <w:color w:val="333333"/>
          <w:kern w:val="0"/>
          <w:sz w:val="18"/>
          <w:szCs w:val="18"/>
        </w:rPr>
        <w:t>亿元。</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全年发行公司信用类债券</w:t>
      </w:r>
      <w:r w:rsidRPr="00CD4D4A">
        <w:rPr>
          <w:rFonts w:ascii="Times New Roman" w:hAnsi="Times New Roman"/>
          <w:color w:val="333333"/>
          <w:kern w:val="0"/>
          <w:sz w:val="18"/>
          <w:szCs w:val="18"/>
          <w:vertAlign w:val="superscript"/>
        </w:rPr>
        <w:t>[37]</w:t>
      </w:r>
      <w:r w:rsidRPr="00CD4D4A">
        <w:rPr>
          <w:rFonts w:ascii="Times New Roman" w:hAnsi="Times New Roman"/>
          <w:color w:val="333333"/>
          <w:kern w:val="0"/>
          <w:sz w:val="18"/>
          <w:szCs w:val="18"/>
        </w:rPr>
        <w:t>6.72</w:t>
      </w:r>
      <w:r w:rsidRPr="00CD4D4A">
        <w:rPr>
          <w:rFonts w:ascii="Times New Roman" w:hAnsi="Times New Roman" w:hint="eastAsia"/>
          <w:color w:val="333333"/>
          <w:kern w:val="0"/>
          <w:sz w:val="18"/>
          <w:szCs w:val="18"/>
        </w:rPr>
        <w:t>万亿元，比上年增加</w:t>
      </w:r>
      <w:r w:rsidRPr="00CD4D4A">
        <w:rPr>
          <w:rFonts w:ascii="Times New Roman" w:hAnsi="Times New Roman"/>
          <w:color w:val="333333"/>
          <w:kern w:val="0"/>
          <w:sz w:val="18"/>
          <w:szCs w:val="18"/>
        </w:rPr>
        <w:t>1.57</w:t>
      </w:r>
      <w:r w:rsidRPr="00CD4D4A">
        <w:rPr>
          <w:rFonts w:ascii="Times New Roman" w:hAnsi="Times New Roman" w:hint="eastAsia"/>
          <w:color w:val="333333"/>
          <w:kern w:val="0"/>
          <w:sz w:val="18"/>
          <w:szCs w:val="18"/>
        </w:rPr>
        <w:t>万亿元。</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全年保险公司原保险保费收入</w:t>
      </w:r>
      <w:r w:rsidRPr="00CD4D4A">
        <w:rPr>
          <w:rFonts w:ascii="Times New Roman" w:hAnsi="Times New Roman"/>
          <w:color w:val="333333"/>
          <w:kern w:val="0"/>
          <w:sz w:val="18"/>
          <w:szCs w:val="18"/>
          <w:vertAlign w:val="superscript"/>
        </w:rPr>
        <w:t>[38]</w:t>
      </w:r>
      <w:r w:rsidRPr="00CD4D4A">
        <w:rPr>
          <w:rFonts w:ascii="Times New Roman" w:hAnsi="Times New Roman"/>
          <w:color w:val="333333"/>
          <w:kern w:val="0"/>
          <w:sz w:val="18"/>
          <w:szCs w:val="18"/>
        </w:rPr>
        <w:t>24283</w:t>
      </w:r>
      <w:r w:rsidRPr="00CD4D4A">
        <w:rPr>
          <w:rFonts w:ascii="Times New Roman" w:hAnsi="Times New Roman" w:hint="eastAsia"/>
          <w:color w:val="333333"/>
          <w:kern w:val="0"/>
          <w:sz w:val="18"/>
          <w:szCs w:val="18"/>
        </w:rPr>
        <w:t>亿元，比上年增长</w:t>
      </w:r>
      <w:r w:rsidRPr="00CD4D4A">
        <w:rPr>
          <w:rFonts w:ascii="Times New Roman" w:hAnsi="Times New Roman"/>
          <w:color w:val="333333"/>
          <w:kern w:val="0"/>
          <w:sz w:val="18"/>
          <w:szCs w:val="18"/>
        </w:rPr>
        <w:t>20.0%</w:t>
      </w:r>
      <w:r w:rsidRPr="00CD4D4A">
        <w:rPr>
          <w:rFonts w:ascii="Times New Roman" w:hAnsi="Times New Roman" w:hint="eastAsia"/>
          <w:color w:val="333333"/>
          <w:kern w:val="0"/>
          <w:sz w:val="18"/>
          <w:szCs w:val="18"/>
        </w:rPr>
        <w:t>。其中，寿险业务原保险保费收入</w:t>
      </w:r>
      <w:r w:rsidRPr="00CD4D4A">
        <w:rPr>
          <w:rFonts w:ascii="Times New Roman" w:hAnsi="Times New Roman"/>
          <w:color w:val="333333"/>
          <w:kern w:val="0"/>
          <w:sz w:val="18"/>
          <w:szCs w:val="18"/>
        </w:rPr>
        <w:t>13242</w:t>
      </w:r>
      <w:r w:rsidRPr="00CD4D4A">
        <w:rPr>
          <w:rFonts w:ascii="Times New Roman" w:hAnsi="Times New Roman" w:hint="eastAsia"/>
          <w:color w:val="333333"/>
          <w:kern w:val="0"/>
          <w:sz w:val="18"/>
          <w:szCs w:val="18"/>
        </w:rPr>
        <w:t>亿元，健康险和意外伤害险业务原保险保费收入</w:t>
      </w:r>
      <w:r w:rsidRPr="00CD4D4A">
        <w:rPr>
          <w:rFonts w:ascii="Times New Roman" w:hAnsi="Times New Roman"/>
          <w:color w:val="333333"/>
          <w:kern w:val="0"/>
          <w:sz w:val="18"/>
          <w:szCs w:val="18"/>
        </w:rPr>
        <w:t>3046</w:t>
      </w:r>
      <w:r w:rsidRPr="00CD4D4A">
        <w:rPr>
          <w:rFonts w:ascii="Times New Roman" w:hAnsi="Times New Roman" w:hint="eastAsia"/>
          <w:color w:val="333333"/>
          <w:kern w:val="0"/>
          <w:sz w:val="18"/>
          <w:szCs w:val="18"/>
        </w:rPr>
        <w:t>亿元，财产险业务原保险保费收入</w:t>
      </w:r>
      <w:r w:rsidRPr="00CD4D4A">
        <w:rPr>
          <w:rFonts w:ascii="Times New Roman" w:hAnsi="Times New Roman"/>
          <w:color w:val="333333"/>
          <w:kern w:val="0"/>
          <w:sz w:val="18"/>
          <w:szCs w:val="18"/>
        </w:rPr>
        <w:t>7995</w:t>
      </w:r>
      <w:r w:rsidRPr="00CD4D4A">
        <w:rPr>
          <w:rFonts w:ascii="Times New Roman" w:hAnsi="Times New Roman" w:hint="eastAsia"/>
          <w:color w:val="333333"/>
          <w:kern w:val="0"/>
          <w:sz w:val="18"/>
          <w:szCs w:val="18"/>
        </w:rPr>
        <w:t>亿元。支付各类赔款及给付</w:t>
      </w:r>
      <w:r w:rsidRPr="00CD4D4A">
        <w:rPr>
          <w:rFonts w:ascii="Times New Roman" w:hAnsi="Times New Roman"/>
          <w:color w:val="333333"/>
          <w:kern w:val="0"/>
          <w:sz w:val="18"/>
          <w:szCs w:val="18"/>
        </w:rPr>
        <w:t>8674</w:t>
      </w:r>
      <w:r w:rsidRPr="00CD4D4A">
        <w:rPr>
          <w:rFonts w:ascii="Times New Roman" w:hAnsi="Times New Roman" w:hint="eastAsia"/>
          <w:color w:val="333333"/>
          <w:kern w:val="0"/>
          <w:sz w:val="18"/>
          <w:szCs w:val="18"/>
        </w:rPr>
        <w:t>亿元。其中，寿险业务给付</w:t>
      </w:r>
      <w:r w:rsidRPr="00CD4D4A">
        <w:rPr>
          <w:rFonts w:ascii="Times New Roman" w:hAnsi="Times New Roman"/>
          <w:color w:val="333333"/>
          <w:kern w:val="0"/>
          <w:sz w:val="18"/>
          <w:szCs w:val="18"/>
        </w:rPr>
        <w:t>3565</w:t>
      </w:r>
      <w:r w:rsidRPr="00CD4D4A">
        <w:rPr>
          <w:rFonts w:ascii="Times New Roman" w:hAnsi="Times New Roman" w:hint="eastAsia"/>
          <w:color w:val="333333"/>
          <w:kern w:val="0"/>
          <w:sz w:val="18"/>
          <w:szCs w:val="18"/>
        </w:rPr>
        <w:t>亿元，健康险和意外伤害险赔款及给付</w:t>
      </w:r>
      <w:r w:rsidRPr="00CD4D4A">
        <w:rPr>
          <w:rFonts w:ascii="Times New Roman" w:hAnsi="Times New Roman"/>
          <w:color w:val="333333"/>
          <w:kern w:val="0"/>
          <w:sz w:val="18"/>
          <w:szCs w:val="18"/>
        </w:rPr>
        <w:t>915</w:t>
      </w:r>
      <w:r w:rsidRPr="00CD4D4A">
        <w:rPr>
          <w:rFonts w:ascii="Times New Roman" w:hAnsi="Times New Roman" w:hint="eastAsia"/>
          <w:color w:val="333333"/>
          <w:kern w:val="0"/>
          <w:sz w:val="18"/>
          <w:szCs w:val="18"/>
        </w:rPr>
        <w:t>亿元，财产险业务赔款</w:t>
      </w:r>
      <w:r w:rsidRPr="00CD4D4A">
        <w:rPr>
          <w:rFonts w:ascii="Times New Roman" w:hAnsi="Times New Roman"/>
          <w:color w:val="333333"/>
          <w:kern w:val="0"/>
          <w:sz w:val="18"/>
          <w:szCs w:val="18"/>
        </w:rPr>
        <w:t>4194</w:t>
      </w:r>
      <w:r w:rsidRPr="00CD4D4A">
        <w:rPr>
          <w:rFonts w:ascii="Times New Roman" w:hAnsi="Times New Roman" w:hint="eastAsia"/>
          <w:color w:val="333333"/>
          <w:kern w:val="0"/>
          <w:sz w:val="18"/>
          <w:szCs w:val="18"/>
        </w:rPr>
        <w:t>亿元。</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九、人民生活和社会保障</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全年全国居民人均可支配收入</w:t>
      </w:r>
      <w:r w:rsidRPr="00CD4D4A">
        <w:rPr>
          <w:rFonts w:ascii="Times New Roman" w:hAnsi="Times New Roman"/>
          <w:color w:val="333333"/>
          <w:kern w:val="0"/>
          <w:sz w:val="18"/>
          <w:szCs w:val="18"/>
        </w:rPr>
        <w:t>21966</w:t>
      </w:r>
      <w:r w:rsidRPr="00CD4D4A">
        <w:rPr>
          <w:rFonts w:ascii="Times New Roman" w:hAnsi="Times New Roman" w:hint="eastAsia"/>
          <w:color w:val="333333"/>
          <w:kern w:val="0"/>
          <w:sz w:val="18"/>
          <w:szCs w:val="18"/>
        </w:rPr>
        <w:t>元，比上年增长</w:t>
      </w:r>
      <w:r w:rsidRPr="00CD4D4A">
        <w:rPr>
          <w:rFonts w:ascii="Times New Roman" w:hAnsi="Times New Roman"/>
          <w:color w:val="333333"/>
          <w:kern w:val="0"/>
          <w:sz w:val="18"/>
          <w:szCs w:val="18"/>
        </w:rPr>
        <w:t>8.9%</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7.4%</w:t>
      </w:r>
      <w:r w:rsidRPr="00CD4D4A">
        <w:rPr>
          <w:rFonts w:ascii="Times New Roman" w:hAnsi="Times New Roman" w:hint="eastAsia"/>
          <w:color w:val="333333"/>
          <w:kern w:val="0"/>
          <w:sz w:val="18"/>
          <w:szCs w:val="18"/>
        </w:rPr>
        <w:t>；全国居民人均可支配收入中位数</w:t>
      </w:r>
      <w:r w:rsidRPr="00CD4D4A">
        <w:rPr>
          <w:rFonts w:ascii="Times New Roman" w:hAnsi="Times New Roman"/>
          <w:color w:val="333333"/>
          <w:kern w:val="0"/>
          <w:sz w:val="18"/>
          <w:szCs w:val="18"/>
          <w:vertAlign w:val="superscript"/>
        </w:rPr>
        <w:t>[39]</w:t>
      </w:r>
      <w:r w:rsidRPr="00CD4D4A">
        <w:rPr>
          <w:rFonts w:ascii="Times New Roman" w:hAnsi="Times New Roman"/>
          <w:color w:val="333333"/>
          <w:kern w:val="0"/>
          <w:sz w:val="18"/>
          <w:szCs w:val="18"/>
        </w:rPr>
        <w:t>19281</w:t>
      </w:r>
      <w:r w:rsidRPr="00CD4D4A">
        <w:rPr>
          <w:rFonts w:ascii="Times New Roman" w:hAnsi="Times New Roman" w:hint="eastAsia"/>
          <w:color w:val="333333"/>
          <w:kern w:val="0"/>
          <w:sz w:val="18"/>
          <w:szCs w:val="18"/>
        </w:rPr>
        <w:t>元，增长</w:t>
      </w:r>
      <w:r w:rsidRPr="00CD4D4A">
        <w:rPr>
          <w:rFonts w:ascii="Times New Roman" w:hAnsi="Times New Roman"/>
          <w:color w:val="333333"/>
          <w:kern w:val="0"/>
          <w:sz w:val="18"/>
          <w:szCs w:val="18"/>
        </w:rPr>
        <w:t>9.7%</w:t>
      </w:r>
      <w:r w:rsidRPr="00CD4D4A">
        <w:rPr>
          <w:rFonts w:ascii="Times New Roman" w:hAnsi="Times New Roman" w:hint="eastAsia"/>
          <w:color w:val="333333"/>
          <w:kern w:val="0"/>
          <w:sz w:val="18"/>
          <w:szCs w:val="18"/>
        </w:rPr>
        <w:t>。按常住地分，城镇居民人均可支配收入</w:t>
      </w:r>
      <w:r w:rsidRPr="00CD4D4A">
        <w:rPr>
          <w:rFonts w:ascii="Times New Roman" w:hAnsi="Times New Roman"/>
          <w:color w:val="333333"/>
          <w:kern w:val="0"/>
          <w:sz w:val="18"/>
          <w:szCs w:val="18"/>
        </w:rPr>
        <w:t>31195</w:t>
      </w:r>
      <w:r w:rsidRPr="00CD4D4A">
        <w:rPr>
          <w:rFonts w:ascii="Times New Roman" w:hAnsi="Times New Roman" w:hint="eastAsia"/>
          <w:color w:val="333333"/>
          <w:kern w:val="0"/>
          <w:sz w:val="18"/>
          <w:szCs w:val="18"/>
        </w:rPr>
        <w:t>元，比上年增长</w:t>
      </w:r>
      <w:r w:rsidRPr="00CD4D4A">
        <w:rPr>
          <w:rFonts w:ascii="Times New Roman" w:hAnsi="Times New Roman"/>
          <w:color w:val="333333"/>
          <w:kern w:val="0"/>
          <w:sz w:val="18"/>
          <w:szCs w:val="18"/>
        </w:rPr>
        <w:t>8.2%</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6.6%</w:t>
      </w:r>
      <w:r w:rsidRPr="00CD4D4A">
        <w:rPr>
          <w:rFonts w:ascii="Times New Roman" w:hAnsi="Times New Roman" w:hint="eastAsia"/>
          <w:color w:val="333333"/>
          <w:kern w:val="0"/>
          <w:sz w:val="18"/>
          <w:szCs w:val="18"/>
        </w:rPr>
        <w:t>；城镇居民人均可支配收入中位数为</w:t>
      </w:r>
      <w:r w:rsidRPr="00CD4D4A">
        <w:rPr>
          <w:rFonts w:ascii="Times New Roman" w:hAnsi="Times New Roman"/>
          <w:color w:val="333333"/>
          <w:kern w:val="0"/>
          <w:sz w:val="18"/>
          <w:szCs w:val="18"/>
        </w:rPr>
        <w:t>29129</w:t>
      </w:r>
      <w:r w:rsidRPr="00CD4D4A">
        <w:rPr>
          <w:rFonts w:ascii="Times New Roman" w:hAnsi="Times New Roman" w:hint="eastAsia"/>
          <w:color w:val="333333"/>
          <w:kern w:val="0"/>
          <w:sz w:val="18"/>
          <w:szCs w:val="18"/>
        </w:rPr>
        <w:t>元，增长</w:t>
      </w:r>
      <w:r w:rsidRPr="00CD4D4A">
        <w:rPr>
          <w:rFonts w:ascii="Times New Roman" w:hAnsi="Times New Roman"/>
          <w:color w:val="333333"/>
          <w:kern w:val="0"/>
          <w:sz w:val="18"/>
          <w:szCs w:val="18"/>
        </w:rPr>
        <w:t>9.4%</w:t>
      </w:r>
      <w:r w:rsidRPr="00CD4D4A">
        <w:rPr>
          <w:rFonts w:ascii="Times New Roman" w:hAnsi="Times New Roman" w:hint="eastAsia"/>
          <w:color w:val="333333"/>
          <w:kern w:val="0"/>
          <w:sz w:val="18"/>
          <w:szCs w:val="18"/>
        </w:rPr>
        <w:t>。农村居民人均可支配收入</w:t>
      </w:r>
      <w:r w:rsidRPr="00CD4D4A">
        <w:rPr>
          <w:rFonts w:ascii="Times New Roman" w:hAnsi="Times New Roman"/>
          <w:color w:val="333333"/>
          <w:kern w:val="0"/>
          <w:sz w:val="18"/>
          <w:szCs w:val="18"/>
        </w:rPr>
        <w:t>11422</w:t>
      </w:r>
      <w:r w:rsidRPr="00CD4D4A">
        <w:rPr>
          <w:rFonts w:ascii="Times New Roman" w:hAnsi="Times New Roman" w:hint="eastAsia"/>
          <w:color w:val="333333"/>
          <w:kern w:val="0"/>
          <w:sz w:val="18"/>
          <w:szCs w:val="18"/>
        </w:rPr>
        <w:t>元，比上年增长</w:t>
      </w:r>
      <w:r w:rsidRPr="00CD4D4A">
        <w:rPr>
          <w:rFonts w:ascii="Times New Roman" w:hAnsi="Times New Roman"/>
          <w:color w:val="333333"/>
          <w:kern w:val="0"/>
          <w:sz w:val="18"/>
          <w:szCs w:val="18"/>
        </w:rPr>
        <w:t>8.9%</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7.5%</w:t>
      </w:r>
      <w:r w:rsidRPr="00CD4D4A">
        <w:rPr>
          <w:rFonts w:ascii="Times New Roman" w:hAnsi="Times New Roman" w:hint="eastAsia"/>
          <w:color w:val="333333"/>
          <w:kern w:val="0"/>
          <w:sz w:val="18"/>
          <w:szCs w:val="18"/>
        </w:rPr>
        <w:t>；农村居民人均可支配收入中位数为</w:t>
      </w:r>
      <w:r w:rsidRPr="00CD4D4A">
        <w:rPr>
          <w:rFonts w:ascii="Times New Roman" w:hAnsi="Times New Roman"/>
          <w:color w:val="333333"/>
          <w:kern w:val="0"/>
          <w:sz w:val="18"/>
          <w:szCs w:val="18"/>
        </w:rPr>
        <w:t>10291</w:t>
      </w:r>
      <w:r w:rsidRPr="00CD4D4A">
        <w:rPr>
          <w:rFonts w:ascii="Times New Roman" w:hAnsi="Times New Roman" w:hint="eastAsia"/>
          <w:color w:val="333333"/>
          <w:kern w:val="0"/>
          <w:sz w:val="18"/>
          <w:szCs w:val="18"/>
        </w:rPr>
        <w:t>元，增长</w:t>
      </w:r>
      <w:r w:rsidRPr="00CD4D4A">
        <w:rPr>
          <w:rFonts w:ascii="Times New Roman" w:hAnsi="Times New Roman"/>
          <w:color w:val="333333"/>
          <w:kern w:val="0"/>
          <w:sz w:val="18"/>
          <w:szCs w:val="18"/>
        </w:rPr>
        <w:t>8.4%</w:t>
      </w:r>
      <w:r w:rsidRPr="00CD4D4A">
        <w:rPr>
          <w:rFonts w:ascii="Times New Roman" w:hAnsi="Times New Roman" w:hint="eastAsia"/>
          <w:color w:val="333333"/>
          <w:kern w:val="0"/>
          <w:sz w:val="18"/>
          <w:szCs w:val="18"/>
        </w:rPr>
        <w:t>。全年农村居民人均纯收入为</w:t>
      </w:r>
      <w:r w:rsidRPr="00CD4D4A">
        <w:rPr>
          <w:rFonts w:ascii="Times New Roman" w:hAnsi="Times New Roman"/>
          <w:color w:val="333333"/>
          <w:kern w:val="0"/>
          <w:sz w:val="18"/>
          <w:szCs w:val="18"/>
        </w:rPr>
        <w:t>10772</w:t>
      </w:r>
      <w:r w:rsidRPr="00CD4D4A">
        <w:rPr>
          <w:rFonts w:ascii="Times New Roman" w:hAnsi="Times New Roman" w:hint="eastAsia"/>
          <w:color w:val="333333"/>
          <w:kern w:val="0"/>
          <w:sz w:val="18"/>
          <w:szCs w:val="18"/>
        </w:rPr>
        <w:t>元。全国农民工人均月收入</w:t>
      </w:r>
      <w:r w:rsidRPr="00CD4D4A">
        <w:rPr>
          <w:rFonts w:ascii="Times New Roman" w:hAnsi="Times New Roman"/>
          <w:color w:val="333333"/>
          <w:kern w:val="0"/>
          <w:sz w:val="18"/>
          <w:szCs w:val="18"/>
        </w:rPr>
        <w:t>3072</w:t>
      </w:r>
      <w:r w:rsidRPr="00CD4D4A">
        <w:rPr>
          <w:rFonts w:ascii="Times New Roman" w:hAnsi="Times New Roman" w:hint="eastAsia"/>
          <w:color w:val="333333"/>
          <w:kern w:val="0"/>
          <w:sz w:val="18"/>
          <w:szCs w:val="18"/>
        </w:rPr>
        <w:t>元，比上年增长</w:t>
      </w:r>
      <w:r w:rsidRPr="00CD4D4A">
        <w:rPr>
          <w:rFonts w:ascii="Times New Roman" w:hAnsi="Times New Roman"/>
          <w:color w:val="333333"/>
          <w:kern w:val="0"/>
          <w:sz w:val="18"/>
          <w:szCs w:val="18"/>
        </w:rPr>
        <w:t>7.2%</w:t>
      </w:r>
      <w:r w:rsidRPr="00CD4D4A">
        <w:rPr>
          <w:rFonts w:ascii="Times New Roman" w:hAnsi="Times New Roman" w:hint="eastAsia"/>
          <w:color w:val="333333"/>
          <w:kern w:val="0"/>
          <w:sz w:val="18"/>
          <w:szCs w:val="18"/>
        </w:rPr>
        <w:t>。全国居民人均消费支出</w:t>
      </w:r>
      <w:r w:rsidRPr="00CD4D4A">
        <w:rPr>
          <w:rFonts w:ascii="Times New Roman" w:hAnsi="Times New Roman"/>
          <w:color w:val="333333"/>
          <w:kern w:val="0"/>
          <w:sz w:val="18"/>
          <w:szCs w:val="18"/>
        </w:rPr>
        <w:t>15712</w:t>
      </w:r>
      <w:r w:rsidRPr="00CD4D4A">
        <w:rPr>
          <w:rFonts w:ascii="Times New Roman" w:hAnsi="Times New Roman" w:hint="eastAsia"/>
          <w:color w:val="333333"/>
          <w:kern w:val="0"/>
          <w:sz w:val="18"/>
          <w:szCs w:val="18"/>
        </w:rPr>
        <w:t>元，比上年增长</w:t>
      </w:r>
      <w:r w:rsidRPr="00CD4D4A">
        <w:rPr>
          <w:rFonts w:ascii="Times New Roman" w:hAnsi="Times New Roman"/>
          <w:color w:val="333333"/>
          <w:kern w:val="0"/>
          <w:sz w:val="18"/>
          <w:szCs w:val="18"/>
        </w:rPr>
        <w:t>8.4%</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6.9%</w:t>
      </w:r>
      <w:r w:rsidRPr="00CD4D4A">
        <w:rPr>
          <w:rFonts w:ascii="Times New Roman" w:hAnsi="Times New Roman" w:hint="eastAsia"/>
          <w:color w:val="333333"/>
          <w:kern w:val="0"/>
          <w:sz w:val="18"/>
          <w:szCs w:val="18"/>
        </w:rPr>
        <w:t>。按常住地分，城镇居民人均消费支出</w:t>
      </w:r>
      <w:r w:rsidRPr="00CD4D4A">
        <w:rPr>
          <w:rFonts w:ascii="Times New Roman" w:hAnsi="Times New Roman"/>
          <w:color w:val="333333"/>
          <w:kern w:val="0"/>
          <w:sz w:val="18"/>
          <w:szCs w:val="18"/>
        </w:rPr>
        <w:t>21392</w:t>
      </w:r>
      <w:r w:rsidRPr="00CD4D4A">
        <w:rPr>
          <w:rFonts w:ascii="Times New Roman" w:hAnsi="Times New Roman" w:hint="eastAsia"/>
          <w:color w:val="333333"/>
          <w:kern w:val="0"/>
          <w:sz w:val="18"/>
          <w:szCs w:val="18"/>
        </w:rPr>
        <w:t>元，增长</w:t>
      </w:r>
      <w:r w:rsidRPr="00CD4D4A">
        <w:rPr>
          <w:rFonts w:ascii="Times New Roman" w:hAnsi="Times New Roman"/>
          <w:color w:val="333333"/>
          <w:kern w:val="0"/>
          <w:sz w:val="18"/>
          <w:szCs w:val="18"/>
        </w:rPr>
        <w:t>7.1%</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5.5%</w:t>
      </w:r>
      <w:r w:rsidRPr="00CD4D4A">
        <w:rPr>
          <w:rFonts w:ascii="Times New Roman" w:hAnsi="Times New Roman" w:hint="eastAsia"/>
          <w:color w:val="333333"/>
          <w:kern w:val="0"/>
          <w:sz w:val="18"/>
          <w:szCs w:val="18"/>
        </w:rPr>
        <w:t>；农村居民人均消费支出</w:t>
      </w:r>
      <w:r w:rsidRPr="00CD4D4A">
        <w:rPr>
          <w:rFonts w:ascii="Times New Roman" w:hAnsi="Times New Roman"/>
          <w:color w:val="333333"/>
          <w:kern w:val="0"/>
          <w:sz w:val="18"/>
          <w:szCs w:val="18"/>
        </w:rPr>
        <w:t>9223</w:t>
      </w:r>
      <w:r w:rsidRPr="00CD4D4A">
        <w:rPr>
          <w:rFonts w:ascii="Times New Roman" w:hAnsi="Times New Roman" w:hint="eastAsia"/>
          <w:color w:val="333333"/>
          <w:kern w:val="0"/>
          <w:sz w:val="18"/>
          <w:szCs w:val="18"/>
        </w:rPr>
        <w:t>元，增长</w:t>
      </w:r>
      <w:r w:rsidRPr="00CD4D4A">
        <w:rPr>
          <w:rFonts w:ascii="Times New Roman" w:hAnsi="Times New Roman"/>
          <w:color w:val="333333"/>
          <w:kern w:val="0"/>
          <w:sz w:val="18"/>
          <w:szCs w:val="18"/>
        </w:rPr>
        <w:t>10.0%</w:t>
      </w:r>
      <w:r w:rsidRPr="00CD4D4A">
        <w:rPr>
          <w:rFonts w:ascii="Times New Roman" w:hAnsi="Times New Roman" w:hint="eastAsia"/>
          <w:color w:val="333333"/>
          <w:kern w:val="0"/>
          <w:sz w:val="18"/>
          <w:szCs w:val="18"/>
        </w:rPr>
        <w:t>，扣除价格因素，实际增长</w:t>
      </w:r>
      <w:r w:rsidRPr="00CD4D4A">
        <w:rPr>
          <w:rFonts w:ascii="Times New Roman" w:hAnsi="Times New Roman"/>
          <w:color w:val="333333"/>
          <w:kern w:val="0"/>
          <w:sz w:val="18"/>
          <w:szCs w:val="18"/>
        </w:rPr>
        <w:t>8.6%</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7" o:spid="_x0000_i1042" type="#_x0000_t75" alt="http://www.stats.gov.cn/tjsj/zxfb/201602/W020160229379124660424_r75.gif" style="width:396.75pt;height:226.5pt;visibility:visible">
            <v:imagedata r:id="rId21"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6" o:spid="_x0000_i1043" type="#_x0000_t75" alt="http://www.stats.gov.cn/tjsj/zxfb/201602/W020160229379124663446_r75.gif" style="width:396.75pt;height:238.5pt;visibility:visible">
            <v:imagedata r:id="rId22"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年末全国参加城镇职工基本养老保险人数</w:t>
      </w:r>
      <w:r w:rsidRPr="00CD4D4A">
        <w:rPr>
          <w:rFonts w:ascii="Times New Roman" w:hAnsi="Times New Roman"/>
          <w:color w:val="333333"/>
          <w:kern w:val="0"/>
          <w:sz w:val="18"/>
          <w:szCs w:val="18"/>
        </w:rPr>
        <w:t>35361</w:t>
      </w:r>
      <w:r w:rsidRPr="00CD4D4A">
        <w:rPr>
          <w:rFonts w:ascii="Times New Roman" w:hAnsi="Times New Roman" w:hint="eastAsia"/>
          <w:color w:val="333333"/>
          <w:kern w:val="0"/>
          <w:sz w:val="18"/>
          <w:szCs w:val="18"/>
        </w:rPr>
        <w:t>万人，比上年末增加</w:t>
      </w:r>
      <w:r w:rsidRPr="00CD4D4A">
        <w:rPr>
          <w:rFonts w:ascii="Times New Roman" w:hAnsi="Times New Roman"/>
          <w:color w:val="333333"/>
          <w:kern w:val="0"/>
          <w:sz w:val="18"/>
          <w:szCs w:val="18"/>
        </w:rPr>
        <w:t>1236</w:t>
      </w:r>
      <w:r w:rsidRPr="00CD4D4A">
        <w:rPr>
          <w:rFonts w:ascii="Times New Roman" w:hAnsi="Times New Roman" w:hint="eastAsia"/>
          <w:color w:val="333333"/>
          <w:kern w:val="0"/>
          <w:sz w:val="18"/>
          <w:szCs w:val="18"/>
        </w:rPr>
        <w:t>万人。参加城乡居民基本养老保险人数</w:t>
      </w:r>
      <w:r w:rsidRPr="00CD4D4A">
        <w:rPr>
          <w:rFonts w:ascii="Times New Roman" w:hAnsi="Times New Roman"/>
          <w:color w:val="333333"/>
          <w:kern w:val="0"/>
          <w:sz w:val="18"/>
          <w:szCs w:val="18"/>
        </w:rPr>
        <w:t>50472</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365</w:t>
      </w:r>
      <w:r w:rsidRPr="00CD4D4A">
        <w:rPr>
          <w:rFonts w:ascii="Times New Roman" w:hAnsi="Times New Roman" w:hint="eastAsia"/>
          <w:color w:val="333333"/>
          <w:kern w:val="0"/>
          <w:sz w:val="18"/>
          <w:szCs w:val="18"/>
        </w:rPr>
        <w:t>万人。参加城镇基本医疗保险人数</w:t>
      </w:r>
      <w:r w:rsidRPr="00CD4D4A">
        <w:rPr>
          <w:rFonts w:ascii="Times New Roman" w:hAnsi="Times New Roman"/>
          <w:color w:val="333333"/>
          <w:kern w:val="0"/>
          <w:sz w:val="18"/>
          <w:szCs w:val="18"/>
        </w:rPr>
        <w:t>66570</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6823</w:t>
      </w:r>
      <w:r w:rsidRPr="00CD4D4A">
        <w:rPr>
          <w:rFonts w:ascii="Times New Roman" w:hAnsi="Times New Roman" w:hint="eastAsia"/>
          <w:color w:val="333333"/>
          <w:kern w:val="0"/>
          <w:sz w:val="18"/>
          <w:szCs w:val="18"/>
        </w:rPr>
        <w:t>万人。其中，参加职工基本医疗保险人数</w:t>
      </w:r>
      <w:r w:rsidRPr="00CD4D4A">
        <w:rPr>
          <w:rFonts w:ascii="Times New Roman" w:hAnsi="Times New Roman"/>
          <w:color w:val="333333"/>
          <w:kern w:val="0"/>
          <w:sz w:val="18"/>
          <w:szCs w:val="18"/>
        </w:rPr>
        <w:t>28894</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598</w:t>
      </w:r>
      <w:r w:rsidRPr="00CD4D4A">
        <w:rPr>
          <w:rFonts w:ascii="Times New Roman" w:hAnsi="Times New Roman" w:hint="eastAsia"/>
          <w:color w:val="333333"/>
          <w:kern w:val="0"/>
          <w:sz w:val="18"/>
          <w:szCs w:val="18"/>
        </w:rPr>
        <w:t>万人；参加城镇居民基本医疗保险人数</w:t>
      </w:r>
      <w:r w:rsidRPr="00CD4D4A">
        <w:rPr>
          <w:rFonts w:ascii="Times New Roman" w:hAnsi="Times New Roman"/>
          <w:color w:val="333333"/>
          <w:kern w:val="0"/>
          <w:sz w:val="18"/>
          <w:szCs w:val="18"/>
        </w:rPr>
        <w:t>37675</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6225</w:t>
      </w:r>
      <w:r w:rsidRPr="00CD4D4A">
        <w:rPr>
          <w:rFonts w:ascii="Times New Roman" w:hAnsi="Times New Roman" w:hint="eastAsia"/>
          <w:color w:val="333333"/>
          <w:kern w:val="0"/>
          <w:sz w:val="18"/>
          <w:szCs w:val="18"/>
        </w:rPr>
        <w:t>万人。参加失业保险人数</w:t>
      </w:r>
      <w:r w:rsidRPr="00CD4D4A">
        <w:rPr>
          <w:rFonts w:ascii="Times New Roman" w:hAnsi="Times New Roman"/>
          <w:color w:val="333333"/>
          <w:kern w:val="0"/>
          <w:sz w:val="18"/>
          <w:szCs w:val="18"/>
        </w:rPr>
        <w:t>17326</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283</w:t>
      </w:r>
      <w:r w:rsidRPr="00CD4D4A">
        <w:rPr>
          <w:rFonts w:ascii="Times New Roman" w:hAnsi="Times New Roman" w:hint="eastAsia"/>
          <w:color w:val="333333"/>
          <w:kern w:val="0"/>
          <w:sz w:val="18"/>
          <w:szCs w:val="18"/>
        </w:rPr>
        <w:t>万人。年末全国领取失业保险金人数</w:t>
      </w:r>
      <w:r w:rsidRPr="00CD4D4A">
        <w:rPr>
          <w:rFonts w:ascii="Times New Roman" w:hAnsi="Times New Roman"/>
          <w:color w:val="333333"/>
          <w:kern w:val="0"/>
          <w:sz w:val="18"/>
          <w:szCs w:val="18"/>
        </w:rPr>
        <w:t>227</w:t>
      </w:r>
      <w:r w:rsidRPr="00CD4D4A">
        <w:rPr>
          <w:rFonts w:ascii="Times New Roman" w:hAnsi="Times New Roman" w:hint="eastAsia"/>
          <w:color w:val="333333"/>
          <w:kern w:val="0"/>
          <w:sz w:val="18"/>
          <w:szCs w:val="18"/>
        </w:rPr>
        <w:t>万人。参加工伤保险人数</w:t>
      </w:r>
      <w:r w:rsidRPr="00CD4D4A">
        <w:rPr>
          <w:rFonts w:ascii="Times New Roman" w:hAnsi="Times New Roman"/>
          <w:color w:val="333333"/>
          <w:kern w:val="0"/>
          <w:sz w:val="18"/>
          <w:szCs w:val="18"/>
        </w:rPr>
        <w:t>21404</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765</w:t>
      </w:r>
      <w:r w:rsidRPr="00CD4D4A">
        <w:rPr>
          <w:rFonts w:ascii="Times New Roman" w:hAnsi="Times New Roman" w:hint="eastAsia"/>
          <w:color w:val="333333"/>
          <w:kern w:val="0"/>
          <w:sz w:val="18"/>
          <w:szCs w:val="18"/>
        </w:rPr>
        <w:t>万人，其中参加工伤保险的农民工</w:t>
      </w:r>
      <w:r w:rsidRPr="00CD4D4A">
        <w:rPr>
          <w:rFonts w:ascii="Times New Roman" w:hAnsi="Times New Roman"/>
          <w:color w:val="333333"/>
          <w:kern w:val="0"/>
          <w:sz w:val="18"/>
          <w:szCs w:val="18"/>
        </w:rPr>
        <w:t>7489</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127</w:t>
      </w:r>
      <w:r w:rsidRPr="00CD4D4A">
        <w:rPr>
          <w:rFonts w:ascii="Times New Roman" w:hAnsi="Times New Roman" w:hint="eastAsia"/>
          <w:color w:val="333333"/>
          <w:kern w:val="0"/>
          <w:sz w:val="18"/>
          <w:szCs w:val="18"/>
        </w:rPr>
        <w:t>万人。参加生育保险人数</w:t>
      </w:r>
      <w:r w:rsidRPr="00CD4D4A">
        <w:rPr>
          <w:rFonts w:ascii="Times New Roman" w:hAnsi="Times New Roman"/>
          <w:color w:val="333333"/>
          <w:kern w:val="0"/>
          <w:sz w:val="18"/>
          <w:szCs w:val="18"/>
        </w:rPr>
        <w:t>17769</w:t>
      </w:r>
      <w:r w:rsidRPr="00CD4D4A">
        <w:rPr>
          <w:rFonts w:ascii="Times New Roman" w:hAnsi="Times New Roman" w:hint="eastAsia"/>
          <w:color w:val="333333"/>
          <w:kern w:val="0"/>
          <w:sz w:val="18"/>
          <w:szCs w:val="18"/>
        </w:rPr>
        <w:t>万人，增加</w:t>
      </w:r>
      <w:r w:rsidRPr="00CD4D4A">
        <w:rPr>
          <w:rFonts w:ascii="Times New Roman" w:hAnsi="Times New Roman"/>
          <w:color w:val="333333"/>
          <w:kern w:val="0"/>
          <w:sz w:val="18"/>
          <w:szCs w:val="18"/>
        </w:rPr>
        <w:t>730</w:t>
      </w:r>
      <w:r w:rsidRPr="00CD4D4A">
        <w:rPr>
          <w:rFonts w:ascii="Times New Roman" w:hAnsi="Times New Roman" w:hint="eastAsia"/>
          <w:color w:val="333333"/>
          <w:kern w:val="0"/>
          <w:sz w:val="18"/>
          <w:szCs w:val="18"/>
        </w:rPr>
        <w:t>万人。年末全国共有</w:t>
      </w:r>
      <w:r w:rsidRPr="00CD4D4A">
        <w:rPr>
          <w:rFonts w:ascii="Times New Roman" w:hAnsi="Times New Roman"/>
          <w:color w:val="333333"/>
          <w:kern w:val="0"/>
          <w:sz w:val="18"/>
          <w:szCs w:val="18"/>
        </w:rPr>
        <w:t>1708.0</w:t>
      </w:r>
      <w:r w:rsidRPr="00CD4D4A">
        <w:rPr>
          <w:rFonts w:ascii="Times New Roman" w:hAnsi="Times New Roman" w:hint="eastAsia"/>
          <w:color w:val="333333"/>
          <w:kern w:val="0"/>
          <w:sz w:val="18"/>
          <w:szCs w:val="18"/>
        </w:rPr>
        <w:t>万人享受城市居民最低生活保障，</w:t>
      </w:r>
      <w:r w:rsidRPr="00CD4D4A">
        <w:rPr>
          <w:rFonts w:ascii="Times New Roman" w:hAnsi="Times New Roman"/>
          <w:color w:val="333333"/>
          <w:kern w:val="0"/>
          <w:sz w:val="18"/>
          <w:szCs w:val="18"/>
        </w:rPr>
        <w:t>4903.2</w:t>
      </w:r>
      <w:r w:rsidRPr="00CD4D4A">
        <w:rPr>
          <w:rFonts w:ascii="Times New Roman" w:hAnsi="Times New Roman" w:hint="eastAsia"/>
          <w:color w:val="333333"/>
          <w:kern w:val="0"/>
          <w:sz w:val="18"/>
          <w:szCs w:val="18"/>
        </w:rPr>
        <w:t>万人享受农村居民最低生活保障，农村五保供养</w:t>
      </w:r>
      <w:r w:rsidRPr="00CD4D4A">
        <w:rPr>
          <w:rFonts w:ascii="Times New Roman" w:hAnsi="Times New Roman"/>
          <w:color w:val="333333"/>
          <w:kern w:val="0"/>
          <w:sz w:val="18"/>
          <w:szCs w:val="18"/>
          <w:vertAlign w:val="superscript"/>
        </w:rPr>
        <w:t>[40]</w:t>
      </w:r>
      <w:r w:rsidRPr="00CD4D4A">
        <w:rPr>
          <w:rFonts w:ascii="Times New Roman" w:hAnsi="Times New Roman"/>
          <w:color w:val="333333"/>
          <w:kern w:val="0"/>
          <w:sz w:val="18"/>
          <w:szCs w:val="18"/>
        </w:rPr>
        <w:t>517.5</w:t>
      </w:r>
      <w:r w:rsidRPr="00CD4D4A">
        <w:rPr>
          <w:rFonts w:ascii="Times New Roman" w:hAnsi="Times New Roman" w:hint="eastAsia"/>
          <w:color w:val="333333"/>
          <w:kern w:val="0"/>
          <w:sz w:val="18"/>
          <w:szCs w:val="18"/>
        </w:rPr>
        <w:t>万人。全年资助</w:t>
      </w:r>
      <w:r w:rsidRPr="00CD4D4A">
        <w:rPr>
          <w:rFonts w:ascii="Times New Roman" w:hAnsi="Times New Roman"/>
          <w:color w:val="333333"/>
          <w:kern w:val="0"/>
          <w:sz w:val="18"/>
          <w:szCs w:val="18"/>
        </w:rPr>
        <w:t>5910.3</w:t>
      </w:r>
      <w:r w:rsidRPr="00CD4D4A">
        <w:rPr>
          <w:rFonts w:ascii="Times New Roman" w:hAnsi="Times New Roman" w:hint="eastAsia"/>
          <w:color w:val="333333"/>
          <w:kern w:val="0"/>
          <w:sz w:val="18"/>
          <w:szCs w:val="18"/>
        </w:rPr>
        <w:t>万城乡困难群众参加基本医疗保险。按照每人每年</w:t>
      </w:r>
      <w:r w:rsidRPr="00CD4D4A">
        <w:rPr>
          <w:rFonts w:ascii="Times New Roman" w:hAnsi="Times New Roman"/>
          <w:color w:val="333333"/>
          <w:kern w:val="0"/>
          <w:sz w:val="18"/>
          <w:szCs w:val="18"/>
        </w:rPr>
        <w:t>2300</w:t>
      </w:r>
      <w:r w:rsidRPr="00CD4D4A">
        <w:rPr>
          <w:rFonts w:ascii="Times New Roman" w:hAnsi="Times New Roman" w:hint="eastAsia"/>
          <w:color w:val="333333"/>
          <w:kern w:val="0"/>
          <w:sz w:val="18"/>
          <w:szCs w:val="18"/>
        </w:rPr>
        <w:t>元（</w:t>
      </w:r>
      <w:r w:rsidRPr="00CD4D4A">
        <w:rPr>
          <w:rFonts w:ascii="Times New Roman" w:hAnsi="Times New Roman"/>
          <w:color w:val="333333"/>
          <w:kern w:val="0"/>
          <w:sz w:val="18"/>
          <w:szCs w:val="18"/>
        </w:rPr>
        <w:t>2010</w:t>
      </w:r>
      <w:r w:rsidRPr="00CD4D4A">
        <w:rPr>
          <w:rFonts w:ascii="Times New Roman" w:hAnsi="Times New Roman" w:hint="eastAsia"/>
          <w:color w:val="333333"/>
          <w:kern w:val="0"/>
          <w:sz w:val="18"/>
          <w:szCs w:val="18"/>
        </w:rPr>
        <w:t>年不变价）的农村扶贫标准计算，</w:t>
      </w:r>
      <w:r w:rsidRPr="00CD4D4A">
        <w:rPr>
          <w:rFonts w:ascii="Times New Roman" w:hAnsi="Times New Roman"/>
          <w:color w:val="333333"/>
          <w:kern w:val="0"/>
          <w:sz w:val="18"/>
          <w:szCs w:val="18"/>
        </w:rPr>
        <w:t>2015</w:t>
      </w:r>
      <w:r w:rsidRPr="00CD4D4A">
        <w:rPr>
          <w:rFonts w:ascii="Times New Roman" w:hAnsi="Times New Roman" w:hint="eastAsia"/>
          <w:color w:val="333333"/>
          <w:kern w:val="0"/>
          <w:sz w:val="18"/>
          <w:szCs w:val="18"/>
        </w:rPr>
        <w:t>年农村贫困人口</w:t>
      </w:r>
      <w:r w:rsidRPr="00CD4D4A">
        <w:rPr>
          <w:rFonts w:ascii="Times New Roman" w:hAnsi="Times New Roman"/>
          <w:color w:val="333333"/>
          <w:kern w:val="0"/>
          <w:sz w:val="18"/>
          <w:szCs w:val="18"/>
        </w:rPr>
        <w:t>5575</w:t>
      </w:r>
      <w:r w:rsidRPr="00CD4D4A">
        <w:rPr>
          <w:rFonts w:ascii="Times New Roman" w:hAnsi="Times New Roman" w:hint="eastAsia"/>
          <w:color w:val="333333"/>
          <w:kern w:val="0"/>
          <w:sz w:val="18"/>
          <w:szCs w:val="18"/>
        </w:rPr>
        <w:t>万人，比上年减少</w:t>
      </w:r>
      <w:r w:rsidRPr="00CD4D4A">
        <w:rPr>
          <w:rFonts w:ascii="Times New Roman" w:hAnsi="Times New Roman"/>
          <w:color w:val="333333"/>
          <w:kern w:val="0"/>
          <w:sz w:val="18"/>
          <w:szCs w:val="18"/>
        </w:rPr>
        <w:t>1442</w:t>
      </w:r>
      <w:r w:rsidRPr="00CD4D4A">
        <w:rPr>
          <w:rFonts w:ascii="Times New Roman" w:hAnsi="Times New Roman" w:hint="eastAsia"/>
          <w:color w:val="333333"/>
          <w:kern w:val="0"/>
          <w:sz w:val="18"/>
          <w:szCs w:val="18"/>
        </w:rPr>
        <w:t>万人。</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十、教育、科学技术和文化体育</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全年研究生教育招生</w:t>
      </w:r>
      <w:r w:rsidRPr="00CD4D4A">
        <w:rPr>
          <w:rFonts w:ascii="Times New Roman" w:hAnsi="Times New Roman"/>
          <w:color w:val="333333"/>
          <w:kern w:val="0"/>
          <w:sz w:val="18"/>
          <w:szCs w:val="18"/>
        </w:rPr>
        <w:t>64.5</w:t>
      </w:r>
      <w:r w:rsidRPr="00CD4D4A">
        <w:rPr>
          <w:rFonts w:ascii="Times New Roman" w:hAnsi="Times New Roman" w:hint="eastAsia"/>
          <w:color w:val="333333"/>
          <w:kern w:val="0"/>
          <w:sz w:val="18"/>
          <w:szCs w:val="18"/>
        </w:rPr>
        <w:t>万人，在学研究生</w:t>
      </w:r>
      <w:r w:rsidRPr="00CD4D4A">
        <w:rPr>
          <w:rFonts w:ascii="Times New Roman" w:hAnsi="Times New Roman"/>
          <w:color w:val="333333"/>
          <w:kern w:val="0"/>
          <w:sz w:val="18"/>
          <w:szCs w:val="18"/>
        </w:rPr>
        <w:t>191.1</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55.2</w:t>
      </w:r>
      <w:r w:rsidRPr="00CD4D4A">
        <w:rPr>
          <w:rFonts w:ascii="Times New Roman" w:hAnsi="Times New Roman" w:hint="eastAsia"/>
          <w:color w:val="333333"/>
          <w:kern w:val="0"/>
          <w:sz w:val="18"/>
          <w:szCs w:val="18"/>
        </w:rPr>
        <w:t>万人。普通本专科招生</w:t>
      </w:r>
      <w:r w:rsidRPr="00CD4D4A">
        <w:rPr>
          <w:rFonts w:ascii="Times New Roman" w:hAnsi="Times New Roman"/>
          <w:color w:val="333333"/>
          <w:kern w:val="0"/>
          <w:sz w:val="18"/>
          <w:szCs w:val="18"/>
        </w:rPr>
        <w:t>737.8</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2625.3</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680.9</w:t>
      </w:r>
      <w:r w:rsidRPr="00CD4D4A">
        <w:rPr>
          <w:rFonts w:ascii="Times New Roman" w:hAnsi="Times New Roman" w:hint="eastAsia"/>
          <w:color w:val="333333"/>
          <w:kern w:val="0"/>
          <w:sz w:val="18"/>
          <w:szCs w:val="18"/>
        </w:rPr>
        <w:t>万人。中等职业教育</w:t>
      </w:r>
      <w:r w:rsidRPr="00CD4D4A">
        <w:rPr>
          <w:rFonts w:ascii="Times New Roman" w:hAnsi="Times New Roman"/>
          <w:color w:val="333333"/>
          <w:kern w:val="0"/>
          <w:sz w:val="18"/>
          <w:szCs w:val="18"/>
          <w:vertAlign w:val="superscript"/>
        </w:rPr>
        <w:t>[41]</w:t>
      </w:r>
      <w:r w:rsidRPr="00CD4D4A">
        <w:rPr>
          <w:rFonts w:ascii="Times New Roman" w:hAnsi="Times New Roman" w:hint="eastAsia"/>
          <w:color w:val="333333"/>
          <w:kern w:val="0"/>
          <w:sz w:val="18"/>
          <w:szCs w:val="18"/>
        </w:rPr>
        <w:t>招生</w:t>
      </w:r>
      <w:r w:rsidRPr="00CD4D4A">
        <w:rPr>
          <w:rFonts w:ascii="Times New Roman" w:hAnsi="Times New Roman"/>
          <w:color w:val="333333"/>
          <w:kern w:val="0"/>
          <w:sz w:val="18"/>
          <w:szCs w:val="18"/>
        </w:rPr>
        <w:t>601.2</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1656.7</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567.9</w:t>
      </w:r>
      <w:r w:rsidRPr="00CD4D4A">
        <w:rPr>
          <w:rFonts w:ascii="Times New Roman" w:hAnsi="Times New Roman" w:hint="eastAsia"/>
          <w:color w:val="333333"/>
          <w:kern w:val="0"/>
          <w:sz w:val="18"/>
          <w:szCs w:val="18"/>
        </w:rPr>
        <w:t>万人。普通高中招生</w:t>
      </w:r>
      <w:r w:rsidRPr="00CD4D4A">
        <w:rPr>
          <w:rFonts w:ascii="Times New Roman" w:hAnsi="Times New Roman"/>
          <w:color w:val="333333"/>
          <w:kern w:val="0"/>
          <w:sz w:val="18"/>
          <w:szCs w:val="18"/>
        </w:rPr>
        <w:t>796.6</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2374.4</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797.6</w:t>
      </w:r>
      <w:r w:rsidRPr="00CD4D4A">
        <w:rPr>
          <w:rFonts w:ascii="Times New Roman" w:hAnsi="Times New Roman" w:hint="eastAsia"/>
          <w:color w:val="333333"/>
          <w:kern w:val="0"/>
          <w:sz w:val="18"/>
          <w:szCs w:val="18"/>
        </w:rPr>
        <w:t>万人。初中招生</w:t>
      </w:r>
      <w:r w:rsidRPr="00CD4D4A">
        <w:rPr>
          <w:rFonts w:ascii="Times New Roman" w:hAnsi="Times New Roman"/>
          <w:color w:val="333333"/>
          <w:kern w:val="0"/>
          <w:sz w:val="18"/>
          <w:szCs w:val="18"/>
        </w:rPr>
        <w:t>1411.0</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4312.0</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1417.6</w:t>
      </w:r>
      <w:r w:rsidRPr="00CD4D4A">
        <w:rPr>
          <w:rFonts w:ascii="Times New Roman" w:hAnsi="Times New Roman" w:hint="eastAsia"/>
          <w:color w:val="333333"/>
          <w:kern w:val="0"/>
          <w:sz w:val="18"/>
          <w:szCs w:val="18"/>
        </w:rPr>
        <w:t>万人。普通小学招生</w:t>
      </w:r>
      <w:r w:rsidRPr="00CD4D4A">
        <w:rPr>
          <w:rFonts w:ascii="Times New Roman" w:hAnsi="Times New Roman"/>
          <w:color w:val="333333"/>
          <w:kern w:val="0"/>
          <w:sz w:val="18"/>
          <w:szCs w:val="18"/>
        </w:rPr>
        <w:t>1729.0</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9692.2</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1437.2</w:t>
      </w:r>
      <w:r w:rsidRPr="00CD4D4A">
        <w:rPr>
          <w:rFonts w:ascii="Times New Roman" w:hAnsi="Times New Roman" w:hint="eastAsia"/>
          <w:color w:val="333333"/>
          <w:kern w:val="0"/>
          <w:sz w:val="18"/>
          <w:szCs w:val="18"/>
        </w:rPr>
        <w:t>万人。特殊教育招生</w:t>
      </w:r>
      <w:r w:rsidRPr="00CD4D4A">
        <w:rPr>
          <w:rFonts w:ascii="Times New Roman" w:hAnsi="Times New Roman"/>
          <w:color w:val="333333"/>
          <w:kern w:val="0"/>
          <w:sz w:val="18"/>
          <w:szCs w:val="18"/>
        </w:rPr>
        <w:t>8.3</w:t>
      </w:r>
      <w:r w:rsidRPr="00CD4D4A">
        <w:rPr>
          <w:rFonts w:ascii="Times New Roman" w:hAnsi="Times New Roman" w:hint="eastAsia"/>
          <w:color w:val="333333"/>
          <w:kern w:val="0"/>
          <w:sz w:val="18"/>
          <w:szCs w:val="18"/>
        </w:rPr>
        <w:t>万人，在校生</w:t>
      </w:r>
      <w:r w:rsidRPr="00CD4D4A">
        <w:rPr>
          <w:rFonts w:ascii="Times New Roman" w:hAnsi="Times New Roman"/>
          <w:color w:val="333333"/>
          <w:kern w:val="0"/>
          <w:sz w:val="18"/>
          <w:szCs w:val="18"/>
        </w:rPr>
        <w:t>44.2</w:t>
      </w:r>
      <w:r w:rsidRPr="00CD4D4A">
        <w:rPr>
          <w:rFonts w:ascii="Times New Roman" w:hAnsi="Times New Roman" w:hint="eastAsia"/>
          <w:color w:val="333333"/>
          <w:kern w:val="0"/>
          <w:sz w:val="18"/>
          <w:szCs w:val="18"/>
        </w:rPr>
        <w:t>万人，毕业生</w:t>
      </w:r>
      <w:r w:rsidRPr="00CD4D4A">
        <w:rPr>
          <w:rFonts w:ascii="Times New Roman" w:hAnsi="Times New Roman"/>
          <w:color w:val="333333"/>
          <w:kern w:val="0"/>
          <w:sz w:val="18"/>
          <w:szCs w:val="18"/>
        </w:rPr>
        <w:t>5.3</w:t>
      </w:r>
      <w:r w:rsidRPr="00CD4D4A">
        <w:rPr>
          <w:rFonts w:ascii="Times New Roman" w:hAnsi="Times New Roman" w:hint="eastAsia"/>
          <w:color w:val="333333"/>
          <w:kern w:val="0"/>
          <w:sz w:val="18"/>
          <w:szCs w:val="18"/>
        </w:rPr>
        <w:t>万人。学前教育在园幼儿</w:t>
      </w:r>
      <w:r w:rsidRPr="00CD4D4A">
        <w:rPr>
          <w:rFonts w:ascii="Times New Roman" w:hAnsi="Times New Roman"/>
          <w:color w:val="333333"/>
          <w:kern w:val="0"/>
          <w:sz w:val="18"/>
          <w:szCs w:val="18"/>
        </w:rPr>
        <w:t>4264.8</w:t>
      </w:r>
      <w:r w:rsidRPr="00CD4D4A">
        <w:rPr>
          <w:rFonts w:ascii="Times New Roman" w:hAnsi="Times New Roman" w:hint="eastAsia"/>
          <w:color w:val="333333"/>
          <w:kern w:val="0"/>
          <w:sz w:val="18"/>
          <w:szCs w:val="18"/>
        </w:rPr>
        <w:t>万人。九年义务教育巩固率为</w:t>
      </w:r>
      <w:r w:rsidRPr="00CD4D4A">
        <w:rPr>
          <w:rFonts w:ascii="Times New Roman" w:hAnsi="Times New Roman"/>
          <w:color w:val="333333"/>
          <w:kern w:val="0"/>
          <w:sz w:val="18"/>
          <w:szCs w:val="18"/>
        </w:rPr>
        <w:t>93.0%</w:t>
      </w:r>
      <w:r w:rsidRPr="00CD4D4A">
        <w:rPr>
          <w:rFonts w:ascii="Times New Roman" w:hAnsi="Times New Roman" w:hint="eastAsia"/>
          <w:color w:val="333333"/>
          <w:kern w:val="0"/>
          <w:sz w:val="18"/>
          <w:szCs w:val="18"/>
        </w:rPr>
        <w:t>，高中阶段毛入学率为</w:t>
      </w:r>
      <w:r w:rsidRPr="00CD4D4A">
        <w:rPr>
          <w:rFonts w:ascii="Times New Roman" w:hAnsi="Times New Roman"/>
          <w:color w:val="333333"/>
          <w:kern w:val="0"/>
          <w:sz w:val="18"/>
          <w:szCs w:val="18"/>
        </w:rPr>
        <w:t>87.0%</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5" o:spid="_x0000_i1044" type="#_x0000_t75" alt="http://www.stats.gov.cn/tjsj/zxfb/201602/W020160229379124680499_r75.gif" style="width:396.75pt;height:226.5pt;visibility:visible">
            <v:imagedata r:id="rId23"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全年研究与试验发展（</w:t>
      </w:r>
      <w:r w:rsidRPr="00CD4D4A">
        <w:rPr>
          <w:rFonts w:ascii="Times New Roman" w:hAnsi="Times New Roman"/>
          <w:color w:val="333333"/>
          <w:kern w:val="0"/>
          <w:sz w:val="18"/>
          <w:szCs w:val="18"/>
        </w:rPr>
        <w:t>R&amp;D</w:t>
      </w:r>
      <w:r w:rsidRPr="00CD4D4A">
        <w:rPr>
          <w:rFonts w:ascii="Times New Roman" w:hAnsi="Times New Roman" w:hint="eastAsia"/>
          <w:color w:val="333333"/>
          <w:kern w:val="0"/>
          <w:sz w:val="18"/>
          <w:szCs w:val="18"/>
        </w:rPr>
        <w:t>）经费支出</w:t>
      </w:r>
      <w:r w:rsidRPr="00CD4D4A">
        <w:rPr>
          <w:rFonts w:ascii="Times New Roman" w:hAnsi="Times New Roman"/>
          <w:color w:val="333333"/>
          <w:kern w:val="0"/>
          <w:sz w:val="18"/>
          <w:szCs w:val="18"/>
        </w:rPr>
        <w:t>14220</w:t>
      </w:r>
      <w:r w:rsidRPr="00CD4D4A">
        <w:rPr>
          <w:rFonts w:ascii="Times New Roman" w:hAnsi="Times New Roman" w:hint="eastAsia"/>
          <w:color w:val="333333"/>
          <w:kern w:val="0"/>
          <w:sz w:val="18"/>
          <w:szCs w:val="18"/>
        </w:rPr>
        <w:t>亿元，比上年增长</w:t>
      </w:r>
      <w:r w:rsidRPr="00CD4D4A">
        <w:rPr>
          <w:rFonts w:ascii="Times New Roman" w:hAnsi="Times New Roman"/>
          <w:color w:val="333333"/>
          <w:kern w:val="0"/>
          <w:sz w:val="18"/>
          <w:szCs w:val="18"/>
        </w:rPr>
        <w:t>9.2%</w:t>
      </w:r>
      <w:r w:rsidRPr="00CD4D4A">
        <w:rPr>
          <w:rFonts w:ascii="Times New Roman" w:hAnsi="Times New Roman" w:hint="eastAsia"/>
          <w:color w:val="333333"/>
          <w:kern w:val="0"/>
          <w:sz w:val="18"/>
          <w:szCs w:val="18"/>
        </w:rPr>
        <w:t>，与国内生产总值之比为</w:t>
      </w:r>
      <w:r w:rsidRPr="00CD4D4A">
        <w:rPr>
          <w:rFonts w:ascii="Times New Roman" w:hAnsi="Times New Roman"/>
          <w:color w:val="333333"/>
          <w:kern w:val="0"/>
          <w:sz w:val="18"/>
          <w:szCs w:val="18"/>
        </w:rPr>
        <w:t>2.10%</w:t>
      </w:r>
      <w:r w:rsidRPr="00CD4D4A">
        <w:rPr>
          <w:rFonts w:ascii="Times New Roman" w:hAnsi="Times New Roman" w:hint="eastAsia"/>
          <w:color w:val="333333"/>
          <w:kern w:val="0"/>
          <w:sz w:val="18"/>
          <w:szCs w:val="18"/>
        </w:rPr>
        <w:t>，其中基础研究经费</w:t>
      </w:r>
      <w:r w:rsidRPr="00CD4D4A">
        <w:rPr>
          <w:rFonts w:ascii="Times New Roman" w:hAnsi="Times New Roman"/>
          <w:color w:val="333333"/>
          <w:kern w:val="0"/>
          <w:sz w:val="18"/>
          <w:szCs w:val="18"/>
        </w:rPr>
        <w:t>671</w:t>
      </w:r>
      <w:r w:rsidRPr="00CD4D4A">
        <w:rPr>
          <w:rFonts w:ascii="Times New Roman" w:hAnsi="Times New Roman" w:hint="eastAsia"/>
          <w:color w:val="333333"/>
          <w:kern w:val="0"/>
          <w:sz w:val="18"/>
          <w:szCs w:val="18"/>
        </w:rPr>
        <w:t>亿元。全年国家安排了</w:t>
      </w:r>
      <w:r w:rsidRPr="00CD4D4A">
        <w:rPr>
          <w:rFonts w:ascii="Times New Roman" w:hAnsi="Times New Roman"/>
          <w:color w:val="333333"/>
          <w:kern w:val="0"/>
          <w:sz w:val="18"/>
          <w:szCs w:val="18"/>
        </w:rPr>
        <w:t>3574</w:t>
      </w:r>
      <w:r w:rsidRPr="00CD4D4A">
        <w:rPr>
          <w:rFonts w:ascii="Times New Roman" w:hAnsi="Times New Roman" w:hint="eastAsia"/>
          <w:color w:val="333333"/>
          <w:kern w:val="0"/>
          <w:sz w:val="18"/>
          <w:szCs w:val="18"/>
        </w:rPr>
        <w:t>项科技支撑计划课题，</w:t>
      </w:r>
      <w:r w:rsidRPr="00CD4D4A">
        <w:rPr>
          <w:rFonts w:ascii="Times New Roman" w:hAnsi="Times New Roman"/>
          <w:color w:val="333333"/>
          <w:kern w:val="0"/>
          <w:sz w:val="18"/>
          <w:szCs w:val="18"/>
        </w:rPr>
        <w:t>2561</w:t>
      </w:r>
      <w:r w:rsidRPr="00CD4D4A">
        <w:rPr>
          <w:rFonts w:ascii="Times New Roman" w:hAnsi="Times New Roman" w:hint="eastAsia"/>
          <w:color w:val="333333"/>
          <w:kern w:val="0"/>
          <w:sz w:val="18"/>
          <w:szCs w:val="18"/>
        </w:rPr>
        <w:t>项</w:t>
      </w:r>
      <w:r w:rsidRPr="00CD4D4A">
        <w:rPr>
          <w:rFonts w:ascii="Times New Roman" w:hAnsi="Times New Roman"/>
          <w:color w:val="333333"/>
          <w:kern w:val="0"/>
          <w:sz w:val="18"/>
          <w:szCs w:val="18"/>
        </w:rPr>
        <w:t>“863”</w:t>
      </w:r>
      <w:r w:rsidRPr="00CD4D4A">
        <w:rPr>
          <w:rFonts w:ascii="Times New Roman" w:hAnsi="Times New Roman" w:hint="eastAsia"/>
          <w:color w:val="333333"/>
          <w:kern w:val="0"/>
          <w:sz w:val="18"/>
          <w:szCs w:val="18"/>
        </w:rPr>
        <w:t>计划课题。截至年底，累计建设国家工程研究中心</w:t>
      </w:r>
      <w:r w:rsidRPr="00CD4D4A">
        <w:rPr>
          <w:rFonts w:ascii="Times New Roman" w:hAnsi="Times New Roman"/>
          <w:color w:val="333333"/>
          <w:kern w:val="0"/>
          <w:sz w:val="18"/>
          <w:szCs w:val="18"/>
        </w:rPr>
        <w:t>132</w:t>
      </w:r>
      <w:r w:rsidRPr="00CD4D4A">
        <w:rPr>
          <w:rFonts w:ascii="Times New Roman" w:hAnsi="Times New Roman" w:hint="eastAsia"/>
          <w:color w:val="333333"/>
          <w:kern w:val="0"/>
          <w:sz w:val="18"/>
          <w:szCs w:val="18"/>
        </w:rPr>
        <w:t>个，国家工程实验室</w:t>
      </w:r>
      <w:r w:rsidRPr="00CD4D4A">
        <w:rPr>
          <w:rFonts w:ascii="Times New Roman" w:hAnsi="Times New Roman"/>
          <w:color w:val="333333"/>
          <w:kern w:val="0"/>
          <w:sz w:val="18"/>
          <w:szCs w:val="18"/>
        </w:rPr>
        <w:t>158</w:t>
      </w:r>
      <w:r w:rsidRPr="00CD4D4A">
        <w:rPr>
          <w:rFonts w:ascii="Times New Roman" w:hAnsi="Times New Roman" w:hint="eastAsia"/>
          <w:color w:val="333333"/>
          <w:kern w:val="0"/>
          <w:sz w:val="18"/>
          <w:szCs w:val="18"/>
        </w:rPr>
        <w:t>个，国家认定企业技术中心</w:t>
      </w:r>
      <w:r w:rsidRPr="00CD4D4A">
        <w:rPr>
          <w:rFonts w:ascii="Times New Roman" w:hAnsi="Times New Roman"/>
          <w:color w:val="333333"/>
          <w:kern w:val="0"/>
          <w:sz w:val="18"/>
          <w:szCs w:val="18"/>
        </w:rPr>
        <w:t>1187</w:t>
      </w:r>
      <w:r w:rsidRPr="00CD4D4A">
        <w:rPr>
          <w:rFonts w:ascii="Times New Roman" w:hAnsi="Times New Roman" w:hint="eastAsia"/>
          <w:color w:val="333333"/>
          <w:kern w:val="0"/>
          <w:sz w:val="18"/>
          <w:szCs w:val="18"/>
        </w:rPr>
        <w:t>家。国家新兴产业创投计划</w:t>
      </w:r>
      <w:r w:rsidRPr="00CD4D4A">
        <w:rPr>
          <w:rFonts w:ascii="Times New Roman" w:hAnsi="Times New Roman"/>
          <w:color w:val="333333"/>
          <w:kern w:val="0"/>
          <w:sz w:val="18"/>
          <w:szCs w:val="18"/>
          <w:vertAlign w:val="superscript"/>
        </w:rPr>
        <w:t>[42]</w:t>
      </w:r>
      <w:r w:rsidRPr="00CD4D4A">
        <w:rPr>
          <w:rFonts w:ascii="Times New Roman" w:hAnsi="Times New Roman" w:hint="eastAsia"/>
          <w:color w:val="333333"/>
          <w:kern w:val="0"/>
          <w:sz w:val="18"/>
          <w:szCs w:val="18"/>
        </w:rPr>
        <w:t>累计支持设立</w:t>
      </w:r>
      <w:r w:rsidRPr="00CD4D4A">
        <w:rPr>
          <w:rFonts w:ascii="Times New Roman" w:hAnsi="Times New Roman"/>
          <w:color w:val="333333"/>
          <w:kern w:val="0"/>
          <w:sz w:val="18"/>
          <w:szCs w:val="18"/>
        </w:rPr>
        <w:t>206</w:t>
      </w:r>
      <w:r w:rsidRPr="00CD4D4A">
        <w:rPr>
          <w:rFonts w:ascii="Times New Roman" w:hAnsi="Times New Roman" w:hint="eastAsia"/>
          <w:color w:val="333333"/>
          <w:kern w:val="0"/>
          <w:sz w:val="18"/>
          <w:szCs w:val="18"/>
        </w:rPr>
        <w:t>家创业投资企业，资金总规模</w:t>
      </w:r>
      <w:r w:rsidRPr="00CD4D4A">
        <w:rPr>
          <w:rFonts w:ascii="Times New Roman" w:hAnsi="Times New Roman"/>
          <w:color w:val="333333"/>
          <w:kern w:val="0"/>
          <w:sz w:val="18"/>
          <w:szCs w:val="18"/>
        </w:rPr>
        <w:t>557</w:t>
      </w:r>
      <w:r w:rsidRPr="00CD4D4A">
        <w:rPr>
          <w:rFonts w:ascii="Times New Roman" w:hAnsi="Times New Roman" w:hint="eastAsia"/>
          <w:color w:val="333333"/>
          <w:kern w:val="0"/>
          <w:sz w:val="18"/>
          <w:szCs w:val="18"/>
        </w:rPr>
        <w:t>亿元，投资创业企业</w:t>
      </w:r>
      <w:r w:rsidRPr="00CD4D4A">
        <w:rPr>
          <w:rFonts w:ascii="Times New Roman" w:hAnsi="Times New Roman"/>
          <w:color w:val="333333"/>
          <w:kern w:val="0"/>
          <w:sz w:val="18"/>
          <w:szCs w:val="18"/>
        </w:rPr>
        <w:t>1233</w:t>
      </w:r>
      <w:r w:rsidRPr="00CD4D4A">
        <w:rPr>
          <w:rFonts w:ascii="Times New Roman" w:hAnsi="Times New Roman" w:hint="eastAsia"/>
          <w:color w:val="333333"/>
          <w:kern w:val="0"/>
          <w:sz w:val="18"/>
          <w:szCs w:val="18"/>
        </w:rPr>
        <w:t>家。全年受理境内外专利申请</w:t>
      </w:r>
      <w:r w:rsidRPr="00CD4D4A">
        <w:rPr>
          <w:rFonts w:ascii="Times New Roman" w:hAnsi="Times New Roman"/>
          <w:color w:val="333333"/>
          <w:kern w:val="0"/>
          <w:sz w:val="18"/>
          <w:szCs w:val="18"/>
        </w:rPr>
        <w:t>279.9</w:t>
      </w:r>
      <w:r w:rsidRPr="00CD4D4A">
        <w:rPr>
          <w:rFonts w:ascii="Times New Roman" w:hAnsi="Times New Roman" w:hint="eastAsia"/>
          <w:color w:val="333333"/>
          <w:kern w:val="0"/>
          <w:sz w:val="18"/>
          <w:szCs w:val="18"/>
        </w:rPr>
        <w:t>万件，授予专利权</w:t>
      </w:r>
      <w:r w:rsidRPr="00CD4D4A">
        <w:rPr>
          <w:rFonts w:ascii="Times New Roman" w:hAnsi="Times New Roman"/>
          <w:color w:val="333333"/>
          <w:kern w:val="0"/>
          <w:sz w:val="18"/>
          <w:szCs w:val="18"/>
        </w:rPr>
        <w:t>171.8</w:t>
      </w:r>
      <w:r w:rsidRPr="00CD4D4A">
        <w:rPr>
          <w:rFonts w:ascii="Times New Roman" w:hAnsi="Times New Roman" w:hint="eastAsia"/>
          <w:color w:val="333333"/>
          <w:kern w:val="0"/>
          <w:sz w:val="18"/>
          <w:szCs w:val="18"/>
        </w:rPr>
        <w:t>万件。截至年底，有效专利</w:t>
      </w:r>
      <w:r w:rsidRPr="00CD4D4A">
        <w:rPr>
          <w:rFonts w:ascii="Times New Roman" w:hAnsi="Times New Roman"/>
          <w:color w:val="333333"/>
          <w:kern w:val="0"/>
          <w:sz w:val="18"/>
          <w:szCs w:val="18"/>
        </w:rPr>
        <w:t>547.8</w:t>
      </w:r>
      <w:r w:rsidRPr="00CD4D4A">
        <w:rPr>
          <w:rFonts w:ascii="Times New Roman" w:hAnsi="Times New Roman" w:hint="eastAsia"/>
          <w:color w:val="333333"/>
          <w:kern w:val="0"/>
          <w:sz w:val="18"/>
          <w:szCs w:val="18"/>
        </w:rPr>
        <w:t>万件，其中境内有效发明专利</w:t>
      </w:r>
      <w:r w:rsidRPr="00CD4D4A">
        <w:rPr>
          <w:rFonts w:ascii="Times New Roman" w:hAnsi="Times New Roman"/>
          <w:color w:val="333333"/>
          <w:kern w:val="0"/>
          <w:sz w:val="18"/>
          <w:szCs w:val="18"/>
        </w:rPr>
        <w:t>87.2</w:t>
      </w:r>
      <w:r w:rsidRPr="00CD4D4A">
        <w:rPr>
          <w:rFonts w:ascii="Times New Roman" w:hAnsi="Times New Roman" w:hint="eastAsia"/>
          <w:color w:val="333333"/>
          <w:kern w:val="0"/>
          <w:sz w:val="18"/>
          <w:szCs w:val="18"/>
        </w:rPr>
        <w:t>万件，每万人口发明专利拥有量</w:t>
      </w:r>
      <w:r w:rsidRPr="00CD4D4A">
        <w:rPr>
          <w:rFonts w:ascii="Times New Roman" w:hAnsi="Times New Roman"/>
          <w:color w:val="333333"/>
          <w:kern w:val="0"/>
          <w:sz w:val="18"/>
          <w:szCs w:val="18"/>
        </w:rPr>
        <w:t>6.3</w:t>
      </w:r>
      <w:r w:rsidRPr="00CD4D4A">
        <w:rPr>
          <w:rFonts w:ascii="Times New Roman" w:hAnsi="Times New Roman" w:hint="eastAsia"/>
          <w:color w:val="333333"/>
          <w:kern w:val="0"/>
          <w:sz w:val="18"/>
          <w:szCs w:val="18"/>
        </w:rPr>
        <w:t>件。全年共签订技术合同</w:t>
      </w:r>
      <w:r w:rsidRPr="00CD4D4A">
        <w:rPr>
          <w:rFonts w:ascii="Times New Roman" w:hAnsi="Times New Roman"/>
          <w:color w:val="333333"/>
          <w:kern w:val="0"/>
          <w:sz w:val="18"/>
          <w:szCs w:val="18"/>
        </w:rPr>
        <w:t>30.7</w:t>
      </w:r>
      <w:r w:rsidRPr="00CD4D4A">
        <w:rPr>
          <w:rFonts w:ascii="Times New Roman" w:hAnsi="Times New Roman" w:hint="eastAsia"/>
          <w:color w:val="333333"/>
          <w:kern w:val="0"/>
          <w:sz w:val="18"/>
          <w:szCs w:val="18"/>
        </w:rPr>
        <w:t>万项，技术合同成交金额</w:t>
      </w:r>
      <w:r w:rsidRPr="00CD4D4A">
        <w:rPr>
          <w:rFonts w:ascii="Times New Roman" w:hAnsi="Times New Roman"/>
          <w:color w:val="333333"/>
          <w:kern w:val="0"/>
          <w:sz w:val="18"/>
          <w:szCs w:val="18"/>
        </w:rPr>
        <w:t>9835</w:t>
      </w:r>
      <w:r w:rsidRPr="00CD4D4A">
        <w:rPr>
          <w:rFonts w:ascii="Times New Roman" w:hAnsi="Times New Roman" w:hint="eastAsia"/>
          <w:color w:val="333333"/>
          <w:kern w:val="0"/>
          <w:sz w:val="18"/>
          <w:szCs w:val="18"/>
        </w:rPr>
        <w:t>亿元，比上年增长</w:t>
      </w:r>
      <w:r w:rsidRPr="00CD4D4A">
        <w:rPr>
          <w:rFonts w:ascii="Times New Roman" w:hAnsi="Times New Roman"/>
          <w:color w:val="333333"/>
          <w:kern w:val="0"/>
          <w:sz w:val="18"/>
          <w:szCs w:val="18"/>
        </w:rPr>
        <w:t>14.7%</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4" o:spid="_x0000_i1045" type="#_x0000_t75" alt="http://www.stats.gov.cn/tjsj/zxfb/201602/W020160229379124694986_r75.gif" style="width:396.75pt;height:226.5pt;visibility:visible">
            <v:imagedata r:id="rId24"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tbl>
      <w:tblPr>
        <w:tblW w:w="0" w:type="auto"/>
        <w:jc w:val="center"/>
        <w:tblCellMar>
          <w:left w:w="0" w:type="dxa"/>
          <w:right w:w="0" w:type="dxa"/>
        </w:tblCellMar>
        <w:tblLook w:val="00A0"/>
      </w:tblPr>
      <w:tblGrid>
        <w:gridCol w:w="3793"/>
        <w:gridCol w:w="2317"/>
        <w:gridCol w:w="2196"/>
      </w:tblGrid>
      <w:tr w:rsidR="009271D0" w:rsidRPr="00CD4D4A" w:rsidTr="001504C1">
        <w:trPr>
          <w:trHeight w:val="567"/>
          <w:jc w:val="center"/>
        </w:trPr>
        <w:tc>
          <w:tcPr>
            <w:tcW w:w="8306" w:type="dxa"/>
            <w:gridSpan w:val="3"/>
            <w:tcBorders>
              <w:top w:val="nil"/>
              <w:left w:val="nil"/>
              <w:bottom w:val="single" w:sz="8" w:space="0" w:color="000000"/>
              <w:right w:val="nil"/>
            </w:tcBorders>
            <w:shd w:val="clear" w:color="auto" w:fill="FFFFFF"/>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b/>
                <w:bCs/>
                <w:snapToGrid w:val="0"/>
                <w:color w:val="333333"/>
                <w:kern w:val="0"/>
                <w:sz w:val="18"/>
                <w:szCs w:val="18"/>
                <w:bdr w:val="none" w:sz="0" w:space="0" w:color="auto" w:frame="1"/>
              </w:rPr>
              <w:t xml:space="preserve">　　表</w:t>
            </w:r>
            <w:r w:rsidRPr="00CD4D4A">
              <w:rPr>
                <w:rFonts w:ascii="Times New Roman" w:hAnsi="Times New Roman"/>
                <w:b/>
                <w:bCs/>
                <w:snapToGrid w:val="0"/>
                <w:color w:val="333333"/>
                <w:kern w:val="0"/>
                <w:sz w:val="18"/>
                <w:szCs w:val="18"/>
                <w:bdr w:val="none" w:sz="0" w:space="0" w:color="auto" w:frame="1"/>
              </w:rPr>
              <w:t>16  2015</w:t>
            </w:r>
            <w:r w:rsidRPr="00CD4D4A">
              <w:rPr>
                <w:rFonts w:ascii="Times New Roman" w:hAnsi="Times New Roman" w:hint="eastAsia"/>
                <w:b/>
                <w:bCs/>
                <w:snapToGrid w:val="0"/>
                <w:color w:val="333333"/>
                <w:kern w:val="0"/>
                <w:sz w:val="18"/>
                <w:szCs w:val="18"/>
                <w:bdr w:val="none" w:sz="0" w:space="0" w:color="auto" w:frame="1"/>
              </w:rPr>
              <w:t>年专利申请受理、授权和有效专利情况</w:t>
            </w:r>
          </w:p>
        </w:tc>
      </w:tr>
      <w:tr w:rsidR="009271D0" w:rsidRPr="00CD4D4A" w:rsidTr="001504C1">
        <w:trPr>
          <w:trHeight w:val="567"/>
          <w:jc w:val="center"/>
        </w:trPr>
        <w:tc>
          <w:tcPr>
            <w:tcW w:w="3793" w:type="dxa"/>
            <w:tcBorders>
              <w:top w:val="single" w:sz="8" w:space="0" w:color="000000"/>
              <w:left w:val="nil"/>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指　标</w:t>
            </w:r>
          </w:p>
        </w:tc>
        <w:tc>
          <w:tcPr>
            <w:tcW w:w="2317" w:type="dxa"/>
            <w:tcBorders>
              <w:top w:val="single" w:sz="8" w:space="0" w:color="000000"/>
              <w:left w:val="single" w:sz="4" w:space="0" w:color="000000"/>
              <w:bottom w:val="single" w:sz="4" w:space="0" w:color="000000"/>
              <w:right w:val="single" w:sz="4" w:space="0" w:color="000000"/>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专利数（万件）</w:t>
            </w:r>
          </w:p>
        </w:tc>
        <w:tc>
          <w:tcPr>
            <w:tcW w:w="2196" w:type="dxa"/>
            <w:tcBorders>
              <w:top w:val="single" w:sz="8" w:space="0" w:color="000000"/>
              <w:left w:val="single" w:sz="4" w:space="0" w:color="000000"/>
              <w:bottom w:val="single" w:sz="4" w:space="0" w:color="000000"/>
              <w:right w:val="nil"/>
            </w:tcBorders>
            <w:vAlign w:val="center"/>
          </w:tcPr>
          <w:p w:rsidR="009271D0" w:rsidRPr="00CD4D4A" w:rsidRDefault="009271D0" w:rsidP="00CD4D4A">
            <w:pPr>
              <w:widowControl/>
              <w:ind w:left="57" w:right="57"/>
              <w:jc w:val="center"/>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比上年增长（</w:t>
            </w:r>
            <w:r w:rsidRPr="00CD4D4A">
              <w:rPr>
                <w:rFonts w:ascii="Times New Roman" w:hAnsi="Times New Roman"/>
                <w:snapToGrid w:val="0"/>
                <w:color w:val="333333"/>
                <w:kern w:val="0"/>
                <w:sz w:val="18"/>
                <w:szCs w:val="18"/>
              </w:rPr>
              <w:t>%</w:t>
            </w:r>
            <w:r w:rsidRPr="00CD4D4A">
              <w:rPr>
                <w:rFonts w:ascii="Times New Roman" w:hAnsi="Times New Roman" w:hint="eastAsia"/>
                <w:snapToGrid w:val="0"/>
                <w:color w:val="333333"/>
                <w:kern w:val="0"/>
                <w:sz w:val="18"/>
                <w:szCs w:val="18"/>
              </w:rPr>
              <w:t>）</w:t>
            </w:r>
          </w:p>
        </w:tc>
      </w:tr>
      <w:tr w:rsidR="009271D0" w:rsidRPr="00CD4D4A" w:rsidTr="001504C1">
        <w:trPr>
          <w:trHeight w:val="283"/>
          <w:jc w:val="center"/>
        </w:trPr>
        <w:tc>
          <w:tcPr>
            <w:tcW w:w="3793" w:type="dxa"/>
            <w:tcBorders>
              <w:top w:val="single" w:sz="4" w:space="0" w:color="000000"/>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专利申请受理数</w:t>
            </w:r>
          </w:p>
        </w:tc>
        <w:tc>
          <w:tcPr>
            <w:tcW w:w="2317" w:type="dxa"/>
            <w:tcBorders>
              <w:top w:val="single" w:sz="4" w:space="0" w:color="000000"/>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279.9</w:t>
            </w:r>
          </w:p>
        </w:tc>
        <w:tc>
          <w:tcPr>
            <w:tcW w:w="2196" w:type="dxa"/>
            <w:tcBorders>
              <w:top w:val="single" w:sz="4" w:space="0" w:color="000000"/>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18.5</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其中：境内专利申请受理</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261.7</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19.7</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其中：发明专利申请受理</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110.2</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18.7</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2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其中：境内发明专利</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95.7</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21.2</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专利申请授权数</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171.8</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31.9</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其中：境内专利授权</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157.8</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32.4</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其中：发明专利授权</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35.9</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54.1</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2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其中：境内发明专利</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25.6</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62.5</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年末有效专利数</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547.8</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18.0</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其中：境内有效专利</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467.4</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19.3</w:t>
            </w:r>
          </w:p>
        </w:tc>
      </w:tr>
      <w:tr w:rsidR="009271D0" w:rsidRPr="00CD4D4A" w:rsidTr="001504C1">
        <w:trPr>
          <w:trHeight w:val="283"/>
          <w:jc w:val="center"/>
        </w:trPr>
        <w:tc>
          <w:tcPr>
            <w:tcW w:w="3793" w:type="dxa"/>
            <w:tcBorders>
              <w:top w:val="nil"/>
              <w:left w:val="nil"/>
              <w:bottom w:val="nil"/>
              <w:right w:val="single" w:sz="4" w:space="0" w:color="000000"/>
            </w:tcBorders>
            <w:vAlign w:val="center"/>
          </w:tcPr>
          <w:p w:rsidR="009271D0" w:rsidRPr="00CD4D4A" w:rsidRDefault="009271D0" w:rsidP="009271D0">
            <w:pPr>
              <w:widowControl/>
              <w:ind w:right="57" w:firstLineChars="1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其中：有效发明专利</w:t>
            </w:r>
          </w:p>
        </w:tc>
        <w:tc>
          <w:tcPr>
            <w:tcW w:w="2317" w:type="dxa"/>
            <w:tcBorders>
              <w:top w:val="nil"/>
              <w:left w:val="single" w:sz="4" w:space="0" w:color="000000"/>
              <w:bottom w:val="nil"/>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147.2</w:t>
            </w:r>
          </w:p>
        </w:tc>
        <w:tc>
          <w:tcPr>
            <w:tcW w:w="2196" w:type="dxa"/>
            <w:tcBorders>
              <w:top w:val="nil"/>
              <w:left w:val="single" w:sz="4" w:space="0" w:color="000000"/>
              <w:bottom w:val="nil"/>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23.1</w:t>
            </w:r>
          </w:p>
        </w:tc>
      </w:tr>
      <w:tr w:rsidR="009271D0" w:rsidRPr="00CD4D4A" w:rsidTr="001504C1">
        <w:trPr>
          <w:trHeight w:val="283"/>
          <w:jc w:val="center"/>
        </w:trPr>
        <w:tc>
          <w:tcPr>
            <w:tcW w:w="3793" w:type="dxa"/>
            <w:tcBorders>
              <w:top w:val="nil"/>
              <w:left w:val="nil"/>
              <w:bottom w:val="single" w:sz="8" w:space="0" w:color="000000"/>
              <w:right w:val="single" w:sz="4" w:space="0" w:color="000000"/>
            </w:tcBorders>
            <w:vAlign w:val="center"/>
          </w:tcPr>
          <w:p w:rsidR="009271D0" w:rsidRPr="00CD4D4A" w:rsidRDefault="009271D0" w:rsidP="009271D0">
            <w:pPr>
              <w:widowControl/>
              <w:ind w:right="57" w:firstLineChars="250" w:firstLine="31680"/>
              <w:jc w:val="left"/>
              <w:rPr>
                <w:rFonts w:ascii="Times New Roman" w:hAnsi="Times New Roman"/>
                <w:color w:val="333333"/>
                <w:kern w:val="0"/>
                <w:sz w:val="18"/>
                <w:szCs w:val="18"/>
              </w:rPr>
            </w:pPr>
            <w:r w:rsidRPr="00CD4D4A">
              <w:rPr>
                <w:rFonts w:ascii="Times New Roman" w:hAnsi="Times New Roman" w:hint="eastAsia"/>
                <w:snapToGrid w:val="0"/>
                <w:color w:val="333333"/>
                <w:kern w:val="0"/>
                <w:sz w:val="18"/>
                <w:szCs w:val="18"/>
              </w:rPr>
              <w:t>其中：境内有效发明专利</w:t>
            </w:r>
          </w:p>
        </w:tc>
        <w:tc>
          <w:tcPr>
            <w:tcW w:w="2317" w:type="dxa"/>
            <w:tcBorders>
              <w:top w:val="nil"/>
              <w:left w:val="single" w:sz="4" w:space="0" w:color="000000"/>
              <w:bottom w:val="single" w:sz="8" w:space="0" w:color="000000"/>
              <w:right w:val="single" w:sz="4" w:space="0" w:color="000000"/>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87.2</w:t>
            </w:r>
          </w:p>
        </w:tc>
        <w:tc>
          <w:tcPr>
            <w:tcW w:w="2196" w:type="dxa"/>
            <w:tcBorders>
              <w:top w:val="nil"/>
              <w:left w:val="single" w:sz="4" w:space="0" w:color="000000"/>
              <w:bottom w:val="single" w:sz="8" w:space="0" w:color="000000"/>
              <w:right w:val="nil"/>
            </w:tcBorders>
            <w:vAlign w:val="center"/>
          </w:tcPr>
          <w:p w:rsidR="009271D0" w:rsidRPr="00CD4D4A" w:rsidRDefault="009271D0" w:rsidP="00CD4D4A">
            <w:pPr>
              <w:widowControl/>
              <w:ind w:left="57" w:right="840"/>
              <w:jc w:val="right"/>
              <w:rPr>
                <w:rFonts w:ascii="Times New Roman" w:hAnsi="Times New Roman"/>
                <w:color w:val="333333"/>
                <w:kern w:val="0"/>
                <w:sz w:val="18"/>
                <w:szCs w:val="18"/>
              </w:rPr>
            </w:pPr>
            <w:r w:rsidRPr="00CD4D4A">
              <w:rPr>
                <w:rFonts w:ascii="Times New Roman" w:hAnsi="Times New Roman"/>
                <w:snapToGrid w:val="0"/>
                <w:color w:val="333333"/>
                <w:kern w:val="0"/>
                <w:sz w:val="18"/>
                <w:szCs w:val="18"/>
              </w:rPr>
              <w:t>31.4</w:t>
            </w:r>
          </w:p>
        </w:tc>
      </w:tr>
    </w:tbl>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全年成功完成</w:t>
      </w:r>
      <w:r w:rsidRPr="00CD4D4A">
        <w:rPr>
          <w:rFonts w:ascii="Times New Roman" w:hAnsi="Times New Roman"/>
          <w:color w:val="333333"/>
          <w:kern w:val="0"/>
          <w:sz w:val="18"/>
          <w:szCs w:val="18"/>
        </w:rPr>
        <w:t>19</w:t>
      </w:r>
      <w:r w:rsidRPr="00CD4D4A">
        <w:rPr>
          <w:rFonts w:ascii="Times New Roman" w:hAnsi="Times New Roman" w:hint="eastAsia"/>
          <w:color w:val="333333"/>
          <w:kern w:val="0"/>
          <w:sz w:val="18"/>
          <w:szCs w:val="18"/>
        </w:rPr>
        <w:t>次宇航发射。长征六号、长征十一号新型运载火箭成功首飞；地球静止轨道分辨率最高的遥感卫星高分四号成功发射；完成</w:t>
      </w:r>
      <w:r w:rsidRPr="00CD4D4A">
        <w:rPr>
          <w:rFonts w:ascii="Times New Roman" w:hAnsi="Times New Roman"/>
          <w:color w:val="333333"/>
          <w:kern w:val="0"/>
          <w:sz w:val="18"/>
          <w:szCs w:val="18"/>
        </w:rPr>
        <w:t>4</w:t>
      </w:r>
      <w:r w:rsidRPr="00CD4D4A">
        <w:rPr>
          <w:rFonts w:ascii="Times New Roman" w:hAnsi="Times New Roman" w:hint="eastAsia"/>
          <w:color w:val="333333"/>
          <w:kern w:val="0"/>
          <w:sz w:val="18"/>
          <w:szCs w:val="18"/>
        </w:rPr>
        <w:t>颗新一代北斗导航卫星发射，北斗卫星导航系统全球组网稳步推进；国产首架大飞机</w:t>
      </w:r>
      <w:r w:rsidRPr="00CD4D4A">
        <w:rPr>
          <w:rFonts w:ascii="Times New Roman" w:hAnsi="Times New Roman"/>
          <w:color w:val="333333"/>
          <w:kern w:val="0"/>
          <w:sz w:val="18"/>
          <w:szCs w:val="18"/>
        </w:rPr>
        <w:t>C919</w:t>
      </w:r>
      <w:r w:rsidRPr="00CD4D4A">
        <w:rPr>
          <w:rFonts w:ascii="Times New Roman" w:hAnsi="Times New Roman" w:hint="eastAsia"/>
          <w:color w:val="333333"/>
          <w:kern w:val="0"/>
          <w:sz w:val="18"/>
          <w:szCs w:val="18"/>
        </w:rPr>
        <w:t>成功总装下线。</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年末全国共有产品检测实验室</w:t>
      </w:r>
      <w:r w:rsidRPr="00CD4D4A">
        <w:rPr>
          <w:rFonts w:ascii="Times New Roman" w:hAnsi="Times New Roman"/>
          <w:color w:val="333333"/>
          <w:kern w:val="0"/>
          <w:sz w:val="18"/>
          <w:szCs w:val="18"/>
        </w:rPr>
        <w:t>31768</w:t>
      </w:r>
      <w:r w:rsidRPr="00CD4D4A">
        <w:rPr>
          <w:rFonts w:ascii="Times New Roman" w:hAnsi="Times New Roman" w:hint="eastAsia"/>
          <w:color w:val="333333"/>
          <w:kern w:val="0"/>
          <w:sz w:val="18"/>
          <w:szCs w:val="18"/>
        </w:rPr>
        <w:t>个，其中国家检测中心</w:t>
      </w:r>
      <w:r w:rsidRPr="00CD4D4A">
        <w:rPr>
          <w:rFonts w:ascii="Times New Roman" w:hAnsi="Times New Roman"/>
          <w:color w:val="333333"/>
          <w:kern w:val="0"/>
          <w:sz w:val="18"/>
          <w:szCs w:val="18"/>
        </w:rPr>
        <w:t>641</w:t>
      </w:r>
      <w:r w:rsidRPr="00CD4D4A">
        <w:rPr>
          <w:rFonts w:ascii="Times New Roman" w:hAnsi="Times New Roman" w:hint="eastAsia"/>
          <w:color w:val="333333"/>
          <w:kern w:val="0"/>
          <w:sz w:val="18"/>
          <w:szCs w:val="18"/>
        </w:rPr>
        <w:t>个。全国现有产品质量、体系认证机构</w:t>
      </w:r>
      <w:r w:rsidRPr="00CD4D4A">
        <w:rPr>
          <w:rFonts w:ascii="Times New Roman" w:hAnsi="Times New Roman"/>
          <w:color w:val="333333"/>
          <w:kern w:val="0"/>
          <w:sz w:val="18"/>
          <w:szCs w:val="18"/>
        </w:rPr>
        <w:t>221</w:t>
      </w:r>
      <w:r w:rsidRPr="00CD4D4A">
        <w:rPr>
          <w:rFonts w:ascii="Times New Roman" w:hAnsi="Times New Roman" w:hint="eastAsia"/>
          <w:color w:val="333333"/>
          <w:kern w:val="0"/>
          <w:sz w:val="18"/>
          <w:szCs w:val="18"/>
        </w:rPr>
        <w:t>个，已累计完成对</w:t>
      </w:r>
      <w:r w:rsidRPr="00CD4D4A">
        <w:rPr>
          <w:rFonts w:ascii="Times New Roman" w:hAnsi="Times New Roman"/>
          <w:color w:val="333333"/>
          <w:kern w:val="0"/>
          <w:sz w:val="18"/>
          <w:szCs w:val="18"/>
        </w:rPr>
        <w:t>136780</w:t>
      </w:r>
      <w:r w:rsidRPr="00CD4D4A">
        <w:rPr>
          <w:rFonts w:ascii="Times New Roman" w:hAnsi="Times New Roman" w:hint="eastAsia"/>
          <w:color w:val="333333"/>
          <w:kern w:val="0"/>
          <w:sz w:val="18"/>
          <w:szCs w:val="18"/>
        </w:rPr>
        <w:t>个企业的产品认证。全国共有法定计量技术机构</w:t>
      </w:r>
      <w:r w:rsidRPr="00CD4D4A">
        <w:rPr>
          <w:rFonts w:ascii="Times New Roman" w:hAnsi="Times New Roman"/>
          <w:color w:val="333333"/>
          <w:kern w:val="0"/>
          <w:sz w:val="18"/>
          <w:szCs w:val="18"/>
        </w:rPr>
        <w:t>3830</w:t>
      </w:r>
      <w:r w:rsidRPr="00CD4D4A">
        <w:rPr>
          <w:rFonts w:ascii="Times New Roman" w:hAnsi="Times New Roman" w:hint="eastAsia"/>
          <w:color w:val="333333"/>
          <w:kern w:val="0"/>
          <w:sz w:val="18"/>
          <w:szCs w:val="18"/>
        </w:rPr>
        <w:t>个，全年强制检定计量器具</w:t>
      </w:r>
      <w:r w:rsidRPr="00CD4D4A">
        <w:rPr>
          <w:rFonts w:ascii="Times New Roman" w:hAnsi="Times New Roman"/>
          <w:color w:val="333333"/>
          <w:kern w:val="0"/>
          <w:sz w:val="18"/>
          <w:szCs w:val="18"/>
        </w:rPr>
        <w:t>7354</w:t>
      </w:r>
      <w:r w:rsidRPr="00CD4D4A">
        <w:rPr>
          <w:rFonts w:ascii="Times New Roman" w:hAnsi="Times New Roman" w:hint="eastAsia"/>
          <w:color w:val="333333"/>
          <w:kern w:val="0"/>
          <w:sz w:val="18"/>
          <w:szCs w:val="18"/>
        </w:rPr>
        <w:t>万台（件）。全年制定、修订国家标准</w:t>
      </w:r>
      <w:r w:rsidRPr="00CD4D4A">
        <w:rPr>
          <w:rFonts w:ascii="Times New Roman" w:hAnsi="Times New Roman"/>
          <w:color w:val="333333"/>
          <w:kern w:val="0"/>
          <w:sz w:val="18"/>
          <w:szCs w:val="18"/>
        </w:rPr>
        <w:t>1931</w:t>
      </w:r>
      <w:r w:rsidRPr="00CD4D4A">
        <w:rPr>
          <w:rFonts w:ascii="Times New Roman" w:hAnsi="Times New Roman" w:hint="eastAsia"/>
          <w:color w:val="333333"/>
          <w:kern w:val="0"/>
          <w:sz w:val="18"/>
          <w:szCs w:val="18"/>
        </w:rPr>
        <w:t>项，其中新制定</w:t>
      </w:r>
      <w:r w:rsidRPr="00CD4D4A">
        <w:rPr>
          <w:rFonts w:ascii="Times New Roman" w:hAnsi="Times New Roman"/>
          <w:color w:val="333333"/>
          <w:kern w:val="0"/>
          <w:sz w:val="18"/>
          <w:szCs w:val="18"/>
        </w:rPr>
        <w:t>1330</w:t>
      </w:r>
      <w:r w:rsidRPr="00CD4D4A">
        <w:rPr>
          <w:rFonts w:ascii="Times New Roman" w:hAnsi="Times New Roman" w:hint="eastAsia"/>
          <w:color w:val="333333"/>
          <w:kern w:val="0"/>
          <w:sz w:val="18"/>
          <w:szCs w:val="18"/>
        </w:rPr>
        <w:t>项。全年中央气象台和省级气象台共发布气象预警信号</w:t>
      </w:r>
      <w:r w:rsidRPr="00CD4D4A">
        <w:rPr>
          <w:rFonts w:ascii="Times New Roman" w:hAnsi="Times New Roman"/>
          <w:color w:val="333333"/>
          <w:kern w:val="0"/>
          <w:sz w:val="18"/>
          <w:szCs w:val="18"/>
        </w:rPr>
        <w:t>5939</w:t>
      </w:r>
      <w:r w:rsidRPr="00CD4D4A">
        <w:rPr>
          <w:rFonts w:ascii="Times New Roman" w:hAnsi="Times New Roman" w:hint="eastAsia"/>
          <w:color w:val="333333"/>
          <w:kern w:val="0"/>
          <w:sz w:val="18"/>
          <w:szCs w:val="18"/>
        </w:rPr>
        <w:t>次，警报</w:t>
      </w:r>
      <w:r w:rsidRPr="00CD4D4A">
        <w:rPr>
          <w:rFonts w:ascii="Times New Roman" w:hAnsi="Times New Roman"/>
          <w:color w:val="333333"/>
          <w:kern w:val="0"/>
          <w:sz w:val="18"/>
          <w:szCs w:val="18"/>
        </w:rPr>
        <w:t>6107</w:t>
      </w:r>
      <w:r w:rsidRPr="00CD4D4A">
        <w:rPr>
          <w:rFonts w:ascii="Times New Roman" w:hAnsi="Times New Roman" w:hint="eastAsia"/>
          <w:color w:val="333333"/>
          <w:kern w:val="0"/>
          <w:sz w:val="18"/>
          <w:szCs w:val="18"/>
        </w:rPr>
        <w:t>次。全国共有地震台站</w:t>
      </w:r>
      <w:r w:rsidRPr="00CD4D4A">
        <w:rPr>
          <w:rFonts w:ascii="Times New Roman" w:hAnsi="Times New Roman"/>
          <w:color w:val="333333"/>
          <w:kern w:val="0"/>
          <w:sz w:val="18"/>
          <w:szCs w:val="18"/>
        </w:rPr>
        <w:t>1687</w:t>
      </w:r>
      <w:r w:rsidRPr="00CD4D4A">
        <w:rPr>
          <w:rFonts w:ascii="Times New Roman" w:hAnsi="Times New Roman" w:hint="eastAsia"/>
          <w:color w:val="333333"/>
          <w:kern w:val="0"/>
          <w:sz w:val="18"/>
          <w:szCs w:val="18"/>
        </w:rPr>
        <w:t>个，区域地震台网</w:t>
      </w:r>
      <w:r w:rsidRPr="00CD4D4A">
        <w:rPr>
          <w:rFonts w:ascii="Times New Roman" w:hAnsi="Times New Roman"/>
          <w:color w:val="333333"/>
          <w:kern w:val="0"/>
          <w:sz w:val="18"/>
          <w:szCs w:val="18"/>
        </w:rPr>
        <w:t>32</w:t>
      </w:r>
      <w:r w:rsidRPr="00CD4D4A">
        <w:rPr>
          <w:rFonts w:ascii="Times New Roman" w:hAnsi="Times New Roman" w:hint="eastAsia"/>
          <w:color w:val="333333"/>
          <w:kern w:val="0"/>
          <w:sz w:val="18"/>
          <w:szCs w:val="18"/>
        </w:rPr>
        <w:t>个。全国共有海洋观测站（点）</w:t>
      </w:r>
      <w:r w:rsidRPr="00CD4D4A">
        <w:rPr>
          <w:rFonts w:ascii="Times New Roman" w:hAnsi="Times New Roman"/>
          <w:color w:val="333333"/>
          <w:kern w:val="0"/>
          <w:sz w:val="18"/>
          <w:szCs w:val="18"/>
          <w:vertAlign w:val="superscript"/>
        </w:rPr>
        <w:t>[43]</w:t>
      </w:r>
      <w:r w:rsidRPr="00CD4D4A">
        <w:rPr>
          <w:rFonts w:ascii="Times New Roman" w:hAnsi="Times New Roman"/>
          <w:color w:val="333333"/>
          <w:kern w:val="0"/>
          <w:sz w:val="18"/>
          <w:szCs w:val="18"/>
        </w:rPr>
        <w:t>124</w:t>
      </w:r>
      <w:r w:rsidRPr="00CD4D4A">
        <w:rPr>
          <w:rFonts w:ascii="Times New Roman" w:hAnsi="Times New Roman" w:hint="eastAsia"/>
          <w:color w:val="333333"/>
          <w:kern w:val="0"/>
          <w:sz w:val="18"/>
          <w:szCs w:val="18"/>
        </w:rPr>
        <w:t>个。测绘地理信息部门公开出版地图</w:t>
      </w:r>
      <w:r w:rsidRPr="00CD4D4A">
        <w:rPr>
          <w:rFonts w:ascii="Times New Roman" w:hAnsi="Times New Roman"/>
          <w:color w:val="333333"/>
          <w:kern w:val="0"/>
          <w:sz w:val="18"/>
          <w:szCs w:val="18"/>
        </w:rPr>
        <w:t>2003</w:t>
      </w:r>
      <w:r w:rsidRPr="00CD4D4A">
        <w:rPr>
          <w:rFonts w:ascii="Times New Roman" w:hAnsi="Times New Roman" w:hint="eastAsia"/>
          <w:color w:val="333333"/>
          <w:kern w:val="0"/>
          <w:sz w:val="18"/>
          <w:szCs w:val="18"/>
        </w:rPr>
        <w:t>种。</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年末全国文化系统共有艺术表演团体</w:t>
      </w:r>
      <w:r w:rsidRPr="00CD4D4A">
        <w:rPr>
          <w:rFonts w:ascii="Times New Roman" w:hAnsi="Times New Roman"/>
          <w:color w:val="333333"/>
          <w:kern w:val="0"/>
          <w:sz w:val="18"/>
          <w:szCs w:val="18"/>
        </w:rPr>
        <w:t>2052</w:t>
      </w:r>
      <w:r w:rsidRPr="00CD4D4A">
        <w:rPr>
          <w:rFonts w:ascii="Times New Roman" w:hAnsi="Times New Roman" w:hint="eastAsia"/>
          <w:color w:val="333333"/>
          <w:kern w:val="0"/>
          <w:sz w:val="18"/>
          <w:szCs w:val="18"/>
        </w:rPr>
        <w:t>个，博物馆</w:t>
      </w:r>
      <w:r w:rsidRPr="00CD4D4A">
        <w:rPr>
          <w:rFonts w:ascii="Times New Roman" w:hAnsi="Times New Roman"/>
          <w:color w:val="333333"/>
          <w:kern w:val="0"/>
          <w:sz w:val="18"/>
          <w:szCs w:val="18"/>
        </w:rPr>
        <w:t>2956</w:t>
      </w:r>
      <w:r w:rsidRPr="00CD4D4A">
        <w:rPr>
          <w:rFonts w:ascii="Times New Roman" w:hAnsi="Times New Roman" w:hint="eastAsia"/>
          <w:color w:val="333333"/>
          <w:kern w:val="0"/>
          <w:sz w:val="18"/>
          <w:szCs w:val="18"/>
        </w:rPr>
        <w:t>个。全国共有公共图书馆</w:t>
      </w:r>
      <w:r w:rsidRPr="00CD4D4A">
        <w:rPr>
          <w:rFonts w:ascii="Times New Roman" w:hAnsi="Times New Roman"/>
          <w:color w:val="333333"/>
          <w:kern w:val="0"/>
          <w:sz w:val="18"/>
          <w:szCs w:val="18"/>
        </w:rPr>
        <w:t>3136</w:t>
      </w:r>
      <w:r w:rsidRPr="00CD4D4A">
        <w:rPr>
          <w:rFonts w:ascii="Times New Roman" w:hAnsi="Times New Roman" w:hint="eastAsia"/>
          <w:color w:val="333333"/>
          <w:kern w:val="0"/>
          <w:sz w:val="18"/>
          <w:szCs w:val="18"/>
        </w:rPr>
        <w:t>个，总流通</w:t>
      </w:r>
      <w:r w:rsidRPr="00CD4D4A">
        <w:rPr>
          <w:rFonts w:ascii="Times New Roman" w:hAnsi="Times New Roman"/>
          <w:color w:val="333333"/>
          <w:kern w:val="0"/>
          <w:sz w:val="18"/>
          <w:szCs w:val="18"/>
          <w:vertAlign w:val="superscript"/>
        </w:rPr>
        <w:t>[44]</w:t>
      </w:r>
      <w:r w:rsidRPr="00CD4D4A">
        <w:rPr>
          <w:rFonts w:ascii="Times New Roman" w:hAnsi="Times New Roman"/>
          <w:color w:val="333333"/>
          <w:kern w:val="0"/>
          <w:sz w:val="18"/>
          <w:szCs w:val="18"/>
        </w:rPr>
        <w:t>58339</w:t>
      </w:r>
      <w:r w:rsidRPr="00CD4D4A">
        <w:rPr>
          <w:rFonts w:ascii="Times New Roman" w:hAnsi="Times New Roman" w:hint="eastAsia"/>
          <w:color w:val="333333"/>
          <w:kern w:val="0"/>
          <w:sz w:val="18"/>
          <w:szCs w:val="18"/>
        </w:rPr>
        <w:t>万人次；文化馆</w:t>
      </w:r>
      <w:r w:rsidRPr="00CD4D4A">
        <w:rPr>
          <w:rFonts w:ascii="Times New Roman" w:hAnsi="Times New Roman"/>
          <w:color w:val="333333"/>
          <w:kern w:val="0"/>
          <w:sz w:val="18"/>
          <w:szCs w:val="18"/>
        </w:rPr>
        <w:t>3315</w:t>
      </w:r>
      <w:r w:rsidRPr="00CD4D4A">
        <w:rPr>
          <w:rFonts w:ascii="Times New Roman" w:hAnsi="Times New Roman" w:hint="eastAsia"/>
          <w:color w:val="333333"/>
          <w:kern w:val="0"/>
          <w:sz w:val="18"/>
          <w:szCs w:val="18"/>
        </w:rPr>
        <w:t>个。有线电视用户</w:t>
      </w:r>
      <w:r w:rsidRPr="00CD4D4A">
        <w:rPr>
          <w:rFonts w:ascii="Times New Roman" w:hAnsi="Times New Roman"/>
          <w:color w:val="333333"/>
          <w:kern w:val="0"/>
          <w:sz w:val="18"/>
          <w:szCs w:val="18"/>
        </w:rPr>
        <w:t>2.39</w:t>
      </w:r>
      <w:r w:rsidRPr="00CD4D4A">
        <w:rPr>
          <w:rFonts w:ascii="Times New Roman" w:hAnsi="Times New Roman" w:hint="eastAsia"/>
          <w:color w:val="333333"/>
          <w:kern w:val="0"/>
          <w:sz w:val="18"/>
          <w:szCs w:val="18"/>
        </w:rPr>
        <w:t>亿户，其中有线数字电视用户</w:t>
      </w:r>
      <w:r w:rsidRPr="00CD4D4A">
        <w:rPr>
          <w:rFonts w:ascii="Times New Roman" w:hAnsi="Times New Roman"/>
          <w:color w:val="333333"/>
          <w:kern w:val="0"/>
          <w:sz w:val="18"/>
          <w:szCs w:val="18"/>
        </w:rPr>
        <w:t>2.02</w:t>
      </w:r>
      <w:r w:rsidRPr="00CD4D4A">
        <w:rPr>
          <w:rFonts w:ascii="Times New Roman" w:hAnsi="Times New Roman" w:hint="eastAsia"/>
          <w:color w:val="333333"/>
          <w:kern w:val="0"/>
          <w:sz w:val="18"/>
          <w:szCs w:val="18"/>
        </w:rPr>
        <w:t>亿户。年末广播节目综合人口覆盖率为</w:t>
      </w:r>
      <w:r w:rsidRPr="00CD4D4A">
        <w:rPr>
          <w:rFonts w:ascii="Times New Roman" w:hAnsi="Times New Roman"/>
          <w:color w:val="333333"/>
          <w:kern w:val="0"/>
          <w:sz w:val="18"/>
          <w:szCs w:val="18"/>
        </w:rPr>
        <w:t>98.2%</w:t>
      </w:r>
      <w:r w:rsidRPr="00CD4D4A">
        <w:rPr>
          <w:rFonts w:ascii="Times New Roman" w:hAnsi="Times New Roman" w:hint="eastAsia"/>
          <w:color w:val="333333"/>
          <w:kern w:val="0"/>
          <w:sz w:val="18"/>
          <w:szCs w:val="18"/>
        </w:rPr>
        <w:t>，电视节目综合人口覆盖率为</w:t>
      </w:r>
      <w:r w:rsidRPr="00CD4D4A">
        <w:rPr>
          <w:rFonts w:ascii="Times New Roman" w:hAnsi="Times New Roman"/>
          <w:color w:val="333333"/>
          <w:kern w:val="0"/>
          <w:sz w:val="18"/>
          <w:szCs w:val="18"/>
        </w:rPr>
        <w:t>98.8%</w:t>
      </w:r>
      <w:r w:rsidRPr="00CD4D4A">
        <w:rPr>
          <w:rFonts w:ascii="Times New Roman" w:hAnsi="Times New Roman" w:hint="eastAsia"/>
          <w:color w:val="333333"/>
          <w:kern w:val="0"/>
          <w:sz w:val="18"/>
          <w:szCs w:val="18"/>
        </w:rPr>
        <w:t>。全年生产电视剧</w:t>
      </w:r>
      <w:r w:rsidRPr="00CD4D4A">
        <w:rPr>
          <w:rFonts w:ascii="Times New Roman" w:hAnsi="Times New Roman"/>
          <w:color w:val="333333"/>
          <w:kern w:val="0"/>
          <w:sz w:val="18"/>
          <w:szCs w:val="18"/>
        </w:rPr>
        <w:t>395</w:t>
      </w:r>
      <w:r w:rsidRPr="00CD4D4A">
        <w:rPr>
          <w:rFonts w:ascii="Times New Roman" w:hAnsi="Times New Roman" w:hint="eastAsia"/>
          <w:color w:val="333333"/>
          <w:kern w:val="0"/>
          <w:sz w:val="18"/>
          <w:szCs w:val="18"/>
        </w:rPr>
        <w:t>部</w:t>
      </w:r>
      <w:r w:rsidRPr="00CD4D4A">
        <w:rPr>
          <w:rFonts w:ascii="Times New Roman" w:hAnsi="Times New Roman"/>
          <w:color w:val="333333"/>
          <w:kern w:val="0"/>
          <w:sz w:val="18"/>
          <w:szCs w:val="18"/>
        </w:rPr>
        <w:t>16560</w:t>
      </w:r>
      <w:r w:rsidRPr="00CD4D4A">
        <w:rPr>
          <w:rFonts w:ascii="Times New Roman" w:hAnsi="Times New Roman" w:hint="eastAsia"/>
          <w:color w:val="333333"/>
          <w:kern w:val="0"/>
          <w:sz w:val="18"/>
          <w:szCs w:val="18"/>
        </w:rPr>
        <w:t>集，电视动画片</w:t>
      </w:r>
      <w:r w:rsidRPr="00CD4D4A">
        <w:rPr>
          <w:rFonts w:ascii="Times New Roman" w:hAnsi="Times New Roman"/>
          <w:color w:val="333333"/>
          <w:kern w:val="0"/>
          <w:sz w:val="18"/>
          <w:szCs w:val="18"/>
        </w:rPr>
        <w:t>134011</w:t>
      </w:r>
      <w:r w:rsidRPr="00CD4D4A">
        <w:rPr>
          <w:rFonts w:ascii="Times New Roman" w:hAnsi="Times New Roman" w:hint="eastAsia"/>
          <w:color w:val="333333"/>
          <w:kern w:val="0"/>
          <w:sz w:val="18"/>
          <w:szCs w:val="18"/>
        </w:rPr>
        <w:t>分钟。全年生产故事影片</w:t>
      </w:r>
      <w:r w:rsidRPr="00CD4D4A">
        <w:rPr>
          <w:rFonts w:ascii="Times New Roman" w:hAnsi="Times New Roman"/>
          <w:color w:val="333333"/>
          <w:kern w:val="0"/>
          <w:sz w:val="18"/>
          <w:szCs w:val="18"/>
        </w:rPr>
        <w:t>686</w:t>
      </w:r>
      <w:r w:rsidRPr="00CD4D4A">
        <w:rPr>
          <w:rFonts w:ascii="Times New Roman" w:hAnsi="Times New Roman" w:hint="eastAsia"/>
          <w:color w:val="333333"/>
          <w:kern w:val="0"/>
          <w:sz w:val="18"/>
          <w:szCs w:val="18"/>
        </w:rPr>
        <w:t>部，科教、纪录、动画和特种影片</w:t>
      </w:r>
      <w:r w:rsidRPr="00CD4D4A">
        <w:rPr>
          <w:rFonts w:ascii="Times New Roman" w:hAnsi="Times New Roman"/>
          <w:color w:val="333333"/>
          <w:kern w:val="0"/>
          <w:sz w:val="18"/>
          <w:szCs w:val="18"/>
          <w:vertAlign w:val="superscript"/>
        </w:rPr>
        <w:t>[45]</w:t>
      </w:r>
      <w:r w:rsidRPr="00CD4D4A">
        <w:rPr>
          <w:rFonts w:ascii="Times New Roman" w:hAnsi="Times New Roman"/>
          <w:color w:val="333333"/>
          <w:kern w:val="0"/>
          <w:sz w:val="18"/>
          <w:szCs w:val="18"/>
        </w:rPr>
        <w:t>202</w:t>
      </w:r>
      <w:r w:rsidRPr="00CD4D4A">
        <w:rPr>
          <w:rFonts w:ascii="Times New Roman" w:hAnsi="Times New Roman" w:hint="eastAsia"/>
          <w:color w:val="333333"/>
          <w:kern w:val="0"/>
          <w:sz w:val="18"/>
          <w:szCs w:val="18"/>
        </w:rPr>
        <w:t>部。出版各类报纸</w:t>
      </w:r>
      <w:r w:rsidRPr="00CD4D4A">
        <w:rPr>
          <w:rFonts w:ascii="Times New Roman" w:hAnsi="Times New Roman"/>
          <w:color w:val="333333"/>
          <w:kern w:val="0"/>
          <w:sz w:val="18"/>
          <w:szCs w:val="18"/>
        </w:rPr>
        <w:t>440</w:t>
      </w:r>
      <w:r w:rsidRPr="00CD4D4A">
        <w:rPr>
          <w:rFonts w:ascii="Times New Roman" w:hAnsi="Times New Roman" w:hint="eastAsia"/>
          <w:color w:val="333333"/>
          <w:kern w:val="0"/>
          <w:sz w:val="18"/>
          <w:szCs w:val="18"/>
        </w:rPr>
        <w:t>亿份，各类期刊</w:t>
      </w:r>
      <w:r w:rsidRPr="00CD4D4A">
        <w:rPr>
          <w:rFonts w:ascii="Times New Roman" w:hAnsi="Times New Roman"/>
          <w:color w:val="333333"/>
          <w:kern w:val="0"/>
          <w:sz w:val="18"/>
          <w:szCs w:val="18"/>
        </w:rPr>
        <w:t>30</w:t>
      </w:r>
      <w:r w:rsidRPr="00CD4D4A">
        <w:rPr>
          <w:rFonts w:ascii="Times New Roman" w:hAnsi="Times New Roman" w:hint="eastAsia"/>
          <w:color w:val="333333"/>
          <w:kern w:val="0"/>
          <w:sz w:val="18"/>
          <w:szCs w:val="18"/>
        </w:rPr>
        <w:t>亿册，图书</w:t>
      </w:r>
      <w:r w:rsidRPr="00CD4D4A">
        <w:rPr>
          <w:rFonts w:ascii="Times New Roman" w:hAnsi="Times New Roman"/>
          <w:color w:val="333333"/>
          <w:kern w:val="0"/>
          <w:sz w:val="18"/>
          <w:szCs w:val="18"/>
        </w:rPr>
        <w:t>81</w:t>
      </w:r>
      <w:r w:rsidRPr="00CD4D4A">
        <w:rPr>
          <w:rFonts w:ascii="Times New Roman" w:hAnsi="Times New Roman" w:hint="eastAsia"/>
          <w:color w:val="333333"/>
          <w:kern w:val="0"/>
          <w:sz w:val="18"/>
          <w:szCs w:val="18"/>
        </w:rPr>
        <w:t>亿册（张），人均图书拥有量</w:t>
      </w:r>
      <w:r w:rsidRPr="00CD4D4A">
        <w:rPr>
          <w:rFonts w:ascii="Times New Roman" w:hAnsi="Times New Roman"/>
          <w:color w:val="333333"/>
          <w:kern w:val="0"/>
          <w:sz w:val="18"/>
          <w:szCs w:val="18"/>
          <w:vertAlign w:val="superscript"/>
        </w:rPr>
        <w:t>[46]</w:t>
      </w:r>
      <w:r w:rsidRPr="00CD4D4A">
        <w:rPr>
          <w:rFonts w:ascii="Times New Roman" w:hAnsi="Times New Roman"/>
          <w:color w:val="333333"/>
          <w:kern w:val="0"/>
          <w:sz w:val="18"/>
          <w:szCs w:val="18"/>
        </w:rPr>
        <w:t>5.91</w:t>
      </w:r>
      <w:r w:rsidRPr="00CD4D4A">
        <w:rPr>
          <w:rFonts w:ascii="Times New Roman" w:hAnsi="Times New Roman" w:hint="eastAsia"/>
          <w:color w:val="333333"/>
          <w:kern w:val="0"/>
          <w:sz w:val="18"/>
          <w:szCs w:val="18"/>
        </w:rPr>
        <w:t>册（张）。年末全国共有档案馆</w:t>
      </w:r>
      <w:r w:rsidRPr="00CD4D4A">
        <w:rPr>
          <w:rFonts w:ascii="Times New Roman" w:hAnsi="Times New Roman"/>
          <w:color w:val="333333"/>
          <w:kern w:val="0"/>
          <w:sz w:val="18"/>
          <w:szCs w:val="18"/>
        </w:rPr>
        <w:t>4196</w:t>
      </w:r>
      <w:r w:rsidRPr="00CD4D4A">
        <w:rPr>
          <w:rFonts w:ascii="Times New Roman" w:hAnsi="Times New Roman" w:hint="eastAsia"/>
          <w:color w:val="333333"/>
          <w:kern w:val="0"/>
          <w:sz w:val="18"/>
          <w:szCs w:val="18"/>
        </w:rPr>
        <w:t>个，已开放各类档案</w:t>
      </w:r>
      <w:r w:rsidRPr="00CD4D4A">
        <w:rPr>
          <w:rFonts w:ascii="Times New Roman" w:hAnsi="Times New Roman"/>
          <w:color w:val="333333"/>
          <w:kern w:val="0"/>
          <w:sz w:val="18"/>
          <w:szCs w:val="18"/>
        </w:rPr>
        <w:t>13294</w:t>
      </w:r>
      <w:r w:rsidRPr="00CD4D4A">
        <w:rPr>
          <w:rFonts w:ascii="Times New Roman" w:hAnsi="Times New Roman" w:hint="eastAsia"/>
          <w:color w:val="333333"/>
          <w:kern w:val="0"/>
          <w:sz w:val="18"/>
          <w:szCs w:val="18"/>
        </w:rPr>
        <w:t>万卷（件）。</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全年我国运动员在</w:t>
      </w:r>
      <w:r w:rsidRPr="00CD4D4A">
        <w:rPr>
          <w:rFonts w:ascii="Times New Roman" w:hAnsi="Times New Roman"/>
          <w:color w:val="333333"/>
          <w:kern w:val="0"/>
          <w:sz w:val="18"/>
          <w:szCs w:val="18"/>
        </w:rPr>
        <w:t>25</w:t>
      </w:r>
      <w:r w:rsidRPr="00CD4D4A">
        <w:rPr>
          <w:rFonts w:ascii="Times New Roman" w:hAnsi="Times New Roman" w:hint="eastAsia"/>
          <w:color w:val="333333"/>
          <w:kern w:val="0"/>
          <w:sz w:val="18"/>
          <w:szCs w:val="18"/>
        </w:rPr>
        <w:t>个运动大项中获得</w:t>
      </w:r>
      <w:r w:rsidRPr="00CD4D4A">
        <w:rPr>
          <w:rFonts w:ascii="Times New Roman" w:hAnsi="Times New Roman"/>
          <w:color w:val="333333"/>
          <w:kern w:val="0"/>
          <w:sz w:val="18"/>
          <w:szCs w:val="18"/>
        </w:rPr>
        <w:t>127</w:t>
      </w:r>
      <w:r w:rsidRPr="00CD4D4A">
        <w:rPr>
          <w:rFonts w:ascii="Times New Roman" w:hAnsi="Times New Roman" w:hint="eastAsia"/>
          <w:color w:val="333333"/>
          <w:kern w:val="0"/>
          <w:sz w:val="18"/>
          <w:szCs w:val="18"/>
        </w:rPr>
        <w:t>个世界冠军，共创</w:t>
      </w:r>
      <w:r w:rsidRPr="00CD4D4A">
        <w:rPr>
          <w:rFonts w:ascii="Times New Roman" w:hAnsi="Times New Roman"/>
          <w:color w:val="333333"/>
          <w:kern w:val="0"/>
          <w:sz w:val="18"/>
          <w:szCs w:val="18"/>
        </w:rPr>
        <w:t>12</w:t>
      </w:r>
      <w:r w:rsidRPr="00CD4D4A">
        <w:rPr>
          <w:rFonts w:ascii="Times New Roman" w:hAnsi="Times New Roman" w:hint="eastAsia"/>
          <w:color w:val="333333"/>
          <w:kern w:val="0"/>
          <w:sz w:val="18"/>
          <w:szCs w:val="18"/>
        </w:rPr>
        <w:t>项世界纪录。全年我国残疾人运动员在</w:t>
      </w:r>
      <w:r w:rsidRPr="00CD4D4A">
        <w:rPr>
          <w:rFonts w:ascii="Times New Roman" w:hAnsi="Times New Roman"/>
          <w:color w:val="333333"/>
          <w:kern w:val="0"/>
          <w:sz w:val="18"/>
          <w:szCs w:val="18"/>
        </w:rPr>
        <w:t>34</w:t>
      </w:r>
      <w:r w:rsidRPr="00CD4D4A">
        <w:rPr>
          <w:rFonts w:ascii="Times New Roman" w:hAnsi="Times New Roman" w:hint="eastAsia"/>
          <w:color w:val="333333"/>
          <w:kern w:val="0"/>
          <w:sz w:val="18"/>
          <w:szCs w:val="18"/>
        </w:rPr>
        <w:t>项国际赛事中获得</w:t>
      </w:r>
      <w:r w:rsidRPr="00CD4D4A">
        <w:rPr>
          <w:rFonts w:ascii="Times New Roman" w:hAnsi="Times New Roman"/>
          <w:color w:val="333333"/>
          <w:kern w:val="0"/>
          <w:sz w:val="18"/>
          <w:szCs w:val="18"/>
        </w:rPr>
        <w:t>395</w:t>
      </w:r>
      <w:r w:rsidRPr="00CD4D4A">
        <w:rPr>
          <w:rFonts w:ascii="Times New Roman" w:hAnsi="Times New Roman" w:hint="eastAsia"/>
          <w:color w:val="333333"/>
          <w:kern w:val="0"/>
          <w:sz w:val="18"/>
          <w:szCs w:val="18"/>
        </w:rPr>
        <w:t>个世界冠军。</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十一、卫生和社会服务</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年末全国共有医疗卫生机构</w:t>
      </w:r>
      <w:r w:rsidRPr="00CD4D4A">
        <w:rPr>
          <w:rFonts w:ascii="Times New Roman" w:hAnsi="Times New Roman"/>
          <w:color w:val="333333"/>
          <w:kern w:val="0"/>
          <w:sz w:val="18"/>
          <w:szCs w:val="18"/>
        </w:rPr>
        <w:t>990248</w:t>
      </w:r>
      <w:r w:rsidRPr="00CD4D4A">
        <w:rPr>
          <w:rFonts w:ascii="Times New Roman" w:hAnsi="Times New Roman" w:hint="eastAsia"/>
          <w:color w:val="333333"/>
          <w:kern w:val="0"/>
          <w:sz w:val="18"/>
          <w:szCs w:val="18"/>
        </w:rPr>
        <w:t>个，其中医院</w:t>
      </w:r>
      <w:r w:rsidRPr="00CD4D4A">
        <w:rPr>
          <w:rFonts w:ascii="Times New Roman" w:hAnsi="Times New Roman"/>
          <w:color w:val="333333"/>
          <w:kern w:val="0"/>
          <w:sz w:val="18"/>
          <w:szCs w:val="18"/>
        </w:rPr>
        <w:t>27215</w:t>
      </w:r>
      <w:r w:rsidRPr="00CD4D4A">
        <w:rPr>
          <w:rFonts w:ascii="Times New Roman" w:hAnsi="Times New Roman" w:hint="eastAsia"/>
          <w:color w:val="333333"/>
          <w:kern w:val="0"/>
          <w:sz w:val="18"/>
          <w:szCs w:val="18"/>
        </w:rPr>
        <w:t>个，乡镇卫生院</w:t>
      </w:r>
      <w:r w:rsidRPr="00CD4D4A">
        <w:rPr>
          <w:rFonts w:ascii="Times New Roman" w:hAnsi="Times New Roman"/>
          <w:color w:val="333333"/>
          <w:kern w:val="0"/>
          <w:sz w:val="18"/>
          <w:szCs w:val="18"/>
        </w:rPr>
        <w:t>36869</w:t>
      </w:r>
      <w:r w:rsidRPr="00CD4D4A">
        <w:rPr>
          <w:rFonts w:ascii="Times New Roman" w:hAnsi="Times New Roman" w:hint="eastAsia"/>
          <w:color w:val="333333"/>
          <w:kern w:val="0"/>
          <w:sz w:val="18"/>
          <w:szCs w:val="18"/>
        </w:rPr>
        <w:t>个，社区卫生服务中心（站）</w:t>
      </w:r>
      <w:r w:rsidRPr="00CD4D4A">
        <w:rPr>
          <w:rFonts w:ascii="Times New Roman" w:hAnsi="Times New Roman"/>
          <w:color w:val="333333"/>
          <w:kern w:val="0"/>
          <w:sz w:val="18"/>
          <w:szCs w:val="18"/>
        </w:rPr>
        <w:t>34588</w:t>
      </w:r>
      <w:r w:rsidRPr="00CD4D4A">
        <w:rPr>
          <w:rFonts w:ascii="Times New Roman" w:hAnsi="Times New Roman" w:hint="eastAsia"/>
          <w:color w:val="333333"/>
          <w:kern w:val="0"/>
          <w:sz w:val="18"/>
          <w:szCs w:val="18"/>
        </w:rPr>
        <w:t>个，诊所（卫生所、医务室）</w:t>
      </w:r>
      <w:r w:rsidRPr="00CD4D4A">
        <w:rPr>
          <w:rFonts w:ascii="Times New Roman" w:hAnsi="Times New Roman"/>
          <w:color w:val="333333"/>
          <w:kern w:val="0"/>
          <w:sz w:val="18"/>
          <w:szCs w:val="18"/>
        </w:rPr>
        <w:t>195866</w:t>
      </w:r>
      <w:r w:rsidRPr="00CD4D4A">
        <w:rPr>
          <w:rFonts w:ascii="Times New Roman" w:hAnsi="Times New Roman" w:hint="eastAsia"/>
          <w:color w:val="333333"/>
          <w:kern w:val="0"/>
          <w:sz w:val="18"/>
          <w:szCs w:val="18"/>
        </w:rPr>
        <w:t>个，村卫生室</w:t>
      </w:r>
      <w:r w:rsidRPr="00CD4D4A">
        <w:rPr>
          <w:rFonts w:ascii="Times New Roman" w:hAnsi="Times New Roman"/>
          <w:color w:val="333333"/>
          <w:kern w:val="0"/>
          <w:sz w:val="18"/>
          <w:szCs w:val="18"/>
        </w:rPr>
        <w:t>644751</w:t>
      </w:r>
      <w:r w:rsidRPr="00CD4D4A">
        <w:rPr>
          <w:rFonts w:ascii="Times New Roman" w:hAnsi="Times New Roman" w:hint="eastAsia"/>
          <w:color w:val="333333"/>
          <w:kern w:val="0"/>
          <w:sz w:val="18"/>
          <w:szCs w:val="18"/>
        </w:rPr>
        <w:t>个，疾病预防控制中心</w:t>
      </w:r>
      <w:r w:rsidRPr="00CD4D4A">
        <w:rPr>
          <w:rFonts w:ascii="Times New Roman" w:hAnsi="Times New Roman"/>
          <w:color w:val="333333"/>
          <w:kern w:val="0"/>
          <w:sz w:val="18"/>
          <w:szCs w:val="18"/>
        </w:rPr>
        <w:t>3492</w:t>
      </w:r>
      <w:r w:rsidRPr="00CD4D4A">
        <w:rPr>
          <w:rFonts w:ascii="Times New Roman" w:hAnsi="Times New Roman" w:hint="eastAsia"/>
          <w:color w:val="333333"/>
          <w:kern w:val="0"/>
          <w:sz w:val="18"/>
          <w:szCs w:val="18"/>
        </w:rPr>
        <w:t>个，卫生监督所（中心）</w:t>
      </w:r>
      <w:r w:rsidRPr="00CD4D4A">
        <w:rPr>
          <w:rFonts w:ascii="Times New Roman" w:hAnsi="Times New Roman"/>
          <w:color w:val="333333"/>
          <w:kern w:val="0"/>
          <w:sz w:val="18"/>
          <w:szCs w:val="18"/>
        </w:rPr>
        <w:t>3097</w:t>
      </w:r>
      <w:r w:rsidRPr="00CD4D4A">
        <w:rPr>
          <w:rFonts w:ascii="Times New Roman" w:hAnsi="Times New Roman" w:hint="eastAsia"/>
          <w:color w:val="333333"/>
          <w:kern w:val="0"/>
          <w:sz w:val="18"/>
          <w:szCs w:val="18"/>
        </w:rPr>
        <w:t>个。卫生技术人员</w:t>
      </w:r>
      <w:r w:rsidRPr="00CD4D4A">
        <w:rPr>
          <w:rFonts w:ascii="Times New Roman" w:hAnsi="Times New Roman"/>
          <w:color w:val="333333"/>
          <w:kern w:val="0"/>
          <w:sz w:val="18"/>
          <w:szCs w:val="18"/>
        </w:rPr>
        <w:t>803</w:t>
      </w:r>
      <w:r w:rsidRPr="00CD4D4A">
        <w:rPr>
          <w:rFonts w:ascii="Times New Roman" w:hAnsi="Times New Roman" w:hint="eastAsia"/>
          <w:color w:val="333333"/>
          <w:kern w:val="0"/>
          <w:sz w:val="18"/>
          <w:szCs w:val="18"/>
        </w:rPr>
        <w:t>万人，其中执业医师和执业助理医师</w:t>
      </w:r>
      <w:r w:rsidRPr="00CD4D4A">
        <w:rPr>
          <w:rFonts w:ascii="Times New Roman" w:hAnsi="Times New Roman"/>
          <w:color w:val="333333"/>
          <w:kern w:val="0"/>
          <w:sz w:val="18"/>
          <w:szCs w:val="18"/>
        </w:rPr>
        <w:t>300</w:t>
      </w:r>
      <w:r w:rsidRPr="00CD4D4A">
        <w:rPr>
          <w:rFonts w:ascii="Times New Roman" w:hAnsi="Times New Roman" w:hint="eastAsia"/>
          <w:color w:val="333333"/>
          <w:kern w:val="0"/>
          <w:sz w:val="18"/>
          <w:szCs w:val="18"/>
        </w:rPr>
        <w:t>万人，注册护士</w:t>
      </w:r>
      <w:r w:rsidRPr="00CD4D4A">
        <w:rPr>
          <w:rFonts w:ascii="Times New Roman" w:hAnsi="Times New Roman"/>
          <w:color w:val="333333"/>
          <w:kern w:val="0"/>
          <w:sz w:val="18"/>
          <w:szCs w:val="18"/>
        </w:rPr>
        <w:t>328</w:t>
      </w:r>
      <w:r w:rsidRPr="00CD4D4A">
        <w:rPr>
          <w:rFonts w:ascii="Times New Roman" w:hAnsi="Times New Roman" w:hint="eastAsia"/>
          <w:color w:val="333333"/>
          <w:kern w:val="0"/>
          <w:sz w:val="18"/>
          <w:szCs w:val="18"/>
        </w:rPr>
        <w:t>万人。医疗卫生机构床位</w:t>
      </w:r>
      <w:r w:rsidRPr="00CD4D4A">
        <w:rPr>
          <w:rFonts w:ascii="Times New Roman" w:hAnsi="Times New Roman"/>
          <w:color w:val="333333"/>
          <w:kern w:val="0"/>
          <w:sz w:val="18"/>
          <w:szCs w:val="18"/>
        </w:rPr>
        <w:t>708</w:t>
      </w:r>
      <w:r w:rsidRPr="00CD4D4A">
        <w:rPr>
          <w:rFonts w:ascii="Times New Roman" w:hAnsi="Times New Roman" w:hint="eastAsia"/>
          <w:color w:val="333333"/>
          <w:kern w:val="0"/>
          <w:sz w:val="18"/>
          <w:szCs w:val="18"/>
        </w:rPr>
        <w:t>万张，其中医院</w:t>
      </w:r>
      <w:r w:rsidRPr="00CD4D4A">
        <w:rPr>
          <w:rFonts w:ascii="Times New Roman" w:hAnsi="Times New Roman"/>
          <w:color w:val="333333"/>
          <w:kern w:val="0"/>
          <w:sz w:val="18"/>
          <w:szCs w:val="18"/>
        </w:rPr>
        <w:t>534</w:t>
      </w:r>
      <w:r w:rsidRPr="00CD4D4A">
        <w:rPr>
          <w:rFonts w:ascii="Times New Roman" w:hAnsi="Times New Roman" w:hint="eastAsia"/>
          <w:color w:val="333333"/>
          <w:kern w:val="0"/>
          <w:sz w:val="18"/>
          <w:szCs w:val="18"/>
        </w:rPr>
        <w:t>万张，乡镇卫生院</w:t>
      </w:r>
      <w:r w:rsidRPr="00CD4D4A">
        <w:rPr>
          <w:rFonts w:ascii="Times New Roman" w:hAnsi="Times New Roman"/>
          <w:color w:val="333333"/>
          <w:kern w:val="0"/>
          <w:sz w:val="18"/>
          <w:szCs w:val="18"/>
        </w:rPr>
        <w:t>121</w:t>
      </w:r>
      <w:r w:rsidRPr="00CD4D4A">
        <w:rPr>
          <w:rFonts w:ascii="Times New Roman" w:hAnsi="Times New Roman" w:hint="eastAsia"/>
          <w:color w:val="333333"/>
          <w:kern w:val="0"/>
          <w:sz w:val="18"/>
          <w:szCs w:val="18"/>
        </w:rPr>
        <w:t>万张。</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3" o:spid="_x0000_i1046" type="#_x0000_t75" alt="http://www.stats.gov.cn/tjsj/zxfb/201602/W020160229379124710841_r75.gif" style="width:396.75pt;height:226.5pt;visibility:visible">
            <v:imagedata r:id="rId25"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年末全国各类提供住宿的社会服务机构</w:t>
      </w:r>
      <w:r w:rsidRPr="00CD4D4A">
        <w:rPr>
          <w:rFonts w:ascii="Times New Roman" w:hAnsi="Times New Roman"/>
          <w:color w:val="333333"/>
          <w:kern w:val="0"/>
          <w:sz w:val="18"/>
          <w:szCs w:val="18"/>
        </w:rPr>
        <w:t>3.2</w:t>
      </w:r>
      <w:r w:rsidRPr="00CD4D4A">
        <w:rPr>
          <w:rFonts w:ascii="Times New Roman" w:hAnsi="Times New Roman" w:hint="eastAsia"/>
          <w:color w:val="333333"/>
          <w:kern w:val="0"/>
          <w:sz w:val="18"/>
          <w:szCs w:val="18"/>
        </w:rPr>
        <w:t>万个，其中养老服务机构</w:t>
      </w:r>
      <w:r w:rsidRPr="00CD4D4A">
        <w:rPr>
          <w:rFonts w:ascii="Times New Roman" w:hAnsi="Times New Roman"/>
          <w:color w:val="333333"/>
          <w:kern w:val="0"/>
          <w:sz w:val="18"/>
          <w:szCs w:val="18"/>
        </w:rPr>
        <w:t>2.8</w:t>
      </w:r>
      <w:r w:rsidRPr="00CD4D4A">
        <w:rPr>
          <w:rFonts w:ascii="Times New Roman" w:hAnsi="Times New Roman" w:hint="eastAsia"/>
          <w:color w:val="333333"/>
          <w:kern w:val="0"/>
          <w:sz w:val="18"/>
          <w:szCs w:val="18"/>
        </w:rPr>
        <w:t>万个。社会服务床位</w:t>
      </w:r>
      <w:r w:rsidRPr="00CD4D4A">
        <w:rPr>
          <w:rFonts w:ascii="Times New Roman" w:hAnsi="Times New Roman"/>
          <w:color w:val="333333"/>
          <w:kern w:val="0"/>
          <w:sz w:val="18"/>
          <w:szCs w:val="18"/>
          <w:vertAlign w:val="superscript"/>
        </w:rPr>
        <w:t>[47]</w:t>
      </w:r>
      <w:r w:rsidRPr="00CD4D4A">
        <w:rPr>
          <w:rFonts w:ascii="Times New Roman" w:hAnsi="Times New Roman"/>
          <w:color w:val="333333"/>
          <w:kern w:val="0"/>
          <w:sz w:val="18"/>
          <w:szCs w:val="18"/>
        </w:rPr>
        <w:t>676.3</w:t>
      </w:r>
      <w:r w:rsidRPr="00CD4D4A">
        <w:rPr>
          <w:rFonts w:ascii="Times New Roman" w:hAnsi="Times New Roman" w:hint="eastAsia"/>
          <w:color w:val="333333"/>
          <w:kern w:val="0"/>
          <w:sz w:val="18"/>
          <w:szCs w:val="18"/>
        </w:rPr>
        <w:t>万张，其中养老床位</w:t>
      </w:r>
      <w:r w:rsidRPr="00CD4D4A">
        <w:rPr>
          <w:rFonts w:ascii="Times New Roman" w:hAnsi="Times New Roman"/>
          <w:color w:val="333333"/>
          <w:kern w:val="0"/>
          <w:sz w:val="18"/>
          <w:szCs w:val="18"/>
        </w:rPr>
        <w:t>669.8</w:t>
      </w:r>
      <w:r w:rsidRPr="00CD4D4A">
        <w:rPr>
          <w:rFonts w:ascii="Times New Roman" w:hAnsi="Times New Roman" w:hint="eastAsia"/>
          <w:color w:val="333333"/>
          <w:kern w:val="0"/>
          <w:sz w:val="18"/>
          <w:szCs w:val="18"/>
        </w:rPr>
        <w:t>万张。年末共有社区服务中心</w:t>
      </w:r>
      <w:r w:rsidRPr="00CD4D4A">
        <w:rPr>
          <w:rFonts w:ascii="Times New Roman" w:hAnsi="Times New Roman"/>
          <w:color w:val="333333"/>
          <w:kern w:val="0"/>
          <w:sz w:val="18"/>
          <w:szCs w:val="18"/>
        </w:rPr>
        <w:t>2.4</w:t>
      </w:r>
      <w:r w:rsidRPr="00CD4D4A">
        <w:rPr>
          <w:rFonts w:ascii="Times New Roman" w:hAnsi="Times New Roman" w:hint="eastAsia"/>
          <w:color w:val="333333"/>
          <w:kern w:val="0"/>
          <w:sz w:val="18"/>
          <w:szCs w:val="18"/>
        </w:rPr>
        <w:t>万个，社区服务站</w:t>
      </w:r>
      <w:r w:rsidRPr="00CD4D4A">
        <w:rPr>
          <w:rFonts w:ascii="Times New Roman" w:hAnsi="Times New Roman"/>
          <w:color w:val="333333"/>
          <w:kern w:val="0"/>
          <w:sz w:val="18"/>
          <w:szCs w:val="18"/>
        </w:rPr>
        <w:t>12.5</w:t>
      </w:r>
      <w:r w:rsidRPr="00CD4D4A">
        <w:rPr>
          <w:rFonts w:ascii="Times New Roman" w:hAnsi="Times New Roman" w:hint="eastAsia"/>
          <w:color w:val="333333"/>
          <w:kern w:val="0"/>
          <w:sz w:val="18"/>
          <w:szCs w:val="18"/>
        </w:rPr>
        <w:t>万个。</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hint="eastAsia"/>
          <w:b/>
          <w:bCs/>
          <w:color w:val="333333"/>
          <w:kern w:val="0"/>
          <w:sz w:val="18"/>
          <w:szCs w:val="18"/>
          <w:bdr w:val="none" w:sz="0" w:space="0" w:color="auto" w:frame="1"/>
        </w:rPr>
        <w:t xml:space="preserve">　　十二、资源、环境和安全生产</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b/>
          <w:bCs/>
          <w:color w:val="333333"/>
          <w:kern w:val="0"/>
          <w:sz w:val="18"/>
          <w:szCs w:val="18"/>
          <w:bdr w:val="none" w:sz="0" w:space="0" w:color="auto" w:frame="1"/>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全年全国国有建设用地供应总量</w:t>
      </w:r>
      <w:r w:rsidRPr="00CD4D4A">
        <w:rPr>
          <w:rFonts w:ascii="Times New Roman" w:hAnsi="Times New Roman"/>
          <w:color w:val="333333"/>
          <w:kern w:val="0"/>
          <w:sz w:val="18"/>
          <w:szCs w:val="18"/>
          <w:vertAlign w:val="superscript"/>
        </w:rPr>
        <w:t>[48]</w:t>
      </w:r>
      <w:r w:rsidRPr="00CD4D4A">
        <w:rPr>
          <w:rFonts w:ascii="Times New Roman" w:hAnsi="Times New Roman"/>
          <w:color w:val="333333"/>
          <w:kern w:val="0"/>
          <w:sz w:val="18"/>
          <w:szCs w:val="18"/>
        </w:rPr>
        <w:t>53</w:t>
      </w:r>
      <w:r w:rsidRPr="00CD4D4A">
        <w:rPr>
          <w:rFonts w:ascii="Times New Roman" w:hAnsi="Times New Roman" w:hint="eastAsia"/>
          <w:color w:val="333333"/>
          <w:kern w:val="0"/>
          <w:sz w:val="18"/>
          <w:szCs w:val="18"/>
        </w:rPr>
        <w:t>万公顷，比上年下降</w:t>
      </w:r>
      <w:r w:rsidRPr="00CD4D4A">
        <w:rPr>
          <w:rFonts w:ascii="Times New Roman" w:hAnsi="Times New Roman"/>
          <w:color w:val="333333"/>
          <w:kern w:val="0"/>
          <w:sz w:val="18"/>
          <w:szCs w:val="18"/>
        </w:rPr>
        <w:t>12.5%</w:t>
      </w:r>
      <w:r w:rsidRPr="00CD4D4A">
        <w:rPr>
          <w:rFonts w:ascii="Times New Roman" w:hAnsi="Times New Roman" w:hint="eastAsia"/>
          <w:color w:val="333333"/>
          <w:kern w:val="0"/>
          <w:sz w:val="18"/>
          <w:szCs w:val="18"/>
        </w:rPr>
        <w:t>。其中，工矿仓储用地</w:t>
      </w:r>
      <w:r w:rsidRPr="00CD4D4A">
        <w:rPr>
          <w:rFonts w:ascii="Times New Roman" w:hAnsi="Times New Roman"/>
          <w:color w:val="333333"/>
          <w:kern w:val="0"/>
          <w:sz w:val="18"/>
          <w:szCs w:val="18"/>
        </w:rPr>
        <w:t>12</w:t>
      </w:r>
      <w:r w:rsidRPr="00CD4D4A">
        <w:rPr>
          <w:rFonts w:ascii="Times New Roman" w:hAnsi="Times New Roman" w:hint="eastAsia"/>
          <w:color w:val="333333"/>
          <w:kern w:val="0"/>
          <w:sz w:val="18"/>
          <w:szCs w:val="18"/>
        </w:rPr>
        <w:t>万公顷，下降</w:t>
      </w:r>
      <w:r w:rsidRPr="00CD4D4A">
        <w:rPr>
          <w:rFonts w:ascii="Times New Roman" w:hAnsi="Times New Roman"/>
          <w:color w:val="333333"/>
          <w:kern w:val="0"/>
          <w:sz w:val="18"/>
          <w:szCs w:val="18"/>
        </w:rPr>
        <w:t>15.2%</w:t>
      </w:r>
      <w:r w:rsidRPr="00CD4D4A">
        <w:rPr>
          <w:rFonts w:ascii="Times New Roman" w:hAnsi="Times New Roman" w:hint="eastAsia"/>
          <w:color w:val="333333"/>
          <w:kern w:val="0"/>
          <w:sz w:val="18"/>
          <w:szCs w:val="18"/>
        </w:rPr>
        <w:t>；房地产用地</w:t>
      </w:r>
      <w:r w:rsidRPr="00CD4D4A">
        <w:rPr>
          <w:rFonts w:ascii="Times New Roman" w:hAnsi="Times New Roman"/>
          <w:color w:val="333333"/>
          <w:kern w:val="0"/>
          <w:sz w:val="18"/>
          <w:szCs w:val="18"/>
          <w:vertAlign w:val="superscript"/>
        </w:rPr>
        <w:t>[49]</w:t>
      </w:r>
      <w:r w:rsidRPr="00CD4D4A">
        <w:rPr>
          <w:rFonts w:ascii="Times New Roman" w:hAnsi="Times New Roman"/>
          <w:color w:val="333333"/>
          <w:kern w:val="0"/>
          <w:sz w:val="18"/>
          <w:szCs w:val="18"/>
        </w:rPr>
        <w:t>12</w:t>
      </w:r>
      <w:r w:rsidRPr="00CD4D4A">
        <w:rPr>
          <w:rFonts w:ascii="Times New Roman" w:hAnsi="Times New Roman" w:hint="eastAsia"/>
          <w:color w:val="333333"/>
          <w:kern w:val="0"/>
          <w:sz w:val="18"/>
          <w:szCs w:val="18"/>
        </w:rPr>
        <w:t>万公顷，下降</w:t>
      </w:r>
      <w:r w:rsidRPr="00CD4D4A">
        <w:rPr>
          <w:rFonts w:ascii="Times New Roman" w:hAnsi="Times New Roman"/>
          <w:color w:val="333333"/>
          <w:kern w:val="0"/>
          <w:sz w:val="18"/>
          <w:szCs w:val="18"/>
        </w:rPr>
        <w:t>20.9%</w:t>
      </w:r>
      <w:r w:rsidRPr="00CD4D4A">
        <w:rPr>
          <w:rFonts w:ascii="Times New Roman" w:hAnsi="Times New Roman" w:hint="eastAsia"/>
          <w:color w:val="333333"/>
          <w:kern w:val="0"/>
          <w:sz w:val="18"/>
          <w:szCs w:val="18"/>
        </w:rPr>
        <w:t>；基础设施等其他用地</w:t>
      </w:r>
      <w:r w:rsidRPr="00CD4D4A">
        <w:rPr>
          <w:rFonts w:ascii="Times New Roman" w:hAnsi="Times New Roman"/>
          <w:color w:val="333333"/>
          <w:kern w:val="0"/>
          <w:sz w:val="18"/>
          <w:szCs w:val="18"/>
        </w:rPr>
        <w:t>29</w:t>
      </w:r>
      <w:r w:rsidRPr="00CD4D4A">
        <w:rPr>
          <w:rFonts w:ascii="Times New Roman" w:hAnsi="Times New Roman" w:hint="eastAsia"/>
          <w:color w:val="333333"/>
          <w:kern w:val="0"/>
          <w:sz w:val="18"/>
          <w:szCs w:val="18"/>
        </w:rPr>
        <w:t>万公顷，下降</w:t>
      </w:r>
      <w:r w:rsidRPr="00CD4D4A">
        <w:rPr>
          <w:rFonts w:ascii="Times New Roman" w:hAnsi="Times New Roman"/>
          <w:color w:val="333333"/>
          <w:kern w:val="0"/>
          <w:sz w:val="18"/>
          <w:szCs w:val="18"/>
        </w:rPr>
        <w:t>7.1%</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全年水资源总量</w:t>
      </w:r>
      <w:r w:rsidRPr="00CD4D4A">
        <w:rPr>
          <w:rFonts w:ascii="Times New Roman" w:hAnsi="Times New Roman"/>
          <w:color w:val="333333"/>
          <w:kern w:val="0"/>
          <w:sz w:val="18"/>
          <w:szCs w:val="18"/>
        </w:rPr>
        <w:t>28306</w:t>
      </w:r>
      <w:r w:rsidRPr="00CD4D4A">
        <w:rPr>
          <w:rFonts w:ascii="Times New Roman" w:hAnsi="Times New Roman" w:hint="eastAsia"/>
          <w:color w:val="333333"/>
          <w:kern w:val="0"/>
          <w:sz w:val="18"/>
          <w:szCs w:val="18"/>
        </w:rPr>
        <w:t>亿立方米。全年平均降水量</w:t>
      </w:r>
      <w:r w:rsidRPr="00CD4D4A">
        <w:rPr>
          <w:rFonts w:ascii="Times New Roman" w:hAnsi="Times New Roman"/>
          <w:color w:val="333333"/>
          <w:kern w:val="0"/>
          <w:sz w:val="18"/>
          <w:szCs w:val="18"/>
        </w:rPr>
        <w:t>644</w:t>
      </w:r>
      <w:r w:rsidRPr="00CD4D4A">
        <w:rPr>
          <w:rFonts w:ascii="Times New Roman" w:hAnsi="Times New Roman" w:hint="eastAsia"/>
          <w:color w:val="333333"/>
          <w:kern w:val="0"/>
          <w:sz w:val="18"/>
          <w:szCs w:val="18"/>
        </w:rPr>
        <w:t>毫米。年末全国监测的</w:t>
      </w:r>
      <w:r w:rsidRPr="00CD4D4A">
        <w:rPr>
          <w:rFonts w:ascii="Times New Roman" w:hAnsi="Times New Roman"/>
          <w:color w:val="333333"/>
          <w:kern w:val="0"/>
          <w:sz w:val="18"/>
          <w:szCs w:val="18"/>
        </w:rPr>
        <w:t>614</w:t>
      </w:r>
      <w:r w:rsidRPr="00CD4D4A">
        <w:rPr>
          <w:rFonts w:ascii="Times New Roman" w:hAnsi="Times New Roman" w:hint="eastAsia"/>
          <w:color w:val="333333"/>
          <w:kern w:val="0"/>
          <w:sz w:val="18"/>
          <w:szCs w:val="18"/>
        </w:rPr>
        <w:t>座大型水库蓄水总量</w:t>
      </w:r>
      <w:r w:rsidRPr="00CD4D4A">
        <w:rPr>
          <w:rFonts w:ascii="Times New Roman" w:hAnsi="Times New Roman"/>
          <w:color w:val="333333"/>
          <w:kern w:val="0"/>
          <w:sz w:val="18"/>
          <w:szCs w:val="18"/>
        </w:rPr>
        <w:t>3645</w:t>
      </w:r>
      <w:r w:rsidRPr="00CD4D4A">
        <w:rPr>
          <w:rFonts w:ascii="Times New Roman" w:hAnsi="Times New Roman" w:hint="eastAsia"/>
          <w:color w:val="333333"/>
          <w:kern w:val="0"/>
          <w:sz w:val="18"/>
          <w:szCs w:val="18"/>
        </w:rPr>
        <w:t>亿立方米，与上年末蓄水量基本持平。全年总用水量</w:t>
      </w:r>
      <w:r w:rsidRPr="00CD4D4A">
        <w:rPr>
          <w:rFonts w:ascii="Times New Roman" w:hAnsi="Times New Roman"/>
          <w:color w:val="333333"/>
          <w:kern w:val="0"/>
          <w:sz w:val="18"/>
          <w:szCs w:val="18"/>
        </w:rPr>
        <w:t>6180</w:t>
      </w:r>
      <w:r w:rsidRPr="00CD4D4A">
        <w:rPr>
          <w:rFonts w:ascii="Times New Roman" w:hAnsi="Times New Roman" w:hint="eastAsia"/>
          <w:color w:val="333333"/>
          <w:kern w:val="0"/>
          <w:sz w:val="18"/>
          <w:szCs w:val="18"/>
        </w:rPr>
        <w:t>亿立方米，比上年增长</w:t>
      </w:r>
      <w:r w:rsidRPr="00CD4D4A">
        <w:rPr>
          <w:rFonts w:ascii="Times New Roman" w:hAnsi="Times New Roman"/>
          <w:color w:val="333333"/>
          <w:kern w:val="0"/>
          <w:sz w:val="18"/>
          <w:szCs w:val="18"/>
        </w:rPr>
        <w:t>1.4%</w:t>
      </w:r>
      <w:r w:rsidRPr="00CD4D4A">
        <w:rPr>
          <w:rFonts w:ascii="Times New Roman" w:hAnsi="Times New Roman" w:hint="eastAsia"/>
          <w:color w:val="333333"/>
          <w:kern w:val="0"/>
          <w:sz w:val="18"/>
          <w:szCs w:val="18"/>
        </w:rPr>
        <w:t>。其中，生活用水增长</w:t>
      </w:r>
      <w:r w:rsidRPr="00CD4D4A">
        <w:rPr>
          <w:rFonts w:ascii="Times New Roman" w:hAnsi="Times New Roman"/>
          <w:color w:val="333333"/>
          <w:kern w:val="0"/>
          <w:sz w:val="18"/>
          <w:szCs w:val="18"/>
        </w:rPr>
        <w:t>3.1%</w:t>
      </w:r>
      <w:r w:rsidRPr="00CD4D4A">
        <w:rPr>
          <w:rFonts w:ascii="Times New Roman" w:hAnsi="Times New Roman" w:hint="eastAsia"/>
          <w:color w:val="333333"/>
          <w:kern w:val="0"/>
          <w:sz w:val="18"/>
          <w:szCs w:val="18"/>
        </w:rPr>
        <w:t>，工业用水增长</w:t>
      </w:r>
      <w:r w:rsidRPr="00CD4D4A">
        <w:rPr>
          <w:rFonts w:ascii="Times New Roman" w:hAnsi="Times New Roman"/>
          <w:color w:val="333333"/>
          <w:kern w:val="0"/>
          <w:sz w:val="18"/>
          <w:szCs w:val="18"/>
        </w:rPr>
        <w:t>1.8%</w:t>
      </w:r>
      <w:r w:rsidRPr="00CD4D4A">
        <w:rPr>
          <w:rFonts w:ascii="Times New Roman" w:hAnsi="Times New Roman" w:hint="eastAsia"/>
          <w:color w:val="333333"/>
          <w:kern w:val="0"/>
          <w:sz w:val="18"/>
          <w:szCs w:val="18"/>
        </w:rPr>
        <w:t>，农业用水增长</w:t>
      </w:r>
      <w:r w:rsidRPr="00CD4D4A">
        <w:rPr>
          <w:rFonts w:ascii="Times New Roman" w:hAnsi="Times New Roman"/>
          <w:color w:val="333333"/>
          <w:kern w:val="0"/>
          <w:sz w:val="18"/>
          <w:szCs w:val="18"/>
        </w:rPr>
        <w:t>0.9%</w:t>
      </w:r>
      <w:r w:rsidRPr="00CD4D4A">
        <w:rPr>
          <w:rFonts w:ascii="Times New Roman" w:hAnsi="Times New Roman" w:hint="eastAsia"/>
          <w:color w:val="333333"/>
          <w:kern w:val="0"/>
          <w:sz w:val="18"/>
          <w:szCs w:val="18"/>
        </w:rPr>
        <w:t>，生态补水增长</w:t>
      </w:r>
      <w:r w:rsidRPr="00CD4D4A">
        <w:rPr>
          <w:rFonts w:ascii="Times New Roman" w:hAnsi="Times New Roman"/>
          <w:color w:val="333333"/>
          <w:kern w:val="0"/>
          <w:sz w:val="18"/>
          <w:szCs w:val="18"/>
        </w:rPr>
        <w:t>1.7%</w:t>
      </w:r>
      <w:r w:rsidRPr="00CD4D4A">
        <w:rPr>
          <w:rFonts w:ascii="Times New Roman" w:hAnsi="Times New Roman" w:hint="eastAsia"/>
          <w:color w:val="333333"/>
          <w:kern w:val="0"/>
          <w:sz w:val="18"/>
          <w:szCs w:val="18"/>
        </w:rPr>
        <w:t>。万元国内生产总值用水量</w:t>
      </w:r>
      <w:r w:rsidRPr="00CD4D4A">
        <w:rPr>
          <w:rFonts w:ascii="Times New Roman" w:hAnsi="Times New Roman"/>
          <w:color w:val="333333"/>
          <w:kern w:val="0"/>
          <w:sz w:val="18"/>
          <w:szCs w:val="18"/>
          <w:vertAlign w:val="superscript"/>
        </w:rPr>
        <w:t>[50]</w:t>
      </w:r>
      <w:r w:rsidRPr="00CD4D4A">
        <w:rPr>
          <w:rFonts w:ascii="Times New Roman" w:hAnsi="Times New Roman"/>
          <w:color w:val="333333"/>
          <w:kern w:val="0"/>
          <w:sz w:val="18"/>
          <w:szCs w:val="18"/>
        </w:rPr>
        <w:t>104</w:t>
      </w:r>
      <w:r w:rsidRPr="00CD4D4A">
        <w:rPr>
          <w:rFonts w:ascii="Times New Roman" w:hAnsi="Times New Roman" w:hint="eastAsia"/>
          <w:color w:val="333333"/>
          <w:kern w:val="0"/>
          <w:sz w:val="18"/>
          <w:szCs w:val="18"/>
        </w:rPr>
        <w:t>立方米，比上年下降</w:t>
      </w:r>
      <w:r w:rsidRPr="00CD4D4A">
        <w:rPr>
          <w:rFonts w:ascii="Times New Roman" w:hAnsi="Times New Roman"/>
          <w:color w:val="333333"/>
          <w:kern w:val="0"/>
          <w:sz w:val="18"/>
          <w:szCs w:val="18"/>
        </w:rPr>
        <w:t>5.1%</w:t>
      </w:r>
      <w:r w:rsidRPr="00CD4D4A">
        <w:rPr>
          <w:rFonts w:ascii="Times New Roman" w:hAnsi="Times New Roman" w:hint="eastAsia"/>
          <w:color w:val="333333"/>
          <w:kern w:val="0"/>
          <w:sz w:val="18"/>
          <w:szCs w:val="18"/>
        </w:rPr>
        <w:t>。万元工业增加值用水量</w:t>
      </w:r>
      <w:r w:rsidRPr="00CD4D4A">
        <w:rPr>
          <w:rFonts w:ascii="Times New Roman" w:hAnsi="Times New Roman"/>
          <w:color w:val="333333"/>
          <w:kern w:val="0"/>
          <w:sz w:val="18"/>
          <w:szCs w:val="18"/>
        </w:rPr>
        <w:t>58</w:t>
      </w:r>
      <w:r w:rsidRPr="00CD4D4A">
        <w:rPr>
          <w:rFonts w:ascii="Times New Roman" w:hAnsi="Times New Roman" w:hint="eastAsia"/>
          <w:color w:val="333333"/>
          <w:kern w:val="0"/>
          <w:sz w:val="18"/>
          <w:szCs w:val="18"/>
        </w:rPr>
        <w:t>立方米，下降</w:t>
      </w:r>
      <w:r w:rsidRPr="00CD4D4A">
        <w:rPr>
          <w:rFonts w:ascii="Times New Roman" w:hAnsi="Times New Roman"/>
          <w:color w:val="333333"/>
          <w:kern w:val="0"/>
          <w:sz w:val="18"/>
          <w:szCs w:val="18"/>
        </w:rPr>
        <w:t>3.9%</w:t>
      </w:r>
      <w:r w:rsidRPr="00CD4D4A">
        <w:rPr>
          <w:rFonts w:ascii="Times New Roman" w:hAnsi="Times New Roman" w:hint="eastAsia"/>
          <w:color w:val="333333"/>
          <w:kern w:val="0"/>
          <w:sz w:val="18"/>
          <w:szCs w:val="18"/>
        </w:rPr>
        <w:t>。人均用水量</w:t>
      </w:r>
      <w:r w:rsidRPr="00CD4D4A">
        <w:rPr>
          <w:rFonts w:ascii="Times New Roman" w:hAnsi="Times New Roman"/>
          <w:color w:val="333333"/>
          <w:kern w:val="0"/>
          <w:sz w:val="18"/>
          <w:szCs w:val="18"/>
        </w:rPr>
        <w:t>450</w:t>
      </w:r>
      <w:r w:rsidRPr="00CD4D4A">
        <w:rPr>
          <w:rFonts w:ascii="Times New Roman" w:hAnsi="Times New Roman" w:hint="eastAsia"/>
          <w:color w:val="333333"/>
          <w:kern w:val="0"/>
          <w:sz w:val="18"/>
          <w:szCs w:val="18"/>
        </w:rPr>
        <w:t>立方米，比上年增长</w:t>
      </w:r>
      <w:r w:rsidRPr="00CD4D4A">
        <w:rPr>
          <w:rFonts w:ascii="Times New Roman" w:hAnsi="Times New Roman"/>
          <w:color w:val="333333"/>
          <w:kern w:val="0"/>
          <w:sz w:val="18"/>
          <w:szCs w:val="18"/>
        </w:rPr>
        <w:t>0.9%</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全年完成造林面积</w:t>
      </w:r>
      <w:r w:rsidRPr="00CD4D4A">
        <w:rPr>
          <w:rFonts w:ascii="Times New Roman" w:hAnsi="Times New Roman"/>
          <w:color w:val="333333"/>
          <w:kern w:val="0"/>
          <w:sz w:val="18"/>
          <w:szCs w:val="18"/>
        </w:rPr>
        <w:t>632</w:t>
      </w:r>
      <w:r w:rsidRPr="00CD4D4A">
        <w:rPr>
          <w:rFonts w:ascii="Times New Roman" w:hAnsi="Times New Roman" w:hint="eastAsia"/>
          <w:color w:val="333333"/>
          <w:kern w:val="0"/>
          <w:sz w:val="18"/>
          <w:szCs w:val="18"/>
        </w:rPr>
        <w:t>万公顷，其中林业重点生态工程完成造林面积</w:t>
      </w:r>
      <w:r w:rsidRPr="00CD4D4A">
        <w:rPr>
          <w:rFonts w:ascii="Times New Roman" w:hAnsi="Times New Roman"/>
          <w:color w:val="333333"/>
          <w:kern w:val="0"/>
          <w:sz w:val="18"/>
          <w:szCs w:val="18"/>
        </w:rPr>
        <w:t>242</w:t>
      </w:r>
      <w:r w:rsidRPr="00CD4D4A">
        <w:rPr>
          <w:rFonts w:ascii="Times New Roman" w:hAnsi="Times New Roman" w:hint="eastAsia"/>
          <w:color w:val="333333"/>
          <w:kern w:val="0"/>
          <w:sz w:val="18"/>
          <w:szCs w:val="18"/>
        </w:rPr>
        <w:t>万公顷，占全部造林面积的</w:t>
      </w:r>
      <w:r w:rsidRPr="00CD4D4A">
        <w:rPr>
          <w:rFonts w:ascii="Times New Roman" w:hAnsi="Times New Roman"/>
          <w:color w:val="333333"/>
          <w:kern w:val="0"/>
          <w:sz w:val="18"/>
          <w:szCs w:val="18"/>
        </w:rPr>
        <w:t>38.2%</w:t>
      </w:r>
      <w:r w:rsidRPr="00CD4D4A">
        <w:rPr>
          <w:rFonts w:ascii="Times New Roman" w:hAnsi="Times New Roman" w:hint="eastAsia"/>
          <w:color w:val="333333"/>
          <w:kern w:val="0"/>
          <w:sz w:val="18"/>
          <w:szCs w:val="18"/>
        </w:rPr>
        <w:t>。截至年底，自然保护区达到</w:t>
      </w:r>
      <w:r w:rsidRPr="00CD4D4A">
        <w:rPr>
          <w:rFonts w:ascii="Times New Roman" w:hAnsi="Times New Roman"/>
          <w:color w:val="333333"/>
          <w:kern w:val="0"/>
          <w:sz w:val="18"/>
          <w:szCs w:val="18"/>
        </w:rPr>
        <w:t>2740</w:t>
      </w:r>
      <w:r w:rsidRPr="00CD4D4A">
        <w:rPr>
          <w:rFonts w:ascii="Times New Roman" w:hAnsi="Times New Roman" w:hint="eastAsia"/>
          <w:color w:val="333333"/>
          <w:kern w:val="0"/>
          <w:sz w:val="18"/>
          <w:szCs w:val="18"/>
        </w:rPr>
        <w:t>个，其中国家级自然保护区</w:t>
      </w:r>
      <w:r w:rsidRPr="00CD4D4A">
        <w:rPr>
          <w:rFonts w:ascii="Times New Roman" w:hAnsi="Times New Roman"/>
          <w:color w:val="333333"/>
          <w:kern w:val="0"/>
          <w:sz w:val="18"/>
          <w:szCs w:val="18"/>
        </w:rPr>
        <w:t>428</w:t>
      </w:r>
      <w:r w:rsidRPr="00CD4D4A">
        <w:rPr>
          <w:rFonts w:ascii="Times New Roman" w:hAnsi="Times New Roman" w:hint="eastAsia"/>
          <w:color w:val="333333"/>
          <w:kern w:val="0"/>
          <w:sz w:val="18"/>
          <w:szCs w:val="18"/>
        </w:rPr>
        <w:t>个。新增水土流失治理面积</w:t>
      </w:r>
      <w:r w:rsidRPr="00CD4D4A">
        <w:rPr>
          <w:rFonts w:ascii="Times New Roman" w:hAnsi="Times New Roman"/>
          <w:color w:val="333333"/>
          <w:kern w:val="0"/>
          <w:sz w:val="18"/>
          <w:szCs w:val="18"/>
        </w:rPr>
        <w:t>5.4</w:t>
      </w:r>
      <w:r w:rsidRPr="00CD4D4A">
        <w:rPr>
          <w:rFonts w:ascii="Times New Roman" w:hAnsi="Times New Roman" w:hint="eastAsia"/>
          <w:color w:val="333333"/>
          <w:kern w:val="0"/>
          <w:sz w:val="18"/>
          <w:szCs w:val="18"/>
        </w:rPr>
        <w:t>万平方公里，新增实施水土流失地区封育保护面积</w:t>
      </w:r>
      <w:r w:rsidRPr="00CD4D4A">
        <w:rPr>
          <w:rFonts w:ascii="Times New Roman" w:hAnsi="Times New Roman"/>
          <w:color w:val="333333"/>
          <w:kern w:val="0"/>
          <w:sz w:val="18"/>
          <w:szCs w:val="18"/>
        </w:rPr>
        <w:t>2.0</w:t>
      </w:r>
      <w:r w:rsidRPr="00CD4D4A">
        <w:rPr>
          <w:rFonts w:ascii="Times New Roman" w:hAnsi="Times New Roman" w:hint="eastAsia"/>
          <w:color w:val="333333"/>
          <w:kern w:val="0"/>
          <w:sz w:val="18"/>
          <w:szCs w:val="18"/>
        </w:rPr>
        <w:t>万平方公里。</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全年平均气温为</w:t>
      </w:r>
      <w:r w:rsidRPr="00CD4D4A">
        <w:rPr>
          <w:rFonts w:ascii="Times New Roman" w:hAnsi="Times New Roman"/>
          <w:color w:val="333333"/>
          <w:kern w:val="0"/>
          <w:sz w:val="18"/>
          <w:szCs w:val="18"/>
        </w:rPr>
        <w:t>10.5</w:t>
      </w:r>
      <w:r w:rsidRPr="00CD4D4A">
        <w:rPr>
          <w:rFonts w:ascii="宋体" w:hAnsi="宋体" w:cs="宋体" w:hint="eastAsia"/>
          <w:color w:val="333333"/>
          <w:kern w:val="0"/>
          <w:sz w:val="18"/>
          <w:szCs w:val="18"/>
        </w:rPr>
        <w:t>℃</w:t>
      </w:r>
      <w:r w:rsidRPr="00CD4D4A">
        <w:rPr>
          <w:rFonts w:ascii="Times New Roman" w:hAnsi="Times New Roman" w:hint="eastAsia"/>
          <w:color w:val="333333"/>
          <w:kern w:val="0"/>
          <w:sz w:val="18"/>
          <w:szCs w:val="18"/>
        </w:rPr>
        <w:t>，共有</w:t>
      </w:r>
      <w:r w:rsidRPr="00CD4D4A">
        <w:rPr>
          <w:rFonts w:ascii="Times New Roman" w:hAnsi="Times New Roman"/>
          <w:color w:val="333333"/>
          <w:kern w:val="0"/>
          <w:sz w:val="18"/>
          <w:szCs w:val="18"/>
        </w:rPr>
        <w:t>6</w:t>
      </w:r>
      <w:r w:rsidRPr="00CD4D4A">
        <w:rPr>
          <w:rFonts w:ascii="Times New Roman" w:hAnsi="Times New Roman" w:hint="eastAsia"/>
          <w:color w:val="333333"/>
          <w:kern w:val="0"/>
          <w:sz w:val="18"/>
          <w:szCs w:val="18"/>
        </w:rPr>
        <w:t>个台风登陆。</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初步核算，全年能源消费总量</w:t>
      </w:r>
      <w:r w:rsidRPr="00CD4D4A">
        <w:rPr>
          <w:rFonts w:ascii="Times New Roman" w:hAnsi="Times New Roman"/>
          <w:color w:val="333333"/>
          <w:kern w:val="0"/>
          <w:sz w:val="18"/>
          <w:szCs w:val="18"/>
        </w:rPr>
        <w:t>43.0</w:t>
      </w:r>
      <w:r w:rsidRPr="00CD4D4A">
        <w:rPr>
          <w:rFonts w:ascii="Times New Roman" w:hAnsi="Times New Roman" w:hint="eastAsia"/>
          <w:color w:val="333333"/>
          <w:kern w:val="0"/>
          <w:sz w:val="18"/>
          <w:szCs w:val="18"/>
        </w:rPr>
        <w:t>亿吨标准煤，比上年增长</w:t>
      </w:r>
      <w:r w:rsidRPr="00CD4D4A">
        <w:rPr>
          <w:rFonts w:ascii="Times New Roman" w:hAnsi="Times New Roman"/>
          <w:color w:val="333333"/>
          <w:kern w:val="0"/>
          <w:sz w:val="18"/>
          <w:szCs w:val="18"/>
        </w:rPr>
        <w:t>0.9%</w:t>
      </w:r>
      <w:r w:rsidRPr="00CD4D4A">
        <w:rPr>
          <w:rFonts w:ascii="Times New Roman" w:hAnsi="Times New Roman" w:hint="eastAsia"/>
          <w:color w:val="333333"/>
          <w:kern w:val="0"/>
          <w:sz w:val="18"/>
          <w:szCs w:val="18"/>
        </w:rPr>
        <w:t>。煤炭消费量下降</w:t>
      </w:r>
      <w:r w:rsidRPr="00CD4D4A">
        <w:rPr>
          <w:rFonts w:ascii="Times New Roman" w:hAnsi="Times New Roman"/>
          <w:color w:val="333333"/>
          <w:kern w:val="0"/>
          <w:sz w:val="18"/>
          <w:szCs w:val="18"/>
        </w:rPr>
        <w:t>3.7%</w:t>
      </w:r>
      <w:r w:rsidRPr="00CD4D4A">
        <w:rPr>
          <w:rFonts w:ascii="Times New Roman" w:hAnsi="Times New Roman" w:hint="eastAsia"/>
          <w:color w:val="333333"/>
          <w:kern w:val="0"/>
          <w:sz w:val="18"/>
          <w:szCs w:val="18"/>
        </w:rPr>
        <w:t>，原油消费量增长</w:t>
      </w:r>
      <w:r w:rsidRPr="00CD4D4A">
        <w:rPr>
          <w:rFonts w:ascii="Times New Roman" w:hAnsi="Times New Roman"/>
          <w:color w:val="333333"/>
          <w:kern w:val="0"/>
          <w:sz w:val="18"/>
          <w:szCs w:val="18"/>
        </w:rPr>
        <w:t>5.6%</w:t>
      </w:r>
      <w:r w:rsidRPr="00CD4D4A">
        <w:rPr>
          <w:rFonts w:ascii="Times New Roman" w:hAnsi="Times New Roman" w:hint="eastAsia"/>
          <w:color w:val="333333"/>
          <w:kern w:val="0"/>
          <w:sz w:val="18"/>
          <w:szCs w:val="18"/>
        </w:rPr>
        <w:t>，天然气消费量增长</w:t>
      </w:r>
      <w:r w:rsidRPr="00CD4D4A">
        <w:rPr>
          <w:rFonts w:ascii="Times New Roman" w:hAnsi="Times New Roman"/>
          <w:color w:val="333333"/>
          <w:kern w:val="0"/>
          <w:sz w:val="18"/>
          <w:szCs w:val="18"/>
        </w:rPr>
        <w:t>3.3%</w:t>
      </w:r>
      <w:r w:rsidRPr="00CD4D4A">
        <w:rPr>
          <w:rFonts w:ascii="Times New Roman" w:hAnsi="Times New Roman" w:hint="eastAsia"/>
          <w:color w:val="333333"/>
          <w:kern w:val="0"/>
          <w:sz w:val="18"/>
          <w:szCs w:val="18"/>
        </w:rPr>
        <w:t>，电力消费量增长</w:t>
      </w:r>
      <w:r w:rsidRPr="00CD4D4A">
        <w:rPr>
          <w:rFonts w:ascii="Times New Roman" w:hAnsi="Times New Roman"/>
          <w:color w:val="333333"/>
          <w:kern w:val="0"/>
          <w:sz w:val="18"/>
          <w:szCs w:val="18"/>
        </w:rPr>
        <w:t>0.5%</w:t>
      </w:r>
      <w:r w:rsidRPr="00CD4D4A">
        <w:rPr>
          <w:rFonts w:ascii="Times New Roman" w:hAnsi="Times New Roman" w:hint="eastAsia"/>
          <w:color w:val="333333"/>
          <w:kern w:val="0"/>
          <w:sz w:val="18"/>
          <w:szCs w:val="18"/>
        </w:rPr>
        <w:t>。煤炭消费量占能源消费总量的</w:t>
      </w:r>
      <w:r w:rsidRPr="00CD4D4A">
        <w:rPr>
          <w:rFonts w:ascii="Times New Roman" w:hAnsi="Times New Roman"/>
          <w:color w:val="333333"/>
          <w:kern w:val="0"/>
          <w:sz w:val="18"/>
          <w:szCs w:val="18"/>
        </w:rPr>
        <w:t>64.0%</w:t>
      </w:r>
      <w:r w:rsidRPr="00CD4D4A">
        <w:rPr>
          <w:rFonts w:ascii="Times New Roman" w:hAnsi="Times New Roman" w:hint="eastAsia"/>
          <w:color w:val="333333"/>
          <w:kern w:val="0"/>
          <w:sz w:val="18"/>
          <w:szCs w:val="18"/>
        </w:rPr>
        <w:t>，水电、风电、核电、天然气等清洁能源消费量占能源消费总量的</w:t>
      </w:r>
      <w:r w:rsidRPr="00CD4D4A">
        <w:rPr>
          <w:rFonts w:ascii="Times New Roman" w:hAnsi="Times New Roman"/>
          <w:color w:val="333333"/>
          <w:kern w:val="0"/>
          <w:sz w:val="18"/>
          <w:szCs w:val="18"/>
        </w:rPr>
        <w:t>17.9%</w:t>
      </w:r>
      <w:r w:rsidRPr="00CD4D4A">
        <w:rPr>
          <w:rFonts w:ascii="Times New Roman" w:hAnsi="Times New Roman" w:hint="eastAsia"/>
          <w:color w:val="333333"/>
          <w:kern w:val="0"/>
          <w:sz w:val="18"/>
          <w:szCs w:val="18"/>
        </w:rPr>
        <w:t>。全国万元国内生产总值能耗下降</w:t>
      </w:r>
      <w:r w:rsidRPr="00CD4D4A">
        <w:rPr>
          <w:rFonts w:ascii="Times New Roman" w:hAnsi="Times New Roman"/>
          <w:color w:val="333333"/>
          <w:kern w:val="0"/>
          <w:sz w:val="18"/>
          <w:szCs w:val="18"/>
        </w:rPr>
        <w:t>5.6%</w:t>
      </w:r>
      <w:r w:rsidRPr="00CD4D4A">
        <w:rPr>
          <w:rFonts w:ascii="Times New Roman" w:hAnsi="Times New Roman" w:hint="eastAsia"/>
          <w:color w:val="333333"/>
          <w:kern w:val="0"/>
          <w:sz w:val="18"/>
          <w:szCs w:val="18"/>
        </w:rPr>
        <w:t>。工业企业吨粗铜综合能耗下降</w:t>
      </w:r>
      <w:r w:rsidRPr="00CD4D4A">
        <w:rPr>
          <w:rFonts w:ascii="Times New Roman" w:hAnsi="Times New Roman"/>
          <w:color w:val="333333"/>
          <w:kern w:val="0"/>
          <w:sz w:val="18"/>
          <w:szCs w:val="18"/>
        </w:rPr>
        <w:t>0.79%</w:t>
      </w:r>
      <w:r w:rsidRPr="00CD4D4A">
        <w:rPr>
          <w:rFonts w:ascii="Times New Roman" w:hAnsi="Times New Roman" w:hint="eastAsia"/>
          <w:color w:val="333333"/>
          <w:kern w:val="0"/>
          <w:sz w:val="18"/>
          <w:szCs w:val="18"/>
        </w:rPr>
        <w:t>，吨钢综合能耗下降</w:t>
      </w:r>
      <w:r w:rsidRPr="00CD4D4A">
        <w:rPr>
          <w:rFonts w:ascii="Times New Roman" w:hAnsi="Times New Roman"/>
          <w:color w:val="333333"/>
          <w:kern w:val="0"/>
          <w:sz w:val="18"/>
          <w:szCs w:val="18"/>
        </w:rPr>
        <w:t>0.56%</w:t>
      </w:r>
      <w:r w:rsidRPr="00CD4D4A">
        <w:rPr>
          <w:rFonts w:ascii="Times New Roman" w:hAnsi="Times New Roman" w:hint="eastAsia"/>
          <w:color w:val="333333"/>
          <w:kern w:val="0"/>
          <w:sz w:val="18"/>
          <w:szCs w:val="18"/>
        </w:rPr>
        <w:t>，单位烧碱综合能耗下降</w:t>
      </w:r>
      <w:r w:rsidRPr="00CD4D4A">
        <w:rPr>
          <w:rFonts w:ascii="Times New Roman" w:hAnsi="Times New Roman"/>
          <w:color w:val="333333"/>
          <w:kern w:val="0"/>
          <w:sz w:val="18"/>
          <w:szCs w:val="18"/>
        </w:rPr>
        <w:t>1.41%</w:t>
      </w:r>
      <w:r w:rsidRPr="00CD4D4A">
        <w:rPr>
          <w:rFonts w:ascii="Times New Roman" w:hAnsi="Times New Roman" w:hint="eastAsia"/>
          <w:color w:val="333333"/>
          <w:kern w:val="0"/>
          <w:sz w:val="18"/>
          <w:szCs w:val="18"/>
        </w:rPr>
        <w:t>，吨水泥综合能耗下降</w:t>
      </w:r>
      <w:r w:rsidRPr="00CD4D4A">
        <w:rPr>
          <w:rFonts w:ascii="Times New Roman" w:hAnsi="Times New Roman"/>
          <w:color w:val="333333"/>
          <w:kern w:val="0"/>
          <w:sz w:val="18"/>
          <w:szCs w:val="18"/>
        </w:rPr>
        <w:t>0.49%</w:t>
      </w:r>
      <w:r w:rsidRPr="00CD4D4A">
        <w:rPr>
          <w:rFonts w:ascii="Times New Roman" w:hAnsi="Times New Roman" w:hint="eastAsia"/>
          <w:color w:val="333333"/>
          <w:kern w:val="0"/>
          <w:sz w:val="18"/>
          <w:szCs w:val="18"/>
        </w:rPr>
        <w:t>，每千瓦时火力发电标准煤耗下降</w:t>
      </w:r>
      <w:r w:rsidRPr="00CD4D4A">
        <w:rPr>
          <w:rFonts w:ascii="Times New Roman" w:hAnsi="Times New Roman"/>
          <w:color w:val="333333"/>
          <w:kern w:val="0"/>
          <w:sz w:val="18"/>
          <w:szCs w:val="18"/>
        </w:rPr>
        <w:t>0.95%</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2" o:spid="_x0000_i1047" type="#_x0000_t75" alt="http://www.stats.gov.cn/tjsj/zxfb/201602/W020160229379124728637_r75.gif" style="width:396.75pt;height:226.5pt;visibility:visible">
            <v:imagedata r:id="rId26"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center"/>
        <w:rPr>
          <w:rFonts w:ascii="Times New Roman" w:hAnsi="Times New Roman"/>
          <w:color w:val="333333"/>
          <w:kern w:val="0"/>
          <w:sz w:val="18"/>
          <w:szCs w:val="18"/>
        </w:rPr>
      </w:pPr>
      <w:r w:rsidRPr="00E57D0F">
        <w:rPr>
          <w:rFonts w:ascii="Times New Roman" w:hAnsi="Times New Roman"/>
          <w:noProof/>
          <w:color w:val="333333"/>
          <w:kern w:val="0"/>
          <w:sz w:val="18"/>
          <w:szCs w:val="18"/>
        </w:rPr>
        <w:pict>
          <v:shape id="图片 1" o:spid="_x0000_i1048" type="#_x0000_t75" alt="http://www.stats.gov.cn/tjsj/zxfb/201602/W020160229379124733773_r75.gif" style="width:396.75pt;height:226.5pt;visibility:visible">
            <v:imagedata r:id="rId27" o:title=""/>
          </v:shape>
        </w:pic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十大流域</w:t>
      </w:r>
      <w:r w:rsidRPr="00CD4D4A">
        <w:rPr>
          <w:rFonts w:ascii="Times New Roman" w:hAnsi="Times New Roman"/>
          <w:color w:val="333333"/>
          <w:kern w:val="0"/>
          <w:sz w:val="18"/>
          <w:szCs w:val="18"/>
          <w:vertAlign w:val="superscript"/>
        </w:rPr>
        <w:t>[51]</w:t>
      </w:r>
      <w:r w:rsidRPr="00CD4D4A">
        <w:rPr>
          <w:rFonts w:ascii="Times New Roman" w:hAnsi="Times New Roman" w:hint="eastAsia"/>
          <w:color w:val="333333"/>
          <w:kern w:val="0"/>
          <w:sz w:val="18"/>
          <w:szCs w:val="18"/>
        </w:rPr>
        <w:t>的</w:t>
      </w:r>
      <w:r w:rsidRPr="00CD4D4A">
        <w:rPr>
          <w:rFonts w:ascii="Times New Roman" w:hAnsi="Times New Roman"/>
          <w:color w:val="333333"/>
          <w:kern w:val="0"/>
          <w:sz w:val="18"/>
          <w:szCs w:val="18"/>
        </w:rPr>
        <w:t>700</w:t>
      </w:r>
      <w:r w:rsidRPr="00CD4D4A">
        <w:rPr>
          <w:rFonts w:ascii="Times New Roman" w:hAnsi="Times New Roman" w:hint="eastAsia"/>
          <w:color w:val="333333"/>
          <w:kern w:val="0"/>
          <w:sz w:val="18"/>
          <w:szCs w:val="18"/>
        </w:rPr>
        <w:t>个水质监测断面中，</w:t>
      </w:r>
      <w:r w:rsidRPr="00CD4D4A">
        <w:rPr>
          <w:rFonts w:ascii="宋体" w:hAnsi="宋体" w:cs="宋体" w:hint="eastAsia"/>
          <w:color w:val="333333"/>
          <w:kern w:val="0"/>
          <w:sz w:val="18"/>
          <w:szCs w:val="18"/>
        </w:rPr>
        <w:t>Ⅰ</w:t>
      </w:r>
      <w:r w:rsidRPr="00CD4D4A">
        <w:rPr>
          <w:rFonts w:ascii="Times New Roman" w:hAnsi="Times New Roman" w:hint="eastAsia"/>
          <w:color w:val="333333"/>
          <w:kern w:val="0"/>
          <w:sz w:val="18"/>
          <w:szCs w:val="18"/>
        </w:rPr>
        <w:t>～</w:t>
      </w:r>
      <w:r w:rsidRPr="00CD4D4A">
        <w:rPr>
          <w:rFonts w:ascii="宋体" w:hAnsi="宋体" w:cs="宋体" w:hint="eastAsia"/>
          <w:color w:val="333333"/>
          <w:kern w:val="0"/>
          <w:sz w:val="18"/>
          <w:szCs w:val="18"/>
        </w:rPr>
        <w:t>Ⅲ</w:t>
      </w:r>
      <w:r w:rsidRPr="00CD4D4A">
        <w:rPr>
          <w:rFonts w:ascii="Times New Roman" w:hAnsi="Times New Roman" w:hint="eastAsia"/>
          <w:color w:val="333333"/>
          <w:kern w:val="0"/>
          <w:sz w:val="18"/>
          <w:szCs w:val="18"/>
        </w:rPr>
        <w:t>类水质断面比例占</w:t>
      </w:r>
      <w:r w:rsidRPr="00CD4D4A">
        <w:rPr>
          <w:rFonts w:ascii="Times New Roman" w:hAnsi="Times New Roman"/>
          <w:color w:val="333333"/>
          <w:kern w:val="0"/>
          <w:sz w:val="18"/>
          <w:szCs w:val="18"/>
        </w:rPr>
        <w:t>72.1%</w:t>
      </w:r>
      <w:r w:rsidRPr="00CD4D4A">
        <w:rPr>
          <w:rFonts w:ascii="Times New Roman" w:hAnsi="Times New Roman" w:hint="eastAsia"/>
          <w:color w:val="333333"/>
          <w:kern w:val="0"/>
          <w:sz w:val="18"/>
          <w:szCs w:val="18"/>
        </w:rPr>
        <w:t>，劣</w:t>
      </w:r>
      <w:r w:rsidRPr="00CD4D4A">
        <w:rPr>
          <w:rFonts w:ascii="宋体" w:hAnsi="宋体" w:cs="宋体" w:hint="eastAsia"/>
          <w:color w:val="333333"/>
          <w:kern w:val="0"/>
          <w:sz w:val="18"/>
          <w:szCs w:val="18"/>
        </w:rPr>
        <w:t>Ⅴ</w:t>
      </w:r>
      <w:r w:rsidRPr="00CD4D4A">
        <w:rPr>
          <w:rFonts w:ascii="Times New Roman" w:hAnsi="Times New Roman" w:hint="eastAsia"/>
          <w:color w:val="333333"/>
          <w:kern w:val="0"/>
          <w:sz w:val="18"/>
          <w:szCs w:val="18"/>
        </w:rPr>
        <w:t>类水质断面比例占</w:t>
      </w:r>
      <w:r w:rsidRPr="00CD4D4A">
        <w:rPr>
          <w:rFonts w:ascii="Times New Roman" w:hAnsi="Times New Roman"/>
          <w:color w:val="333333"/>
          <w:kern w:val="0"/>
          <w:sz w:val="18"/>
          <w:szCs w:val="18"/>
        </w:rPr>
        <w:t>8.9%</w:t>
      </w:r>
      <w:r w:rsidRPr="00CD4D4A">
        <w:rPr>
          <w:rFonts w:ascii="Times New Roman" w:hAnsi="Times New Roman" w:hint="eastAsia"/>
          <w:color w:val="333333"/>
          <w:kern w:val="0"/>
          <w:sz w:val="18"/>
          <w:szCs w:val="18"/>
        </w:rPr>
        <w:t>。十大流域水质总体为轻度污染，水质保持稳定。</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近岸海域</w:t>
      </w:r>
      <w:r w:rsidRPr="00CD4D4A">
        <w:rPr>
          <w:rFonts w:ascii="Times New Roman" w:hAnsi="Times New Roman"/>
          <w:color w:val="333333"/>
          <w:kern w:val="0"/>
          <w:sz w:val="18"/>
          <w:szCs w:val="18"/>
        </w:rPr>
        <w:t>301</w:t>
      </w:r>
      <w:r w:rsidRPr="00CD4D4A">
        <w:rPr>
          <w:rFonts w:ascii="Times New Roman" w:hAnsi="Times New Roman" w:hint="eastAsia"/>
          <w:color w:val="333333"/>
          <w:kern w:val="0"/>
          <w:sz w:val="18"/>
          <w:szCs w:val="18"/>
        </w:rPr>
        <w:t>个海水水质监测点中，达到国家一、二类海水水质标准的监测点占</w:t>
      </w:r>
      <w:r w:rsidRPr="00CD4D4A">
        <w:rPr>
          <w:rFonts w:ascii="Times New Roman" w:hAnsi="Times New Roman"/>
          <w:color w:val="333333"/>
          <w:kern w:val="0"/>
          <w:sz w:val="18"/>
          <w:szCs w:val="18"/>
        </w:rPr>
        <w:t>70.4%</w:t>
      </w:r>
      <w:r w:rsidRPr="00CD4D4A">
        <w:rPr>
          <w:rFonts w:ascii="Times New Roman" w:hAnsi="Times New Roman" w:hint="eastAsia"/>
          <w:color w:val="333333"/>
          <w:kern w:val="0"/>
          <w:sz w:val="18"/>
          <w:szCs w:val="18"/>
        </w:rPr>
        <w:t>，三类海水占</w:t>
      </w:r>
      <w:r w:rsidRPr="00CD4D4A">
        <w:rPr>
          <w:rFonts w:ascii="Times New Roman" w:hAnsi="Times New Roman"/>
          <w:color w:val="333333"/>
          <w:kern w:val="0"/>
          <w:sz w:val="18"/>
          <w:szCs w:val="18"/>
        </w:rPr>
        <w:t>7.6%</w:t>
      </w:r>
      <w:r w:rsidRPr="00CD4D4A">
        <w:rPr>
          <w:rFonts w:ascii="Times New Roman" w:hAnsi="Times New Roman" w:hint="eastAsia"/>
          <w:color w:val="333333"/>
          <w:kern w:val="0"/>
          <w:sz w:val="18"/>
          <w:szCs w:val="18"/>
        </w:rPr>
        <w:t>，四类、劣四类海水占</w:t>
      </w:r>
      <w:r w:rsidRPr="00CD4D4A">
        <w:rPr>
          <w:rFonts w:ascii="Times New Roman" w:hAnsi="Times New Roman"/>
          <w:color w:val="333333"/>
          <w:kern w:val="0"/>
          <w:sz w:val="18"/>
          <w:szCs w:val="18"/>
        </w:rPr>
        <w:t>21.9%</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在监测的</w:t>
      </w:r>
      <w:r w:rsidRPr="00CD4D4A">
        <w:rPr>
          <w:rFonts w:ascii="Times New Roman" w:hAnsi="Times New Roman"/>
          <w:color w:val="333333"/>
          <w:kern w:val="0"/>
          <w:sz w:val="18"/>
          <w:szCs w:val="18"/>
        </w:rPr>
        <w:t>338</w:t>
      </w:r>
      <w:r w:rsidRPr="00CD4D4A">
        <w:rPr>
          <w:rFonts w:ascii="Times New Roman" w:hAnsi="Times New Roman" w:hint="eastAsia"/>
          <w:color w:val="333333"/>
          <w:kern w:val="0"/>
          <w:sz w:val="18"/>
          <w:szCs w:val="18"/>
        </w:rPr>
        <w:t>个城市中，城市空气质量达标的城市占</w:t>
      </w:r>
      <w:r w:rsidRPr="00CD4D4A">
        <w:rPr>
          <w:rFonts w:ascii="Times New Roman" w:hAnsi="Times New Roman"/>
          <w:color w:val="333333"/>
          <w:kern w:val="0"/>
          <w:sz w:val="18"/>
          <w:szCs w:val="18"/>
        </w:rPr>
        <w:t>21.6%</w:t>
      </w:r>
      <w:r w:rsidRPr="00CD4D4A">
        <w:rPr>
          <w:rFonts w:ascii="Times New Roman" w:hAnsi="Times New Roman" w:hint="eastAsia"/>
          <w:color w:val="333333"/>
          <w:kern w:val="0"/>
          <w:sz w:val="18"/>
          <w:szCs w:val="18"/>
        </w:rPr>
        <w:t>，未达标的城市占</w:t>
      </w:r>
      <w:r w:rsidRPr="00CD4D4A">
        <w:rPr>
          <w:rFonts w:ascii="Times New Roman" w:hAnsi="Times New Roman"/>
          <w:color w:val="333333"/>
          <w:kern w:val="0"/>
          <w:sz w:val="18"/>
          <w:szCs w:val="18"/>
        </w:rPr>
        <w:t>78.4%</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在监测的</w:t>
      </w:r>
      <w:r w:rsidRPr="00CD4D4A">
        <w:rPr>
          <w:rFonts w:ascii="Times New Roman" w:hAnsi="Times New Roman"/>
          <w:color w:val="333333"/>
          <w:kern w:val="0"/>
          <w:sz w:val="18"/>
          <w:szCs w:val="18"/>
        </w:rPr>
        <w:t>321</w:t>
      </w:r>
      <w:r w:rsidRPr="00CD4D4A">
        <w:rPr>
          <w:rFonts w:ascii="Times New Roman" w:hAnsi="Times New Roman" w:hint="eastAsia"/>
          <w:color w:val="333333"/>
          <w:kern w:val="0"/>
          <w:sz w:val="18"/>
          <w:szCs w:val="18"/>
        </w:rPr>
        <w:t>个城市中，城市区域声环境质量好的城市占</w:t>
      </w:r>
      <w:r w:rsidRPr="00CD4D4A">
        <w:rPr>
          <w:rFonts w:ascii="Times New Roman" w:hAnsi="Times New Roman"/>
          <w:color w:val="333333"/>
          <w:kern w:val="0"/>
          <w:sz w:val="18"/>
          <w:szCs w:val="18"/>
        </w:rPr>
        <w:t>4.0%</w:t>
      </w:r>
      <w:r w:rsidRPr="00CD4D4A">
        <w:rPr>
          <w:rFonts w:ascii="Times New Roman" w:hAnsi="Times New Roman" w:hint="eastAsia"/>
          <w:color w:val="333333"/>
          <w:kern w:val="0"/>
          <w:sz w:val="18"/>
          <w:szCs w:val="18"/>
        </w:rPr>
        <w:t>，较好的占</w:t>
      </w:r>
      <w:r w:rsidRPr="00CD4D4A">
        <w:rPr>
          <w:rFonts w:ascii="Times New Roman" w:hAnsi="Times New Roman"/>
          <w:color w:val="333333"/>
          <w:kern w:val="0"/>
          <w:sz w:val="18"/>
          <w:szCs w:val="18"/>
        </w:rPr>
        <w:t>68.5%</w:t>
      </w:r>
      <w:r w:rsidRPr="00CD4D4A">
        <w:rPr>
          <w:rFonts w:ascii="Times New Roman" w:hAnsi="Times New Roman" w:hint="eastAsia"/>
          <w:color w:val="333333"/>
          <w:kern w:val="0"/>
          <w:sz w:val="18"/>
          <w:szCs w:val="18"/>
        </w:rPr>
        <w:t>，一般的占</w:t>
      </w:r>
      <w:r w:rsidRPr="00CD4D4A">
        <w:rPr>
          <w:rFonts w:ascii="Times New Roman" w:hAnsi="Times New Roman"/>
          <w:color w:val="333333"/>
          <w:kern w:val="0"/>
          <w:sz w:val="18"/>
          <w:szCs w:val="18"/>
        </w:rPr>
        <w:t>26.2%</w:t>
      </w:r>
      <w:r w:rsidRPr="00CD4D4A">
        <w:rPr>
          <w:rFonts w:ascii="Times New Roman" w:hAnsi="Times New Roman" w:hint="eastAsia"/>
          <w:color w:val="333333"/>
          <w:kern w:val="0"/>
          <w:sz w:val="18"/>
          <w:szCs w:val="18"/>
        </w:rPr>
        <w:t>，较差的占</w:t>
      </w:r>
      <w:r w:rsidRPr="00CD4D4A">
        <w:rPr>
          <w:rFonts w:ascii="Times New Roman" w:hAnsi="Times New Roman"/>
          <w:color w:val="333333"/>
          <w:kern w:val="0"/>
          <w:sz w:val="18"/>
          <w:szCs w:val="18"/>
        </w:rPr>
        <w:t>0.9%</w:t>
      </w:r>
      <w:r w:rsidRPr="00CD4D4A">
        <w:rPr>
          <w:rFonts w:ascii="Times New Roman" w:hAnsi="Times New Roman" w:hint="eastAsia"/>
          <w:color w:val="333333"/>
          <w:kern w:val="0"/>
          <w:sz w:val="18"/>
          <w:szCs w:val="18"/>
        </w:rPr>
        <w:t>，差的占</w:t>
      </w:r>
      <w:r w:rsidRPr="00CD4D4A">
        <w:rPr>
          <w:rFonts w:ascii="Times New Roman" w:hAnsi="Times New Roman"/>
          <w:color w:val="333333"/>
          <w:kern w:val="0"/>
          <w:sz w:val="18"/>
          <w:szCs w:val="18"/>
        </w:rPr>
        <w:t>0.3%</w:t>
      </w:r>
      <w:r w:rsidRPr="00CD4D4A">
        <w:rPr>
          <w:rFonts w:ascii="Times New Roman"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年末城市污水处理厂日处理能力达到</w:t>
      </w:r>
      <w:r w:rsidRPr="00CD4D4A">
        <w:rPr>
          <w:rFonts w:ascii="Times New Roman" w:hAnsi="Times New Roman"/>
          <w:color w:val="333333"/>
          <w:kern w:val="0"/>
          <w:sz w:val="18"/>
          <w:szCs w:val="18"/>
        </w:rPr>
        <w:t>13784</w:t>
      </w:r>
      <w:r w:rsidRPr="00CD4D4A">
        <w:rPr>
          <w:rFonts w:ascii="Times New Roman" w:hAnsi="Times New Roman" w:hint="eastAsia"/>
          <w:color w:val="333333"/>
          <w:kern w:val="0"/>
          <w:sz w:val="18"/>
          <w:szCs w:val="18"/>
        </w:rPr>
        <w:t>万立方米，比上年末增长</w:t>
      </w:r>
      <w:r w:rsidRPr="00CD4D4A">
        <w:rPr>
          <w:rFonts w:ascii="Times New Roman" w:hAnsi="Times New Roman"/>
          <w:color w:val="333333"/>
          <w:kern w:val="0"/>
          <w:sz w:val="18"/>
          <w:szCs w:val="18"/>
        </w:rPr>
        <w:t>5.3%</w:t>
      </w:r>
      <w:r w:rsidRPr="00CD4D4A">
        <w:rPr>
          <w:rFonts w:ascii="Times New Roman" w:hAnsi="Times New Roman" w:hint="eastAsia"/>
          <w:color w:val="333333"/>
          <w:kern w:val="0"/>
          <w:sz w:val="18"/>
          <w:szCs w:val="18"/>
        </w:rPr>
        <w:t>；城市污水处理率达到</w:t>
      </w:r>
      <w:r w:rsidRPr="00CD4D4A">
        <w:rPr>
          <w:rFonts w:ascii="Times New Roman" w:hAnsi="Times New Roman"/>
          <w:color w:val="333333"/>
          <w:kern w:val="0"/>
          <w:sz w:val="18"/>
          <w:szCs w:val="18"/>
        </w:rPr>
        <w:t>91.0%</w:t>
      </w:r>
      <w:r w:rsidRPr="00CD4D4A">
        <w:rPr>
          <w:rFonts w:ascii="Times New Roman" w:hAnsi="Times New Roman" w:hint="eastAsia"/>
          <w:color w:val="333333"/>
          <w:kern w:val="0"/>
          <w:sz w:val="18"/>
          <w:szCs w:val="18"/>
        </w:rPr>
        <w:t>，提高</w:t>
      </w:r>
      <w:r w:rsidRPr="00CD4D4A">
        <w:rPr>
          <w:rFonts w:ascii="Times New Roman" w:hAnsi="Times New Roman"/>
          <w:color w:val="333333"/>
          <w:kern w:val="0"/>
          <w:sz w:val="18"/>
          <w:szCs w:val="18"/>
        </w:rPr>
        <w:t>0.8</w:t>
      </w:r>
      <w:r w:rsidRPr="00CD4D4A">
        <w:rPr>
          <w:rFonts w:ascii="Times New Roman" w:hAnsi="Times New Roman" w:hint="eastAsia"/>
          <w:color w:val="333333"/>
          <w:kern w:val="0"/>
          <w:sz w:val="18"/>
          <w:szCs w:val="18"/>
        </w:rPr>
        <w:t>个百分点。城市生活垃圾无害化处理率达到</w:t>
      </w:r>
      <w:r w:rsidRPr="00CD4D4A">
        <w:rPr>
          <w:rFonts w:ascii="Times New Roman" w:hAnsi="Times New Roman"/>
          <w:color w:val="333333"/>
          <w:kern w:val="0"/>
          <w:sz w:val="18"/>
          <w:szCs w:val="18"/>
        </w:rPr>
        <w:t>92.5%</w:t>
      </w:r>
      <w:r w:rsidRPr="00CD4D4A">
        <w:rPr>
          <w:rFonts w:ascii="Times New Roman" w:hAnsi="Times New Roman" w:hint="eastAsia"/>
          <w:color w:val="333333"/>
          <w:kern w:val="0"/>
          <w:sz w:val="18"/>
          <w:szCs w:val="18"/>
        </w:rPr>
        <w:t>，提高</w:t>
      </w:r>
      <w:r w:rsidRPr="00CD4D4A">
        <w:rPr>
          <w:rFonts w:ascii="Times New Roman" w:hAnsi="Times New Roman"/>
          <w:color w:val="333333"/>
          <w:kern w:val="0"/>
          <w:sz w:val="18"/>
          <w:szCs w:val="18"/>
        </w:rPr>
        <w:t>0.7</w:t>
      </w:r>
      <w:r w:rsidRPr="00CD4D4A">
        <w:rPr>
          <w:rFonts w:ascii="Times New Roman" w:hAnsi="Times New Roman" w:hint="eastAsia"/>
          <w:color w:val="333333"/>
          <w:kern w:val="0"/>
          <w:sz w:val="18"/>
          <w:szCs w:val="18"/>
        </w:rPr>
        <w:t>个百分点。城市集中供热面积</w:t>
      </w:r>
      <w:r w:rsidRPr="00CD4D4A">
        <w:rPr>
          <w:rFonts w:ascii="Times New Roman" w:hAnsi="Times New Roman"/>
          <w:color w:val="333333"/>
          <w:kern w:val="0"/>
          <w:sz w:val="18"/>
          <w:szCs w:val="18"/>
        </w:rPr>
        <w:t>64.2</w:t>
      </w:r>
      <w:r w:rsidRPr="00CD4D4A">
        <w:rPr>
          <w:rFonts w:ascii="Times New Roman" w:hAnsi="Times New Roman" w:hint="eastAsia"/>
          <w:color w:val="333333"/>
          <w:kern w:val="0"/>
          <w:sz w:val="18"/>
          <w:szCs w:val="18"/>
        </w:rPr>
        <w:t>亿平方米，增长</w:t>
      </w:r>
      <w:r w:rsidRPr="00CD4D4A">
        <w:rPr>
          <w:rFonts w:ascii="Times New Roman" w:hAnsi="Times New Roman"/>
          <w:color w:val="333333"/>
          <w:kern w:val="0"/>
          <w:sz w:val="18"/>
          <w:szCs w:val="18"/>
        </w:rPr>
        <w:t>5.1%</w:t>
      </w:r>
      <w:r w:rsidRPr="00CD4D4A">
        <w:rPr>
          <w:rFonts w:ascii="Times New Roman" w:hAnsi="Times New Roman" w:hint="eastAsia"/>
          <w:color w:val="333333"/>
          <w:kern w:val="0"/>
          <w:sz w:val="18"/>
          <w:szCs w:val="18"/>
        </w:rPr>
        <w:t>。城市建成区绿地面积</w:t>
      </w:r>
      <w:r w:rsidRPr="00CD4D4A">
        <w:rPr>
          <w:rFonts w:ascii="Times New Roman" w:hAnsi="Times New Roman"/>
          <w:color w:val="333333"/>
          <w:kern w:val="0"/>
          <w:sz w:val="18"/>
          <w:szCs w:val="18"/>
        </w:rPr>
        <w:t>189</w:t>
      </w:r>
      <w:r w:rsidRPr="00CD4D4A">
        <w:rPr>
          <w:rFonts w:ascii="Times New Roman" w:hAnsi="Times New Roman" w:hint="eastAsia"/>
          <w:color w:val="333333"/>
          <w:kern w:val="0"/>
          <w:sz w:val="18"/>
          <w:szCs w:val="18"/>
        </w:rPr>
        <w:t>万公顷，增长</w:t>
      </w:r>
      <w:r w:rsidRPr="00CD4D4A">
        <w:rPr>
          <w:rFonts w:ascii="Times New Roman" w:hAnsi="Times New Roman"/>
          <w:color w:val="333333"/>
          <w:kern w:val="0"/>
          <w:sz w:val="18"/>
          <w:szCs w:val="18"/>
        </w:rPr>
        <w:t>3.7%</w:t>
      </w:r>
      <w:r w:rsidRPr="00CD4D4A">
        <w:rPr>
          <w:rFonts w:ascii="Times New Roman" w:hAnsi="Times New Roman" w:hint="eastAsia"/>
          <w:color w:val="333333"/>
          <w:kern w:val="0"/>
          <w:sz w:val="18"/>
          <w:szCs w:val="18"/>
        </w:rPr>
        <w:t>；建成区绿地率达到</w:t>
      </w:r>
      <w:r w:rsidRPr="00CD4D4A">
        <w:rPr>
          <w:rFonts w:ascii="Times New Roman" w:hAnsi="Times New Roman"/>
          <w:color w:val="333333"/>
          <w:kern w:val="0"/>
          <w:sz w:val="18"/>
          <w:szCs w:val="18"/>
        </w:rPr>
        <w:t>36.3%</w:t>
      </w:r>
      <w:r w:rsidRPr="00CD4D4A">
        <w:rPr>
          <w:rFonts w:ascii="Times New Roman" w:hAnsi="Times New Roman" w:hint="eastAsia"/>
          <w:color w:val="333333"/>
          <w:kern w:val="0"/>
          <w:sz w:val="18"/>
          <w:szCs w:val="18"/>
        </w:rPr>
        <w:t>，提高</w:t>
      </w:r>
      <w:r w:rsidRPr="00CD4D4A">
        <w:rPr>
          <w:rFonts w:ascii="Times New Roman" w:hAnsi="Times New Roman"/>
          <w:color w:val="333333"/>
          <w:kern w:val="0"/>
          <w:sz w:val="18"/>
          <w:szCs w:val="18"/>
        </w:rPr>
        <w:t>0.05</w:t>
      </w:r>
      <w:r w:rsidRPr="00CD4D4A">
        <w:rPr>
          <w:rFonts w:ascii="Times New Roman" w:hAnsi="Times New Roman" w:hint="eastAsia"/>
          <w:color w:val="333333"/>
          <w:kern w:val="0"/>
          <w:sz w:val="18"/>
          <w:szCs w:val="18"/>
        </w:rPr>
        <w:t>个百分点；人均公园绿地面积</w:t>
      </w:r>
      <w:r w:rsidRPr="00CD4D4A">
        <w:rPr>
          <w:rFonts w:ascii="Times New Roman" w:hAnsi="Times New Roman"/>
          <w:color w:val="333333"/>
          <w:kern w:val="0"/>
          <w:sz w:val="18"/>
          <w:szCs w:val="18"/>
        </w:rPr>
        <w:t>13.16</w:t>
      </w:r>
      <w:r w:rsidRPr="00CD4D4A">
        <w:rPr>
          <w:rFonts w:ascii="Times New Roman" w:hAnsi="Times New Roman" w:hint="eastAsia"/>
          <w:color w:val="333333"/>
          <w:kern w:val="0"/>
          <w:sz w:val="18"/>
          <w:szCs w:val="18"/>
        </w:rPr>
        <w:t>平方米，增加</w:t>
      </w:r>
      <w:r w:rsidRPr="00CD4D4A">
        <w:rPr>
          <w:rFonts w:ascii="Times New Roman" w:hAnsi="Times New Roman"/>
          <w:color w:val="333333"/>
          <w:kern w:val="0"/>
          <w:sz w:val="18"/>
          <w:szCs w:val="18"/>
        </w:rPr>
        <w:t>0.08</w:t>
      </w:r>
      <w:r w:rsidRPr="00CD4D4A">
        <w:rPr>
          <w:rFonts w:ascii="Times New Roman" w:hAnsi="Times New Roman" w:hint="eastAsia"/>
          <w:color w:val="333333"/>
          <w:kern w:val="0"/>
          <w:sz w:val="18"/>
          <w:szCs w:val="18"/>
        </w:rPr>
        <w:t>平方米。</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 xml:space="preserve">　　全年农作物受灾面积</w:t>
      </w:r>
      <w:r w:rsidRPr="00CD4D4A">
        <w:rPr>
          <w:rFonts w:ascii="Times New Roman" w:hAnsi="Times New Roman"/>
          <w:color w:val="333333"/>
          <w:kern w:val="0"/>
          <w:sz w:val="18"/>
          <w:szCs w:val="18"/>
        </w:rPr>
        <w:t>2177</w:t>
      </w:r>
      <w:r w:rsidRPr="00CD4D4A">
        <w:rPr>
          <w:rFonts w:ascii="Times New Roman" w:hAnsi="Times New Roman" w:hint="eastAsia"/>
          <w:color w:val="333333"/>
          <w:kern w:val="0"/>
          <w:sz w:val="18"/>
          <w:szCs w:val="18"/>
        </w:rPr>
        <w:t>万公顷，其中绝收</w:t>
      </w:r>
      <w:r w:rsidRPr="00CD4D4A">
        <w:rPr>
          <w:rFonts w:ascii="Times New Roman" w:hAnsi="Times New Roman"/>
          <w:color w:val="333333"/>
          <w:kern w:val="0"/>
          <w:sz w:val="18"/>
          <w:szCs w:val="18"/>
        </w:rPr>
        <w:t>223</w:t>
      </w:r>
      <w:r w:rsidRPr="00CD4D4A">
        <w:rPr>
          <w:rFonts w:ascii="Times New Roman" w:hAnsi="Times New Roman" w:hint="eastAsia"/>
          <w:color w:val="333333"/>
          <w:kern w:val="0"/>
          <w:sz w:val="18"/>
          <w:szCs w:val="18"/>
        </w:rPr>
        <w:t>万公顷。全年因洪涝和地质灾害造成直接经济损失</w:t>
      </w:r>
      <w:r w:rsidRPr="00CD4D4A">
        <w:rPr>
          <w:rFonts w:ascii="Times New Roman" w:hAnsi="Times New Roman"/>
          <w:color w:val="333333"/>
          <w:kern w:val="0"/>
          <w:sz w:val="18"/>
          <w:szCs w:val="18"/>
        </w:rPr>
        <w:t>920</w:t>
      </w:r>
      <w:r w:rsidRPr="00CD4D4A">
        <w:rPr>
          <w:rFonts w:ascii="Times New Roman" w:hAnsi="Times New Roman" w:hint="eastAsia"/>
          <w:color w:val="333333"/>
          <w:kern w:val="0"/>
          <w:sz w:val="18"/>
          <w:szCs w:val="18"/>
        </w:rPr>
        <w:t>亿元，因旱灾造成直接经济损失</w:t>
      </w:r>
      <w:r w:rsidRPr="00CD4D4A">
        <w:rPr>
          <w:rFonts w:ascii="Times New Roman" w:hAnsi="Times New Roman"/>
          <w:color w:val="333333"/>
          <w:kern w:val="0"/>
          <w:sz w:val="18"/>
          <w:szCs w:val="18"/>
        </w:rPr>
        <w:t>486</w:t>
      </w:r>
      <w:r w:rsidRPr="00CD4D4A">
        <w:rPr>
          <w:rFonts w:ascii="Times New Roman" w:hAnsi="Times New Roman" w:hint="eastAsia"/>
          <w:color w:val="333333"/>
          <w:kern w:val="0"/>
          <w:sz w:val="18"/>
          <w:szCs w:val="18"/>
        </w:rPr>
        <w:t>亿元，因低温冷冻和雪灾造成直接经济损失</w:t>
      </w:r>
      <w:r w:rsidRPr="00CD4D4A">
        <w:rPr>
          <w:rFonts w:ascii="Times New Roman" w:hAnsi="Times New Roman"/>
          <w:color w:val="333333"/>
          <w:kern w:val="0"/>
          <w:sz w:val="18"/>
          <w:szCs w:val="18"/>
        </w:rPr>
        <w:t>89</w:t>
      </w:r>
      <w:r w:rsidRPr="00CD4D4A">
        <w:rPr>
          <w:rFonts w:ascii="Times New Roman" w:hAnsi="Times New Roman" w:hint="eastAsia"/>
          <w:color w:val="333333"/>
          <w:kern w:val="0"/>
          <w:sz w:val="18"/>
          <w:szCs w:val="18"/>
        </w:rPr>
        <w:t>亿元，因海洋灾害造成直接经济损失</w:t>
      </w:r>
      <w:r w:rsidRPr="00CD4D4A">
        <w:rPr>
          <w:rFonts w:ascii="Times New Roman" w:hAnsi="Times New Roman"/>
          <w:color w:val="333333"/>
          <w:kern w:val="0"/>
          <w:sz w:val="18"/>
          <w:szCs w:val="18"/>
        </w:rPr>
        <w:t>72</w:t>
      </w:r>
      <w:r w:rsidRPr="00CD4D4A">
        <w:rPr>
          <w:rFonts w:ascii="Times New Roman" w:hAnsi="Times New Roman" w:hint="eastAsia"/>
          <w:color w:val="333333"/>
          <w:kern w:val="0"/>
          <w:sz w:val="18"/>
          <w:szCs w:val="18"/>
        </w:rPr>
        <w:t>亿元。全年大陆地区共发生</w:t>
      </w:r>
      <w:r w:rsidRPr="00CD4D4A">
        <w:rPr>
          <w:rFonts w:ascii="Times New Roman" w:hAnsi="Times New Roman"/>
          <w:color w:val="333333"/>
          <w:kern w:val="0"/>
          <w:sz w:val="18"/>
          <w:szCs w:val="18"/>
        </w:rPr>
        <w:t>5</w:t>
      </w:r>
      <w:r w:rsidRPr="00CD4D4A">
        <w:rPr>
          <w:rFonts w:ascii="Times New Roman" w:hAnsi="Times New Roman" w:hint="eastAsia"/>
          <w:color w:val="333333"/>
          <w:kern w:val="0"/>
          <w:sz w:val="18"/>
          <w:szCs w:val="18"/>
        </w:rPr>
        <w:t>级以上地震</w:t>
      </w:r>
      <w:r w:rsidRPr="00CD4D4A">
        <w:rPr>
          <w:rFonts w:ascii="Times New Roman" w:hAnsi="Times New Roman"/>
          <w:color w:val="333333"/>
          <w:kern w:val="0"/>
          <w:sz w:val="18"/>
          <w:szCs w:val="18"/>
        </w:rPr>
        <w:t>14</w:t>
      </w:r>
      <w:r w:rsidRPr="00CD4D4A">
        <w:rPr>
          <w:rFonts w:ascii="Times New Roman" w:hAnsi="Times New Roman" w:hint="eastAsia"/>
          <w:color w:val="333333"/>
          <w:kern w:val="0"/>
          <w:sz w:val="18"/>
          <w:szCs w:val="18"/>
        </w:rPr>
        <w:t>次，成灾</w:t>
      </w:r>
      <w:r w:rsidRPr="00CD4D4A">
        <w:rPr>
          <w:rFonts w:ascii="Times New Roman" w:hAnsi="Times New Roman"/>
          <w:color w:val="333333"/>
          <w:kern w:val="0"/>
          <w:sz w:val="18"/>
          <w:szCs w:val="18"/>
        </w:rPr>
        <w:t>12</w:t>
      </w:r>
      <w:r w:rsidRPr="00CD4D4A">
        <w:rPr>
          <w:rFonts w:ascii="Times New Roman" w:hAnsi="Times New Roman" w:hint="eastAsia"/>
          <w:color w:val="333333"/>
          <w:kern w:val="0"/>
          <w:sz w:val="18"/>
          <w:szCs w:val="18"/>
        </w:rPr>
        <w:t>次，造成直接经济损失</w:t>
      </w:r>
      <w:r w:rsidRPr="00CD4D4A">
        <w:rPr>
          <w:rFonts w:ascii="Times New Roman" w:hAnsi="Times New Roman"/>
          <w:color w:val="333333"/>
          <w:kern w:val="0"/>
          <w:sz w:val="18"/>
          <w:szCs w:val="18"/>
        </w:rPr>
        <w:t>180</w:t>
      </w:r>
      <w:r w:rsidRPr="00CD4D4A">
        <w:rPr>
          <w:rFonts w:ascii="Times New Roman" w:hAnsi="Times New Roman" w:hint="eastAsia"/>
          <w:color w:val="333333"/>
          <w:kern w:val="0"/>
          <w:sz w:val="18"/>
          <w:szCs w:val="18"/>
        </w:rPr>
        <w:t>亿元。全年共发生森林火灾</w:t>
      </w:r>
      <w:r w:rsidRPr="00CD4D4A">
        <w:rPr>
          <w:rFonts w:ascii="Times New Roman" w:hAnsi="Times New Roman"/>
          <w:color w:val="333333"/>
          <w:kern w:val="0"/>
          <w:sz w:val="18"/>
          <w:szCs w:val="18"/>
        </w:rPr>
        <w:t>2936</w:t>
      </w:r>
      <w:r w:rsidRPr="00CD4D4A">
        <w:rPr>
          <w:rFonts w:ascii="Times New Roman" w:hAnsi="Times New Roman" w:hint="eastAsia"/>
          <w:color w:val="333333"/>
          <w:kern w:val="0"/>
          <w:sz w:val="18"/>
          <w:szCs w:val="18"/>
        </w:rPr>
        <w:t>起，森林火灾受害森林面积</w:t>
      </w:r>
      <w:r w:rsidRPr="00CD4D4A">
        <w:rPr>
          <w:rFonts w:ascii="Times New Roman" w:hAnsi="Times New Roman"/>
          <w:color w:val="333333"/>
          <w:kern w:val="0"/>
          <w:sz w:val="18"/>
          <w:szCs w:val="18"/>
        </w:rPr>
        <w:t>1.3</w:t>
      </w:r>
      <w:r w:rsidRPr="00CD4D4A">
        <w:rPr>
          <w:rFonts w:ascii="Times New Roman" w:hAnsi="Times New Roman" w:hint="eastAsia"/>
          <w:color w:val="333333"/>
          <w:kern w:val="0"/>
          <w:sz w:val="18"/>
          <w:szCs w:val="18"/>
        </w:rPr>
        <w:t>万公顷。</w:t>
      </w:r>
    </w:p>
    <w:p w:rsidR="009271D0" w:rsidRPr="00CD4D4A" w:rsidRDefault="009271D0" w:rsidP="00CD4D4A">
      <w:pPr>
        <w:widowControl/>
        <w:rPr>
          <w:rFonts w:ascii="Times New Roman" w:hAnsi="Times New Roman"/>
          <w:color w:val="333333"/>
          <w:kern w:val="0"/>
          <w:sz w:val="18"/>
          <w:szCs w:val="18"/>
        </w:rPr>
      </w:pPr>
      <w:r w:rsidRPr="00CD4D4A">
        <w:rPr>
          <w:rFonts w:ascii="Times New Roman" w:hAnsi="Times New Roman" w:hint="eastAsia"/>
          <w:color w:val="333333"/>
          <w:kern w:val="0"/>
          <w:sz w:val="18"/>
          <w:szCs w:val="18"/>
        </w:rPr>
        <w:t>全年各类生产安全事故共死亡</w:t>
      </w:r>
      <w:r w:rsidRPr="00CD4D4A">
        <w:rPr>
          <w:rFonts w:ascii="Times New Roman" w:hAnsi="Times New Roman"/>
          <w:color w:val="333333"/>
          <w:kern w:val="0"/>
          <w:sz w:val="18"/>
          <w:szCs w:val="18"/>
        </w:rPr>
        <w:t>66182</w:t>
      </w:r>
      <w:r w:rsidRPr="00CD4D4A">
        <w:rPr>
          <w:rFonts w:ascii="Times New Roman" w:hAnsi="Times New Roman" w:hint="eastAsia"/>
          <w:color w:val="333333"/>
          <w:kern w:val="0"/>
          <w:sz w:val="18"/>
          <w:szCs w:val="18"/>
        </w:rPr>
        <w:t>人。亿元国内生产总值生产安全事故死亡人数</w:t>
      </w:r>
      <w:r w:rsidRPr="00CD4D4A">
        <w:rPr>
          <w:rFonts w:ascii="Times New Roman" w:hAnsi="Times New Roman"/>
          <w:color w:val="333333"/>
          <w:kern w:val="0"/>
          <w:sz w:val="18"/>
          <w:szCs w:val="18"/>
        </w:rPr>
        <w:t>0.098</w:t>
      </w:r>
      <w:r w:rsidRPr="00CD4D4A">
        <w:rPr>
          <w:rFonts w:ascii="Times New Roman" w:hAnsi="Times New Roman" w:hint="eastAsia"/>
          <w:color w:val="333333"/>
          <w:kern w:val="0"/>
          <w:sz w:val="18"/>
          <w:szCs w:val="18"/>
        </w:rPr>
        <w:t>人，比上年下降</w:t>
      </w:r>
      <w:r w:rsidRPr="00CD4D4A">
        <w:rPr>
          <w:rFonts w:ascii="Times New Roman" w:hAnsi="Times New Roman"/>
          <w:color w:val="333333"/>
          <w:kern w:val="0"/>
          <w:sz w:val="18"/>
          <w:szCs w:val="18"/>
        </w:rPr>
        <w:t>8.4%</w:t>
      </w:r>
      <w:r w:rsidRPr="00CD4D4A">
        <w:rPr>
          <w:rFonts w:ascii="Times New Roman" w:hAnsi="Times New Roman" w:hint="eastAsia"/>
          <w:color w:val="333333"/>
          <w:kern w:val="0"/>
          <w:sz w:val="18"/>
          <w:szCs w:val="18"/>
        </w:rPr>
        <w:t>；工矿商贸企业就业人员</w:t>
      </w:r>
      <w:r w:rsidRPr="00CD4D4A">
        <w:rPr>
          <w:rFonts w:ascii="Times New Roman" w:hAnsi="Times New Roman"/>
          <w:color w:val="333333"/>
          <w:kern w:val="0"/>
          <w:sz w:val="18"/>
          <w:szCs w:val="18"/>
        </w:rPr>
        <w:t>10</w:t>
      </w:r>
      <w:r w:rsidRPr="00CD4D4A">
        <w:rPr>
          <w:rFonts w:ascii="Times New Roman" w:hAnsi="Times New Roman" w:hint="eastAsia"/>
          <w:color w:val="333333"/>
          <w:kern w:val="0"/>
          <w:sz w:val="18"/>
          <w:szCs w:val="18"/>
        </w:rPr>
        <w:t>万人生产安全事故死亡人数</w:t>
      </w:r>
      <w:r w:rsidRPr="00CD4D4A">
        <w:rPr>
          <w:rFonts w:ascii="Times New Roman" w:hAnsi="Times New Roman"/>
          <w:color w:val="333333"/>
          <w:kern w:val="0"/>
          <w:sz w:val="18"/>
          <w:szCs w:val="18"/>
        </w:rPr>
        <w:t>1.071</w:t>
      </w:r>
      <w:r w:rsidRPr="00CD4D4A">
        <w:rPr>
          <w:rFonts w:ascii="Times New Roman" w:hAnsi="Times New Roman" w:hint="eastAsia"/>
          <w:color w:val="333333"/>
          <w:kern w:val="0"/>
          <w:sz w:val="18"/>
          <w:szCs w:val="18"/>
        </w:rPr>
        <w:t>人，下降</w:t>
      </w:r>
      <w:r w:rsidRPr="00CD4D4A">
        <w:rPr>
          <w:rFonts w:ascii="Times New Roman" w:hAnsi="Times New Roman"/>
          <w:color w:val="333333"/>
          <w:kern w:val="0"/>
          <w:sz w:val="18"/>
          <w:szCs w:val="18"/>
        </w:rPr>
        <w:t>19.4%</w:t>
      </w:r>
      <w:r w:rsidRPr="00CD4D4A">
        <w:rPr>
          <w:rFonts w:ascii="Times New Roman" w:hAnsi="Times New Roman" w:hint="eastAsia"/>
          <w:color w:val="333333"/>
          <w:kern w:val="0"/>
          <w:sz w:val="18"/>
          <w:szCs w:val="18"/>
        </w:rPr>
        <w:t>；道路交通事故万车死亡人数</w:t>
      </w:r>
      <w:r w:rsidRPr="00CD4D4A">
        <w:rPr>
          <w:rFonts w:ascii="Times New Roman" w:hAnsi="Times New Roman"/>
          <w:color w:val="333333"/>
          <w:kern w:val="0"/>
          <w:sz w:val="18"/>
          <w:szCs w:val="18"/>
        </w:rPr>
        <w:t>2.1</w:t>
      </w:r>
      <w:r w:rsidRPr="00CD4D4A">
        <w:rPr>
          <w:rFonts w:ascii="Times New Roman" w:hAnsi="Times New Roman" w:hint="eastAsia"/>
          <w:color w:val="333333"/>
          <w:kern w:val="0"/>
          <w:sz w:val="18"/>
          <w:szCs w:val="18"/>
        </w:rPr>
        <w:t>人，下降</w:t>
      </w:r>
      <w:r w:rsidRPr="00CD4D4A">
        <w:rPr>
          <w:rFonts w:ascii="Times New Roman" w:hAnsi="Times New Roman"/>
          <w:color w:val="333333"/>
          <w:kern w:val="0"/>
          <w:sz w:val="18"/>
          <w:szCs w:val="18"/>
        </w:rPr>
        <w:t>4.5%</w:t>
      </w:r>
      <w:r w:rsidRPr="00CD4D4A">
        <w:rPr>
          <w:rFonts w:ascii="Times New Roman" w:hAnsi="Times New Roman" w:hint="eastAsia"/>
          <w:color w:val="333333"/>
          <w:kern w:val="0"/>
          <w:sz w:val="18"/>
          <w:szCs w:val="18"/>
        </w:rPr>
        <w:t>；煤矿百万吨死亡人数</w:t>
      </w:r>
      <w:r w:rsidRPr="00CD4D4A">
        <w:rPr>
          <w:rFonts w:ascii="Times New Roman" w:hAnsi="Times New Roman"/>
          <w:color w:val="333333"/>
          <w:kern w:val="0"/>
          <w:sz w:val="18"/>
          <w:szCs w:val="18"/>
        </w:rPr>
        <w:t>0.162</w:t>
      </w:r>
      <w:r w:rsidRPr="00CD4D4A">
        <w:rPr>
          <w:rFonts w:ascii="Times New Roman" w:hAnsi="Times New Roman" w:hint="eastAsia"/>
          <w:color w:val="333333"/>
          <w:kern w:val="0"/>
          <w:sz w:val="18"/>
          <w:szCs w:val="18"/>
        </w:rPr>
        <w:t>人，下降</w:t>
      </w:r>
      <w:r w:rsidRPr="00CD4D4A">
        <w:rPr>
          <w:rFonts w:ascii="Times New Roman" w:hAnsi="Times New Roman"/>
          <w:color w:val="333333"/>
          <w:kern w:val="0"/>
          <w:sz w:val="18"/>
          <w:szCs w:val="18"/>
        </w:rPr>
        <w:t>36.5%</w:t>
      </w:r>
      <w:r w:rsidRPr="00CD4D4A">
        <w:rPr>
          <w:rFonts w:ascii="Times New Roman" w:hAnsi="Times New Roman" w:hint="eastAsia"/>
          <w:color w:val="333333"/>
          <w:kern w:val="0"/>
          <w:sz w:val="18"/>
          <w:szCs w:val="18"/>
        </w:rPr>
        <w:t>。</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hint="eastAsia"/>
          <w:b/>
          <w:bCs/>
          <w:color w:val="333333"/>
          <w:kern w:val="0"/>
          <w:sz w:val="18"/>
          <w:szCs w:val="18"/>
          <w:bdr w:val="none" w:sz="0" w:space="0" w:color="auto" w:frame="1"/>
        </w:rPr>
        <w:t>注释：</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w:t>
      </w:r>
      <w:r w:rsidRPr="00CD4D4A">
        <w:rPr>
          <w:rFonts w:ascii="Times New Roman" w:eastAsia="楷体" w:hAnsi="Times New Roman" w:hint="eastAsia"/>
          <w:color w:val="333333"/>
          <w:kern w:val="0"/>
          <w:sz w:val="18"/>
          <w:szCs w:val="18"/>
        </w:rPr>
        <w:t>本公报中数据均为初步统计数。各项统计数据均未包括香港特别行政区、澳门特别行政区和台湾省。部分数据因四舍五入的原因，存在着与分项合计不等的情况。</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w:t>
      </w:r>
      <w:r w:rsidRPr="00CD4D4A">
        <w:rPr>
          <w:rFonts w:ascii="Times New Roman" w:eastAsia="楷体" w:hAnsi="Times New Roman" w:hint="eastAsia"/>
          <w:color w:val="333333"/>
          <w:kern w:val="0"/>
          <w:sz w:val="18"/>
          <w:szCs w:val="18"/>
        </w:rPr>
        <w:t>国内生产总值、各产业增加值和人均国内生产总值绝对数按现价计算，增长速度按不变价格计算。</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w:t>
      </w:r>
      <w:r w:rsidRPr="00CD4D4A">
        <w:rPr>
          <w:rFonts w:ascii="Times New Roman" w:eastAsia="楷体" w:hAnsi="Times New Roman" w:hint="eastAsia"/>
          <w:color w:val="333333"/>
          <w:kern w:val="0"/>
          <w:sz w:val="18"/>
          <w:szCs w:val="18"/>
        </w:rPr>
        <w:t>国民总收入，原称国民生产总值，是指一个国家或地区所有常住单位在一定时期内所获得的初次分配收入总额。它等于国内生产总值加上来自国外的净要素收入。</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w:t>
      </w:r>
      <w:r w:rsidRPr="00CD4D4A">
        <w:rPr>
          <w:rFonts w:ascii="Times New Roman" w:eastAsia="楷体" w:hAnsi="Times New Roman" w:hint="eastAsia"/>
          <w:color w:val="333333"/>
          <w:kern w:val="0"/>
          <w:sz w:val="18"/>
          <w:szCs w:val="18"/>
        </w:rPr>
        <w:t>人户分离的人口是指居住地与户口登记地所在的乡镇街道不一致且离开户口登记地半年及以上的人口。</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[5]</w:t>
      </w:r>
      <w:r w:rsidRPr="00CD4D4A">
        <w:rPr>
          <w:rFonts w:ascii="Times New Roman" w:eastAsia="楷体" w:hAnsi="Times New Roman" w:hint="eastAsia"/>
          <w:color w:val="333333"/>
          <w:kern w:val="0"/>
          <w:sz w:val="18"/>
          <w:szCs w:val="18"/>
        </w:rPr>
        <w:t>流动人口是指人户分离人口中扣除市辖区内人户分离的人口。市辖区内人户分离的人口是指一个直辖市或地级市所辖区内和区与区之间，居住地和户口登记地不在同一乡镇街道的人口。</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[6]2015</w:t>
      </w:r>
      <w:r w:rsidRPr="00CD4D4A">
        <w:rPr>
          <w:rFonts w:ascii="Times New Roman" w:eastAsia="楷体" w:hAnsi="Times New Roman" w:hint="eastAsia"/>
          <w:color w:val="333333"/>
          <w:kern w:val="0"/>
          <w:sz w:val="18"/>
          <w:szCs w:val="18"/>
        </w:rPr>
        <w:t>年年末，</w:t>
      </w:r>
      <w:r w:rsidRPr="00CD4D4A">
        <w:rPr>
          <w:rFonts w:ascii="Times New Roman" w:eastAsia="楷体" w:hAnsi="Times New Roman"/>
          <w:color w:val="333333"/>
          <w:kern w:val="0"/>
          <w:sz w:val="18"/>
          <w:szCs w:val="18"/>
        </w:rPr>
        <w:t>0-14</w:t>
      </w:r>
      <w:r w:rsidRPr="00CD4D4A">
        <w:rPr>
          <w:rFonts w:ascii="Times New Roman" w:eastAsia="楷体" w:hAnsi="Times New Roman" w:hint="eastAsia"/>
          <w:color w:val="333333"/>
          <w:kern w:val="0"/>
          <w:sz w:val="18"/>
          <w:szCs w:val="18"/>
        </w:rPr>
        <w:t>岁（含不满</w:t>
      </w:r>
      <w:r w:rsidRPr="00CD4D4A">
        <w:rPr>
          <w:rFonts w:ascii="Times New Roman" w:eastAsia="楷体" w:hAnsi="Times New Roman"/>
          <w:color w:val="333333"/>
          <w:kern w:val="0"/>
          <w:sz w:val="18"/>
          <w:szCs w:val="18"/>
        </w:rPr>
        <w:t>15</w:t>
      </w:r>
      <w:r w:rsidRPr="00CD4D4A">
        <w:rPr>
          <w:rFonts w:ascii="Times New Roman" w:eastAsia="楷体" w:hAnsi="Times New Roman" w:hint="eastAsia"/>
          <w:color w:val="333333"/>
          <w:kern w:val="0"/>
          <w:sz w:val="18"/>
          <w:szCs w:val="18"/>
        </w:rPr>
        <w:t>周岁）人口为</w:t>
      </w:r>
      <w:r w:rsidRPr="00CD4D4A">
        <w:rPr>
          <w:rFonts w:ascii="Times New Roman" w:eastAsia="楷体" w:hAnsi="Times New Roman"/>
          <w:color w:val="333333"/>
          <w:kern w:val="0"/>
          <w:sz w:val="18"/>
          <w:szCs w:val="18"/>
        </w:rPr>
        <w:t>22715</w:t>
      </w:r>
      <w:r w:rsidRPr="00CD4D4A">
        <w:rPr>
          <w:rFonts w:ascii="Times New Roman" w:eastAsia="楷体" w:hAnsi="Times New Roman" w:hint="eastAsia"/>
          <w:color w:val="333333"/>
          <w:kern w:val="0"/>
          <w:sz w:val="18"/>
          <w:szCs w:val="18"/>
        </w:rPr>
        <w:t>万人，</w:t>
      </w:r>
      <w:r w:rsidRPr="00CD4D4A">
        <w:rPr>
          <w:rFonts w:ascii="Times New Roman" w:eastAsia="楷体" w:hAnsi="Times New Roman"/>
          <w:color w:val="333333"/>
          <w:kern w:val="0"/>
          <w:sz w:val="18"/>
          <w:szCs w:val="18"/>
        </w:rPr>
        <w:t>15-59</w:t>
      </w:r>
      <w:r w:rsidRPr="00CD4D4A">
        <w:rPr>
          <w:rFonts w:ascii="Times New Roman" w:eastAsia="楷体" w:hAnsi="Times New Roman" w:hint="eastAsia"/>
          <w:color w:val="333333"/>
          <w:kern w:val="0"/>
          <w:sz w:val="18"/>
          <w:szCs w:val="18"/>
        </w:rPr>
        <w:t>岁（含不满</w:t>
      </w:r>
      <w:r w:rsidRPr="00CD4D4A">
        <w:rPr>
          <w:rFonts w:ascii="Times New Roman" w:eastAsia="楷体" w:hAnsi="Times New Roman"/>
          <w:color w:val="333333"/>
          <w:kern w:val="0"/>
          <w:sz w:val="18"/>
          <w:szCs w:val="18"/>
        </w:rPr>
        <w:t>60</w:t>
      </w:r>
      <w:r w:rsidRPr="00CD4D4A">
        <w:rPr>
          <w:rFonts w:ascii="Times New Roman" w:eastAsia="楷体" w:hAnsi="Times New Roman" w:hint="eastAsia"/>
          <w:color w:val="333333"/>
          <w:kern w:val="0"/>
          <w:sz w:val="18"/>
          <w:szCs w:val="18"/>
        </w:rPr>
        <w:t>周岁）人口为</w:t>
      </w:r>
      <w:r w:rsidRPr="00CD4D4A">
        <w:rPr>
          <w:rFonts w:ascii="Times New Roman" w:eastAsia="楷体" w:hAnsi="Times New Roman"/>
          <w:color w:val="333333"/>
          <w:kern w:val="0"/>
          <w:sz w:val="18"/>
          <w:szCs w:val="18"/>
        </w:rPr>
        <w:t>92547</w:t>
      </w:r>
      <w:r w:rsidRPr="00CD4D4A">
        <w:rPr>
          <w:rFonts w:ascii="Times New Roman" w:eastAsia="楷体" w:hAnsi="Times New Roman" w:hint="eastAsia"/>
          <w:color w:val="333333"/>
          <w:kern w:val="0"/>
          <w:sz w:val="18"/>
          <w:szCs w:val="18"/>
        </w:rPr>
        <w:t>万人。</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[7]</w:t>
      </w:r>
      <w:r w:rsidRPr="00CD4D4A">
        <w:rPr>
          <w:rFonts w:ascii="Times New Roman" w:eastAsia="楷体" w:hAnsi="Times New Roman" w:hint="eastAsia"/>
          <w:color w:val="333333"/>
          <w:kern w:val="0"/>
          <w:sz w:val="18"/>
          <w:szCs w:val="18"/>
        </w:rPr>
        <w:t>年度农民工数量包括年内在本乡镇以外从业</w:t>
      </w:r>
      <w:r w:rsidRPr="00CD4D4A">
        <w:rPr>
          <w:rFonts w:ascii="Times New Roman" w:eastAsia="楷体" w:hAnsi="Times New Roman"/>
          <w:color w:val="333333"/>
          <w:kern w:val="0"/>
          <w:sz w:val="18"/>
          <w:szCs w:val="18"/>
        </w:rPr>
        <w:t>6</w:t>
      </w:r>
      <w:r w:rsidRPr="00CD4D4A">
        <w:rPr>
          <w:rFonts w:ascii="Times New Roman" w:eastAsia="楷体" w:hAnsi="Times New Roman" w:hint="eastAsia"/>
          <w:color w:val="333333"/>
          <w:kern w:val="0"/>
          <w:sz w:val="18"/>
          <w:szCs w:val="18"/>
        </w:rPr>
        <w:t>个月及以上的外出农民工和在本乡镇内从事非农产业</w:t>
      </w:r>
      <w:r w:rsidRPr="00CD4D4A">
        <w:rPr>
          <w:rFonts w:ascii="Times New Roman" w:eastAsia="楷体" w:hAnsi="Times New Roman"/>
          <w:color w:val="333333"/>
          <w:kern w:val="0"/>
          <w:sz w:val="18"/>
          <w:szCs w:val="18"/>
        </w:rPr>
        <w:t>6</w:t>
      </w:r>
      <w:r w:rsidRPr="00CD4D4A">
        <w:rPr>
          <w:rFonts w:ascii="Times New Roman" w:eastAsia="楷体" w:hAnsi="Times New Roman" w:hint="eastAsia"/>
          <w:color w:val="333333"/>
          <w:kern w:val="0"/>
          <w:sz w:val="18"/>
          <w:szCs w:val="18"/>
        </w:rPr>
        <w:t>个月及以上的本地农民工两部分。</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[8]</w:t>
      </w:r>
      <w:r w:rsidRPr="00CD4D4A">
        <w:rPr>
          <w:rFonts w:ascii="Times New Roman" w:eastAsia="楷体" w:hAnsi="Times New Roman" w:hint="eastAsia"/>
          <w:color w:val="333333"/>
          <w:kern w:val="0"/>
          <w:sz w:val="18"/>
          <w:szCs w:val="18"/>
        </w:rPr>
        <w:t>全员劳动生产率为国内生产总值（以</w:t>
      </w:r>
      <w:r w:rsidRPr="00CD4D4A">
        <w:rPr>
          <w:rFonts w:ascii="Times New Roman" w:eastAsia="楷体" w:hAnsi="Times New Roman"/>
          <w:color w:val="333333"/>
          <w:kern w:val="0"/>
          <w:sz w:val="18"/>
          <w:szCs w:val="18"/>
        </w:rPr>
        <w:t>2010</w:t>
      </w:r>
      <w:r w:rsidRPr="00CD4D4A">
        <w:rPr>
          <w:rFonts w:ascii="Times New Roman" w:eastAsia="楷体" w:hAnsi="Times New Roman" w:hint="eastAsia"/>
          <w:color w:val="333333"/>
          <w:kern w:val="0"/>
          <w:sz w:val="18"/>
          <w:szCs w:val="18"/>
        </w:rPr>
        <w:t>年价格计算）与全部就业人员的比率。</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[9]</w:t>
      </w:r>
      <w:r w:rsidRPr="00CD4D4A">
        <w:rPr>
          <w:rFonts w:ascii="Times New Roman" w:eastAsia="楷体" w:hAnsi="Times New Roman" w:hint="eastAsia"/>
          <w:color w:val="333333"/>
          <w:kern w:val="0"/>
          <w:sz w:val="18"/>
          <w:szCs w:val="18"/>
        </w:rPr>
        <w:t>农产品生产者价格是指农产品生产者直接出售其产品时的价格。</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[10]</w:t>
      </w:r>
      <w:r w:rsidRPr="00CD4D4A">
        <w:rPr>
          <w:rFonts w:ascii="Times New Roman" w:eastAsia="楷体" w:hAnsi="Times New Roman" w:hint="eastAsia"/>
          <w:color w:val="333333"/>
          <w:kern w:val="0"/>
          <w:sz w:val="18"/>
          <w:szCs w:val="18"/>
        </w:rPr>
        <w:t>居住类价格包括建房及装修材料、住房租金、自有住房和水电燃料等价格。</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[11]</w:t>
      </w:r>
      <w:r w:rsidRPr="00CD4D4A">
        <w:rPr>
          <w:rFonts w:ascii="Times New Roman" w:eastAsia="楷体" w:hAnsi="Times New Roman" w:hint="eastAsia"/>
          <w:color w:val="333333"/>
          <w:kern w:val="0"/>
          <w:sz w:val="18"/>
          <w:szCs w:val="18"/>
        </w:rPr>
        <w:t>按照完善政府预算体系的要求，</w:t>
      </w:r>
      <w:r w:rsidRPr="00CD4D4A">
        <w:rPr>
          <w:rFonts w:ascii="Times New Roman" w:eastAsia="楷体" w:hAnsi="Times New Roman"/>
          <w:color w:val="333333"/>
          <w:kern w:val="0"/>
          <w:sz w:val="18"/>
          <w:szCs w:val="18"/>
        </w:rPr>
        <w:t>2015</w:t>
      </w:r>
      <w:r w:rsidRPr="00CD4D4A">
        <w:rPr>
          <w:rFonts w:ascii="Times New Roman" w:eastAsia="楷体" w:hAnsi="Times New Roman" w:hint="eastAsia"/>
          <w:color w:val="333333"/>
          <w:kern w:val="0"/>
          <w:sz w:val="18"/>
          <w:szCs w:val="18"/>
        </w:rPr>
        <w:t>年将政府性基金中用于提供基本公共服务以及主要用于人员和机构运转等方面的</w:t>
      </w:r>
      <w:r w:rsidRPr="00CD4D4A">
        <w:rPr>
          <w:rFonts w:ascii="Times New Roman" w:eastAsia="楷体" w:hAnsi="Times New Roman"/>
          <w:color w:val="333333"/>
          <w:kern w:val="0"/>
          <w:sz w:val="18"/>
          <w:szCs w:val="18"/>
        </w:rPr>
        <w:t>11</w:t>
      </w:r>
      <w:r w:rsidRPr="00CD4D4A">
        <w:rPr>
          <w:rFonts w:ascii="Times New Roman" w:eastAsia="楷体" w:hAnsi="Times New Roman" w:hint="eastAsia"/>
          <w:color w:val="333333"/>
          <w:kern w:val="0"/>
          <w:sz w:val="18"/>
          <w:szCs w:val="18"/>
        </w:rPr>
        <w:t>项基金转列一般公共预算。为此，需扣除</w:t>
      </w:r>
      <w:r w:rsidRPr="00CD4D4A">
        <w:rPr>
          <w:rFonts w:ascii="Times New Roman" w:eastAsia="楷体" w:hAnsi="Times New Roman"/>
          <w:color w:val="333333"/>
          <w:kern w:val="0"/>
          <w:sz w:val="18"/>
          <w:szCs w:val="18"/>
        </w:rPr>
        <w:t>11</w:t>
      </w:r>
      <w:r w:rsidRPr="00CD4D4A">
        <w:rPr>
          <w:rFonts w:ascii="Times New Roman" w:eastAsia="楷体" w:hAnsi="Times New Roman" w:hint="eastAsia"/>
          <w:color w:val="333333"/>
          <w:kern w:val="0"/>
          <w:sz w:val="18"/>
          <w:szCs w:val="18"/>
        </w:rPr>
        <w:t>项政府性基金转列一般公共预算影响，计算同口径增幅。</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[12]</w:t>
      </w:r>
      <w:r w:rsidRPr="00CD4D4A">
        <w:rPr>
          <w:rFonts w:ascii="Times New Roman" w:eastAsia="楷体" w:hAnsi="Times New Roman" w:hint="eastAsia"/>
          <w:color w:val="333333"/>
          <w:kern w:val="0"/>
          <w:sz w:val="18"/>
          <w:szCs w:val="18"/>
        </w:rPr>
        <w:t>六大高耗能行业包括石油加工、炼焦和核燃料加工业，化学原料和化学制品制造业，非金属矿物制品业，</w:t>
      </w:r>
      <w:r w:rsidRPr="00CD4D4A">
        <w:rPr>
          <w:rFonts w:ascii="Times New Roman" w:eastAsia="楷体" w:hAnsi="Times New Roman"/>
          <w:color w:val="333333"/>
          <w:kern w:val="0"/>
          <w:sz w:val="18"/>
          <w:szCs w:val="18"/>
        </w:rPr>
        <w:t xml:space="preserve"> </w:t>
      </w:r>
      <w:r w:rsidRPr="00CD4D4A">
        <w:rPr>
          <w:rFonts w:ascii="Times New Roman" w:eastAsia="楷体" w:hAnsi="Times New Roman" w:hint="eastAsia"/>
          <w:color w:val="333333"/>
          <w:kern w:val="0"/>
          <w:sz w:val="18"/>
          <w:szCs w:val="18"/>
        </w:rPr>
        <w:t>黑色金属冶炼和压延加工业，有色金属冶炼和压延加工业，电力、热力生产和供应业。</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[13]</w:t>
      </w:r>
      <w:r w:rsidRPr="00CD4D4A">
        <w:rPr>
          <w:rFonts w:ascii="Times New Roman" w:eastAsia="楷体" w:hAnsi="Times New Roman" w:hint="eastAsia"/>
          <w:color w:val="333333"/>
          <w:kern w:val="0"/>
          <w:sz w:val="18"/>
          <w:szCs w:val="18"/>
        </w:rPr>
        <w:t>高技术制造业包括医药制造业，航空、航天器及设备制造业，电子及通信设备制造业，计算机及办公设备制造业，医疗仪器设备及仪器仪表制造业，信息化学品制造业。</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[14]</w:t>
      </w:r>
      <w:r w:rsidRPr="00CD4D4A">
        <w:rPr>
          <w:rFonts w:ascii="Times New Roman" w:eastAsia="楷体" w:hAnsi="Times New Roman" w:hint="eastAsia"/>
          <w:color w:val="333333"/>
          <w:kern w:val="0"/>
          <w:sz w:val="18"/>
          <w:szCs w:val="18"/>
        </w:rPr>
        <w:t>装备制造业包括金属制品业，通用设备制造业，专用设备制造业，汽车制造业，铁路、船舶、航空航天和其他运输设备制造业，电气机械和器材制造业，计算机、通信和其他电子设备制造业，仪器仪表制造业。</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[15]</w:t>
      </w:r>
      <w:r w:rsidRPr="00CD4D4A">
        <w:rPr>
          <w:rFonts w:ascii="Times New Roman" w:eastAsia="楷体" w:hAnsi="Times New Roman" w:hint="eastAsia"/>
          <w:color w:val="333333"/>
          <w:kern w:val="0"/>
          <w:sz w:val="18"/>
          <w:szCs w:val="18"/>
        </w:rPr>
        <w:t>天然气包括气田天然气、油田天然气（分为油田气层气、油田伴生溶解气）和煤田天然气（也称煤层气）。</w:t>
      </w:r>
      <w:bookmarkStart w:id="0" w:name="_GoBack"/>
      <w:bookmarkEnd w:id="0"/>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[16]</w:t>
      </w:r>
      <w:r w:rsidRPr="00CD4D4A">
        <w:rPr>
          <w:rFonts w:ascii="Times New Roman" w:eastAsia="楷体" w:hAnsi="Times New Roman" w:hint="eastAsia"/>
          <w:color w:val="333333"/>
          <w:kern w:val="0"/>
          <w:sz w:val="18"/>
          <w:szCs w:val="18"/>
        </w:rPr>
        <w:t>钢材产量数据中含企业之间重复加工钢材约</w:t>
      </w:r>
      <w:r w:rsidRPr="00CD4D4A">
        <w:rPr>
          <w:rFonts w:ascii="Times New Roman" w:eastAsia="楷体" w:hAnsi="Times New Roman"/>
          <w:color w:val="333333"/>
          <w:kern w:val="0"/>
          <w:sz w:val="18"/>
          <w:szCs w:val="18"/>
        </w:rPr>
        <w:t>34400</w:t>
      </w:r>
      <w:r w:rsidRPr="00CD4D4A">
        <w:rPr>
          <w:rFonts w:ascii="Times New Roman" w:eastAsia="楷体" w:hAnsi="Times New Roman" w:hint="eastAsia"/>
          <w:color w:val="333333"/>
          <w:kern w:val="0"/>
          <w:sz w:val="18"/>
          <w:szCs w:val="18"/>
        </w:rPr>
        <w:t>万吨。</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[17]</w:t>
      </w:r>
      <w:r w:rsidRPr="00CD4D4A">
        <w:rPr>
          <w:rFonts w:ascii="Times New Roman" w:eastAsia="楷体" w:hAnsi="Times New Roman" w:hint="eastAsia"/>
          <w:color w:val="333333"/>
          <w:kern w:val="0"/>
          <w:sz w:val="18"/>
          <w:szCs w:val="18"/>
        </w:rPr>
        <w:t>少量发电装机容量（如地热等）文中未列出。</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[18]</w:t>
      </w:r>
      <w:r w:rsidRPr="00CD4D4A">
        <w:rPr>
          <w:rFonts w:ascii="Times New Roman" w:eastAsia="楷体" w:hAnsi="Times New Roman" w:hint="eastAsia"/>
          <w:color w:val="333333"/>
          <w:kern w:val="0"/>
          <w:sz w:val="18"/>
          <w:szCs w:val="18"/>
        </w:rPr>
        <w:t>固定资产投资按东部、中部、西部和东北地区计算的合计数据小于全国数据，是因为有部分跨地区的投资未计算在地区数据中。其中，东部地区是指北京、天津、河北、上海、江苏、浙江、福建、山东、广东和海南</w:t>
      </w:r>
      <w:r w:rsidRPr="00CD4D4A">
        <w:rPr>
          <w:rFonts w:ascii="Times New Roman" w:eastAsia="楷体" w:hAnsi="Times New Roman"/>
          <w:color w:val="333333"/>
          <w:kern w:val="0"/>
          <w:sz w:val="18"/>
          <w:szCs w:val="18"/>
        </w:rPr>
        <w:t>10</w:t>
      </w:r>
      <w:r w:rsidRPr="00CD4D4A">
        <w:rPr>
          <w:rFonts w:ascii="Times New Roman" w:eastAsia="楷体" w:hAnsi="Times New Roman" w:hint="eastAsia"/>
          <w:color w:val="333333"/>
          <w:kern w:val="0"/>
          <w:sz w:val="18"/>
          <w:szCs w:val="18"/>
        </w:rPr>
        <w:t>省（市）；中部地区是指山西、安徽、江西、河南、湖北和湖南</w:t>
      </w:r>
      <w:r w:rsidRPr="00CD4D4A">
        <w:rPr>
          <w:rFonts w:ascii="Times New Roman" w:eastAsia="楷体" w:hAnsi="Times New Roman"/>
          <w:color w:val="333333"/>
          <w:kern w:val="0"/>
          <w:sz w:val="18"/>
          <w:szCs w:val="18"/>
        </w:rPr>
        <w:t>6</w:t>
      </w:r>
      <w:r w:rsidRPr="00CD4D4A">
        <w:rPr>
          <w:rFonts w:ascii="Times New Roman" w:eastAsia="楷体" w:hAnsi="Times New Roman" w:hint="eastAsia"/>
          <w:color w:val="333333"/>
          <w:kern w:val="0"/>
          <w:sz w:val="18"/>
          <w:szCs w:val="18"/>
        </w:rPr>
        <w:t>省；西部地区是指内蒙古、广西、重庆、四川、贵州、云南、西藏、陕西、甘肃、青海、宁夏和新疆</w:t>
      </w:r>
      <w:r w:rsidRPr="00CD4D4A">
        <w:rPr>
          <w:rFonts w:ascii="Times New Roman" w:eastAsia="楷体" w:hAnsi="Times New Roman"/>
          <w:color w:val="333333"/>
          <w:kern w:val="0"/>
          <w:sz w:val="18"/>
          <w:szCs w:val="18"/>
        </w:rPr>
        <w:t>12</w:t>
      </w:r>
      <w:r w:rsidRPr="00CD4D4A">
        <w:rPr>
          <w:rFonts w:ascii="Times New Roman" w:eastAsia="楷体" w:hAnsi="Times New Roman" w:hint="eastAsia"/>
          <w:color w:val="333333"/>
          <w:kern w:val="0"/>
          <w:sz w:val="18"/>
          <w:szCs w:val="18"/>
        </w:rPr>
        <w:t>省（区、市）；东北地区是指辽宁、吉林和黑龙江</w:t>
      </w:r>
      <w:r w:rsidRPr="00CD4D4A">
        <w:rPr>
          <w:rFonts w:ascii="Times New Roman" w:eastAsia="楷体" w:hAnsi="Times New Roman"/>
          <w:color w:val="333333"/>
          <w:kern w:val="0"/>
          <w:sz w:val="18"/>
          <w:szCs w:val="18"/>
        </w:rPr>
        <w:t>3</w:t>
      </w:r>
      <w:r w:rsidRPr="00CD4D4A">
        <w:rPr>
          <w:rFonts w:ascii="Times New Roman" w:eastAsia="楷体" w:hAnsi="Times New Roman" w:hint="eastAsia"/>
          <w:color w:val="333333"/>
          <w:kern w:val="0"/>
          <w:sz w:val="18"/>
          <w:szCs w:val="18"/>
        </w:rPr>
        <w:t>省。</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[19]</w:t>
      </w:r>
      <w:r w:rsidRPr="00CD4D4A">
        <w:rPr>
          <w:rFonts w:ascii="Times New Roman" w:eastAsia="楷体" w:hAnsi="Times New Roman" w:hint="eastAsia"/>
          <w:color w:val="333333"/>
          <w:kern w:val="0"/>
          <w:sz w:val="18"/>
          <w:szCs w:val="18"/>
        </w:rPr>
        <w:t>基础设施投资是指建造或购置为社会生产和生活提供基础性、大众性服务的工程和设施的支出。本文中的基础设施投资包括交通运输、邮政业，电信、广播电视和卫星传输服务业，互联网和相关服务业，水利、环境和公共设施管理业投资。</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[20]</w:t>
      </w:r>
      <w:r w:rsidRPr="00CD4D4A">
        <w:rPr>
          <w:rFonts w:ascii="Times New Roman" w:eastAsia="楷体" w:hAnsi="Times New Roman" w:hint="eastAsia"/>
          <w:color w:val="333333"/>
          <w:kern w:val="0"/>
          <w:sz w:val="18"/>
          <w:szCs w:val="18"/>
        </w:rPr>
        <w:t>民间固定资产投资是指具有集体、私营、个人性质的内资企事业单位以及由其控股（包括绝对控股和相对控股）的企业单位建造或购置固定资产的投资。</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[21]</w:t>
      </w:r>
      <w:r w:rsidRPr="00CD4D4A">
        <w:rPr>
          <w:rFonts w:ascii="Times New Roman" w:eastAsia="楷体" w:hAnsi="Times New Roman" w:hint="eastAsia"/>
          <w:color w:val="333333"/>
          <w:kern w:val="0"/>
          <w:sz w:val="18"/>
          <w:szCs w:val="18"/>
        </w:rPr>
        <w:t>高技术产业投资包括医药制造、航空航天器及设备制造等六大类高技术制造业投资和信息服务、电子商务服务等九大类高技术服务业投资。</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[22]</w:t>
      </w:r>
      <w:r w:rsidRPr="00CD4D4A">
        <w:rPr>
          <w:rFonts w:ascii="Times New Roman" w:eastAsia="楷体" w:hAnsi="Times New Roman" w:hint="eastAsia"/>
          <w:color w:val="333333"/>
          <w:kern w:val="0"/>
          <w:sz w:val="18"/>
          <w:szCs w:val="18"/>
        </w:rPr>
        <w:t>房地产业投资除房地产开发投资外，还包括建设单位自建房屋以及物业管理、中介服务和其他房地产投资。</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[23]</w:t>
      </w:r>
      <w:r w:rsidRPr="00CD4D4A">
        <w:rPr>
          <w:rFonts w:ascii="Times New Roman" w:eastAsia="楷体" w:hAnsi="Times New Roman" w:hint="eastAsia"/>
          <w:color w:val="333333"/>
          <w:kern w:val="0"/>
          <w:sz w:val="18"/>
          <w:szCs w:val="18"/>
        </w:rPr>
        <w:t>高速铁路是指最高营运速度达到</w:t>
      </w:r>
      <w:r w:rsidRPr="00CD4D4A">
        <w:rPr>
          <w:rFonts w:ascii="Times New Roman" w:eastAsia="楷体" w:hAnsi="Times New Roman"/>
          <w:color w:val="333333"/>
          <w:kern w:val="0"/>
          <w:sz w:val="18"/>
          <w:szCs w:val="18"/>
        </w:rPr>
        <w:t>200</w:t>
      </w:r>
      <w:r w:rsidRPr="00CD4D4A">
        <w:rPr>
          <w:rFonts w:ascii="Times New Roman" w:eastAsia="楷体" w:hAnsi="Times New Roman" w:hint="eastAsia"/>
          <w:color w:val="333333"/>
          <w:kern w:val="0"/>
          <w:sz w:val="18"/>
          <w:szCs w:val="18"/>
        </w:rPr>
        <w:t>公里</w:t>
      </w:r>
      <w:r w:rsidRPr="00CD4D4A">
        <w:rPr>
          <w:rFonts w:ascii="Times New Roman" w:eastAsia="楷体" w:hAnsi="Times New Roman"/>
          <w:color w:val="333333"/>
          <w:kern w:val="0"/>
          <w:sz w:val="18"/>
          <w:szCs w:val="18"/>
        </w:rPr>
        <w:t>/</w:t>
      </w:r>
      <w:r w:rsidRPr="00CD4D4A">
        <w:rPr>
          <w:rFonts w:ascii="Times New Roman" w:eastAsia="楷体" w:hAnsi="Times New Roman" w:hint="eastAsia"/>
          <w:color w:val="333333"/>
          <w:kern w:val="0"/>
          <w:sz w:val="18"/>
          <w:szCs w:val="18"/>
        </w:rPr>
        <w:t>小时及以上的铁路。</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[24]</w:t>
      </w:r>
      <w:r w:rsidRPr="00CD4D4A">
        <w:rPr>
          <w:rFonts w:ascii="Times New Roman" w:eastAsia="楷体" w:hAnsi="Times New Roman" w:hint="eastAsia"/>
          <w:color w:val="333333"/>
          <w:kern w:val="0"/>
          <w:sz w:val="18"/>
          <w:szCs w:val="18"/>
        </w:rPr>
        <w:t>网上零售额是指通过公共网络交易平台（包括自建网站和第三方平台）实现的商品和服务零售额。其中，网上零售额包括的服务类商品，以及少部分用于生产经营用或被转卖的商品不统计在社会消费品零售总额中。</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[25]</w:t>
      </w:r>
      <w:r w:rsidRPr="00CD4D4A">
        <w:rPr>
          <w:rFonts w:ascii="Times New Roman" w:eastAsia="楷体" w:hAnsi="Times New Roman" w:hint="eastAsia"/>
          <w:color w:val="333333"/>
          <w:kern w:val="0"/>
          <w:sz w:val="18"/>
          <w:szCs w:val="18"/>
        </w:rPr>
        <w:t>货物贸易、吸收外资采用人民币计价。服务贸易、对外投资和对外承包工程由于技术原因仍主要沿用美元计价。</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[26]</w:t>
      </w:r>
      <w:r w:rsidRPr="00CD4D4A">
        <w:rPr>
          <w:rFonts w:ascii="Times New Roman" w:eastAsia="楷体" w:hAnsi="Times New Roman" w:hint="eastAsia"/>
          <w:color w:val="333333"/>
          <w:kern w:val="0"/>
          <w:sz w:val="18"/>
          <w:szCs w:val="18"/>
        </w:rPr>
        <w:t>服务进出口按照《国际收支手册（第六版）》标准统计，不含政府服务，增速按可比口径计算。</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[27]“</w:t>
      </w:r>
      <w:r w:rsidRPr="00CD4D4A">
        <w:rPr>
          <w:rFonts w:ascii="Times New Roman" w:eastAsia="楷体" w:hAnsi="Times New Roman" w:hint="eastAsia"/>
          <w:color w:val="333333"/>
          <w:kern w:val="0"/>
          <w:sz w:val="18"/>
          <w:szCs w:val="18"/>
        </w:rPr>
        <w:t>一带一路</w:t>
      </w:r>
      <w:r w:rsidRPr="00CD4D4A">
        <w:rPr>
          <w:rFonts w:ascii="Times New Roman" w:eastAsia="楷体" w:hAnsi="Times New Roman"/>
          <w:color w:val="333333"/>
          <w:kern w:val="0"/>
          <w:sz w:val="18"/>
          <w:szCs w:val="18"/>
        </w:rPr>
        <w:t>”</w:t>
      </w:r>
      <w:r w:rsidRPr="00CD4D4A">
        <w:rPr>
          <w:rFonts w:ascii="Times New Roman" w:eastAsia="楷体" w:hAnsi="Times New Roman" w:hint="eastAsia"/>
          <w:color w:val="333333"/>
          <w:kern w:val="0"/>
          <w:sz w:val="18"/>
          <w:szCs w:val="18"/>
        </w:rPr>
        <w:t>是指</w:t>
      </w:r>
      <w:r w:rsidRPr="00CD4D4A">
        <w:rPr>
          <w:rFonts w:ascii="Times New Roman" w:eastAsia="楷体" w:hAnsi="Times New Roman"/>
          <w:color w:val="333333"/>
          <w:kern w:val="0"/>
          <w:sz w:val="18"/>
          <w:szCs w:val="18"/>
        </w:rPr>
        <w:t>“</w:t>
      </w:r>
      <w:r w:rsidRPr="00CD4D4A">
        <w:rPr>
          <w:rFonts w:ascii="Times New Roman" w:eastAsia="楷体" w:hAnsi="Times New Roman" w:hint="eastAsia"/>
          <w:color w:val="333333"/>
          <w:kern w:val="0"/>
          <w:sz w:val="18"/>
          <w:szCs w:val="18"/>
        </w:rPr>
        <w:t>丝绸之路经济带</w:t>
      </w:r>
      <w:r w:rsidRPr="00CD4D4A">
        <w:rPr>
          <w:rFonts w:ascii="Times New Roman" w:eastAsia="楷体" w:hAnsi="Times New Roman"/>
          <w:color w:val="333333"/>
          <w:kern w:val="0"/>
          <w:sz w:val="18"/>
          <w:szCs w:val="18"/>
        </w:rPr>
        <w:t>”</w:t>
      </w:r>
      <w:r w:rsidRPr="00CD4D4A">
        <w:rPr>
          <w:rFonts w:ascii="Times New Roman" w:eastAsia="楷体" w:hAnsi="Times New Roman" w:hint="eastAsia"/>
          <w:color w:val="333333"/>
          <w:kern w:val="0"/>
          <w:sz w:val="18"/>
          <w:szCs w:val="18"/>
        </w:rPr>
        <w:t>和</w:t>
      </w:r>
      <w:r w:rsidRPr="00CD4D4A">
        <w:rPr>
          <w:rFonts w:ascii="Times New Roman" w:eastAsia="楷体" w:hAnsi="Times New Roman"/>
          <w:color w:val="333333"/>
          <w:kern w:val="0"/>
          <w:sz w:val="18"/>
          <w:szCs w:val="18"/>
        </w:rPr>
        <w:t>“21</w:t>
      </w:r>
      <w:r w:rsidRPr="00CD4D4A">
        <w:rPr>
          <w:rFonts w:ascii="Times New Roman" w:eastAsia="楷体" w:hAnsi="Times New Roman" w:hint="eastAsia"/>
          <w:color w:val="333333"/>
          <w:kern w:val="0"/>
          <w:sz w:val="18"/>
          <w:szCs w:val="18"/>
        </w:rPr>
        <w:t>世纪海上丝绸之路</w:t>
      </w:r>
      <w:r w:rsidRPr="00CD4D4A">
        <w:rPr>
          <w:rFonts w:ascii="Times New Roman" w:eastAsia="楷体" w:hAnsi="Times New Roman"/>
          <w:color w:val="333333"/>
          <w:kern w:val="0"/>
          <w:sz w:val="18"/>
          <w:szCs w:val="18"/>
        </w:rPr>
        <w:t>”</w:t>
      </w:r>
      <w:r w:rsidRPr="00CD4D4A">
        <w:rPr>
          <w:rFonts w:ascii="Times New Roman" w:eastAsia="楷体" w:hAnsi="Times New Roman" w:hint="eastAsia"/>
          <w:color w:val="333333"/>
          <w:kern w:val="0"/>
          <w:sz w:val="18"/>
          <w:szCs w:val="18"/>
        </w:rPr>
        <w:t>。</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[28]2015</w:t>
      </w:r>
      <w:r w:rsidRPr="00CD4D4A">
        <w:rPr>
          <w:rFonts w:ascii="Times New Roman" w:eastAsia="楷体" w:hAnsi="Times New Roman" w:hint="eastAsia"/>
          <w:color w:val="333333"/>
          <w:kern w:val="0"/>
          <w:sz w:val="18"/>
          <w:szCs w:val="18"/>
        </w:rPr>
        <w:t>年公路客货运量、周转量数据的核算方法和统计口径发生变化，增速按可比口径计算。</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[29]</w:t>
      </w:r>
      <w:r w:rsidRPr="00CD4D4A">
        <w:rPr>
          <w:rFonts w:ascii="Times New Roman" w:eastAsia="楷体" w:hAnsi="Times New Roman" w:hint="eastAsia"/>
          <w:color w:val="333333"/>
          <w:kern w:val="0"/>
          <w:sz w:val="18"/>
          <w:szCs w:val="18"/>
        </w:rPr>
        <w:t>邮电业务总量按</w:t>
      </w:r>
      <w:r w:rsidRPr="00CD4D4A">
        <w:rPr>
          <w:rFonts w:ascii="Times New Roman" w:eastAsia="楷体" w:hAnsi="Times New Roman"/>
          <w:color w:val="333333"/>
          <w:kern w:val="0"/>
          <w:sz w:val="18"/>
          <w:szCs w:val="18"/>
        </w:rPr>
        <w:t>2010</w:t>
      </w:r>
      <w:r w:rsidRPr="00CD4D4A">
        <w:rPr>
          <w:rFonts w:ascii="Times New Roman" w:eastAsia="楷体" w:hAnsi="Times New Roman" w:hint="eastAsia"/>
          <w:color w:val="333333"/>
          <w:kern w:val="0"/>
          <w:sz w:val="18"/>
          <w:szCs w:val="18"/>
        </w:rPr>
        <w:t>年价格计算。</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[30]</w:t>
      </w:r>
      <w:r w:rsidRPr="00CD4D4A">
        <w:rPr>
          <w:rFonts w:ascii="Times New Roman" w:eastAsia="楷体" w:hAnsi="Times New Roman" w:hint="eastAsia"/>
          <w:color w:val="333333"/>
          <w:kern w:val="0"/>
          <w:sz w:val="18"/>
          <w:szCs w:val="18"/>
        </w:rPr>
        <w:t>移动电话交换机容量是指移动电话交换机根据一定话务模型和交换机处理能力计算出来的最大同时服务用户的数量。</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[31]</w:t>
      </w:r>
      <w:r w:rsidRPr="00CD4D4A">
        <w:rPr>
          <w:rFonts w:ascii="Times New Roman" w:eastAsia="楷体" w:hAnsi="Times New Roman" w:hint="eastAsia"/>
          <w:color w:val="333333"/>
          <w:kern w:val="0"/>
          <w:sz w:val="18"/>
          <w:szCs w:val="18"/>
        </w:rPr>
        <w:t>固定互联网宽带接入用户是指报告期末在电信企业登记注册，通过</w:t>
      </w:r>
      <w:r w:rsidRPr="00CD4D4A">
        <w:rPr>
          <w:rFonts w:ascii="Times New Roman" w:eastAsia="楷体" w:hAnsi="Times New Roman"/>
          <w:color w:val="333333"/>
          <w:kern w:val="0"/>
          <w:sz w:val="18"/>
          <w:szCs w:val="18"/>
        </w:rPr>
        <w:t>xDSL</w:t>
      </w:r>
      <w:r w:rsidRPr="00CD4D4A">
        <w:rPr>
          <w:rFonts w:ascii="Times New Roman" w:eastAsia="楷体" w:hAnsi="Times New Roman" w:hint="eastAsia"/>
          <w:color w:val="333333"/>
          <w:kern w:val="0"/>
          <w:sz w:val="18"/>
          <w:szCs w:val="18"/>
        </w:rPr>
        <w:t>、</w:t>
      </w:r>
      <w:r w:rsidRPr="00CD4D4A">
        <w:rPr>
          <w:rFonts w:ascii="Times New Roman" w:eastAsia="楷体" w:hAnsi="Times New Roman"/>
          <w:color w:val="333333"/>
          <w:kern w:val="0"/>
          <w:sz w:val="18"/>
          <w:szCs w:val="18"/>
        </w:rPr>
        <w:t>FTTx+LAN</w:t>
      </w:r>
      <w:r w:rsidRPr="00CD4D4A">
        <w:rPr>
          <w:rFonts w:ascii="Times New Roman" w:eastAsia="楷体" w:hAnsi="Times New Roman" w:hint="eastAsia"/>
          <w:color w:val="333333"/>
          <w:kern w:val="0"/>
          <w:sz w:val="18"/>
          <w:szCs w:val="18"/>
        </w:rPr>
        <w:t>、</w:t>
      </w:r>
      <w:r w:rsidRPr="00CD4D4A">
        <w:rPr>
          <w:rFonts w:ascii="Times New Roman" w:eastAsia="楷体" w:hAnsi="Times New Roman"/>
          <w:color w:val="333333"/>
          <w:kern w:val="0"/>
          <w:sz w:val="18"/>
          <w:szCs w:val="18"/>
        </w:rPr>
        <w:t>FTTH/0</w:t>
      </w:r>
      <w:r w:rsidRPr="00CD4D4A">
        <w:rPr>
          <w:rFonts w:ascii="Times New Roman" w:eastAsia="楷体" w:hAnsi="Times New Roman" w:hint="eastAsia"/>
          <w:color w:val="333333"/>
          <w:kern w:val="0"/>
          <w:sz w:val="18"/>
          <w:szCs w:val="18"/>
        </w:rPr>
        <w:t>以及其他宽带接入方式和普通专线接入公众互联网的用户。</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[32]</w:t>
      </w:r>
      <w:r w:rsidRPr="00CD4D4A">
        <w:rPr>
          <w:rFonts w:ascii="Times New Roman" w:eastAsia="楷体" w:hAnsi="Times New Roman" w:hint="eastAsia"/>
          <w:color w:val="333333"/>
          <w:kern w:val="0"/>
          <w:sz w:val="18"/>
          <w:szCs w:val="18"/>
        </w:rPr>
        <w:t>移动宽带用户是指报告期末在计费系统拥有使用信息，占用</w:t>
      </w:r>
      <w:r w:rsidRPr="00CD4D4A">
        <w:rPr>
          <w:rFonts w:ascii="Times New Roman" w:eastAsia="楷体" w:hAnsi="Times New Roman"/>
          <w:color w:val="333333"/>
          <w:kern w:val="0"/>
          <w:sz w:val="18"/>
          <w:szCs w:val="18"/>
        </w:rPr>
        <w:t>3G</w:t>
      </w:r>
      <w:r w:rsidRPr="00CD4D4A">
        <w:rPr>
          <w:rFonts w:ascii="Times New Roman" w:eastAsia="楷体" w:hAnsi="Times New Roman" w:hint="eastAsia"/>
          <w:color w:val="333333"/>
          <w:kern w:val="0"/>
          <w:sz w:val="18"/>
          <w:szCs w:val="18"/>
        </w:rPr>
        <w:t>或</w:t>
      </w:r>
      <w:r w:rsidRPr="00CD4D4A">
        <w:rPr>
          <w:rFonts w:ascii="Times New Roman" w:eastAsia="楷体" w:hAnsi="Times New Roman"/>
          <w:color w:val="333333"/>
          <w:kern w:val="0"/>
          <w:sz w:val="18"/>
          <w:szCs w:val="18"/>
        </w:rPr>
        <w:t>4G</w:t>
      </w:r>
      <w:r w:rsidRPr="00CD4D4A">
        <w:rPr>
          <w:rFonts w:ascii="Times New Roman" w:eastAsia="楷体" w:hAnsi="Times New Roman" w:hint="eastAsia"/>
          <w:color w:val="333333"/>
          <w:kern w:val="0"/>
          <w:sz w:val="18"/>
          <w:szCs w:val="18"/>
        </w:rPr>
        <w:t>网络资源的在网用户。</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[33]</w:t>
      </w:r>
      <w:r w:rsidRPr="00CD4D4A">
        <w:rPr>
          <w:rFonts w:ascii="Times New Roman" w:eastAsia="楷体" w:hAnsi="Times New Roman" w:hint="eastAsia"/>
          <w:color w:val="333333"/>
          <w:kern w:val="0"/>
          <w:sz w:val="18"/>
          <w:szCs w:val="18"/>
        </w:rPr>
        <w:t>手机上网人数是指过去半年通过手机接入并使用互联网的</w:t>
      </w:r>
      <w:r w:rsidRPr="00CD4D4A">
        <w:rPr>
          <w:rFonts w:ascii="Times New Roman" w:eastAsia="楷体" w:hAnsi="Times New Roman"/>
          <w:color w:val="333333"/>
          <w:kern w:val="0"/>
          <w:sz w:val="18"/>
          <w:szCs w:val="18"/>
        </w:rPr>
        <w:t>6</w:t>
      </w:r>
      <w:r w:rsidRPr="00CD4D4A">
        <w:rPr>
          <w:rFonts w:ascii="Times New Roman" w:eastAsia="楷体" w:hAnsi="Times New Roman" w:hint="eastAsia"/>
          <w:color w:val="333333"/>
          <w:kern w:val="0"/>
          <w:sz w:val="18"/>
          <w:szCs w:val="18"/>
        </w:rPr>
        <w:t>周岁及以上中国居民数量。</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[34]</w:t>
      </w:r>
      <w:r w:rsidRPr="00CD4D4A">
        <w:rPr>
          <w:rFonts w:ascii="Times New Roman" w:eastAsia="楷体" w:hAnsi="Times New Roman" w:hint="eastAsia"/>
          <w:color w:val="333333"/>
          <w:kern w:val="0"/>
          <w:sz w:val="18"/>
          <w:szCs w:val="18"/>
        </w:rPr>
        <w:t>软件和信息技术服务业包括软件开发，信息系统集成服务，信息技术咨询服务，数据处理和存储服务，集成电路设计服务和其他信息技术服务等行业。</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[35]</w:t>
      </w:r>
      <w:r w:rsidRPr="00CD4D4A">
        <w:rPr>
          <w:rFonts w:ascii="Times New Roman" w:eastAsia="楷体" w:hAnsi="Times New Roman" w:hint="eastAsia"/>
          <w:color w:val="333333"/>
          <w:kern w:val="0"/>
          <w:sz w:val="18"/>
          <w:szCs w:val="18"/>
        </w:rPr>
        <w:t>社会融资规模增量是指一定时期内实体经济从金融体系获得的资金总额。</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[36]</w:t>
      </w:r>
      <w:r w:rsidRPr="00CD4D4A">
        <w:rPr>
          <w:rFonts w:ascii="Times New Roman" w:eastAsia="楷体" w:hAnsi="Times New Roman" w:hint="eastAsia"/>
          <w:color w:val="333333"/>
          <w:kern w:val="0"/>
          <w:sz w:val="18"/>
          <w:szCs w:val="18"/>
        </w:rPr>
        <w:t>非公开增发又叫定向增发，不含资产认购部分。</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[37]</w:t>
      </w:r>
      <w:r w:rsidRPr="00CD4D4A">
        <w:rPr>
          <w:rFonts w:ascii="Times New Roman" w:eastAsia="楷体" w:hAnsi="Times New Roman" w:hint="eastAsia"/>
          <w:color w:val="333333"/>
          <w:kern w:val="0"/>
          <w:sz w:val="18"/>
          <w:szCs w:val="18"/>
        </w:rPr>
        <w:t>公司信用类债券包括非金融企业债务融资工具、企业债券以及公司债、可转债等。</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[38]</w:t>
      </w:r>
      <w:r w:rsidRPr="00CD4D4A">
        <w:rPr>
          <w:rFonts w:ascii="Times New Roman" w:eastAsia="楷体" w:hAnsi="Times New Roman" w:hint="eastAsia"/>
          <w:color w:val="333333"/>
          <w:kern w:val="0"/>
          <w:sz w:val="18"/>
          <w:szCs w:val="18"/>
        </w:rPr>
        <w:t>原保险保费收入是指保险企业确认的原保险合同保费收入。</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[39]</w:t>
      </w:r>
      <w:r w:rsidRPr="00CD4D4A">
        <w:rPr>
          <w:rFonts w:ascii="Times New Roman" w:eastAsia="楷体" w:hAnsi="Times New Roman" w:hint="eastAsia"/>
          <w:color w:val="333333"/>
          <w:kern w:val="0"/>
          <w:sz w:val="18"/>
          <w:szCs w:val="18"/>
        </w:rPr>
        <w:t>人均收入中位数是指将所有调查户按人均收入水平从低到高（或从高到低）顺序排列，处于最中间位置调查户的人均收入。</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[40]</w:t>
      </w:r>
      <w:r w:rsidRPr="00CD4D4A">
        <w:rPr>
          <w:rFonts w:ascii="Times New Roman" w:eastAsia="楷体" w:hAnsi="Times New Roman" w:hint="eastAsia"/>
          <w:color w:val="333333"/>
          <w:kern w:val="0"/>
          <w:sz w:val="18"/>
          <w:szCs w:val="18"/>
        </w:rPr>
        <w:t>农村五保供养是指老年、残疾和未满</w:t>
      </w:r>
      <w:r w:rsidRPr="00CD4D4A">
        <w:rPr>
          <w:rFonts w:ascii="Times New Roman" w:eastAsia="楷体" w:hAnsi="Times New Roman"/>
          <w:color w:val="333333"/>
          <w:kern w:val="0"/>
          <w:sz w:val="18"/>
          <w:szCs w:val="18"/>
        </w:rPr>
        <w:t>16</w:t>
      </w:r>
      <w:r w:rsidRPr="00CD4D4A">
        <w:rPr>
          <w:rFonts w:ascii="Times New Roman" w:eastAsia="楷体" w:hAnsi="Times New Roman" w:hint="eastAsia"/>
          <w:color w:val="333333"/>
          <w:kern w:val="0"/>
          <w:sz w:val="18"/>
          <w:szCs w:val="18"/>
        </w:rPr>
        <w:t>周岁的村民，无劳动能力、无生活来源又无法定赡养、抚养、扶养义务人，或者其法定赡养、抚养、扶养义务人无赡养、抚养、扶养能力的村民，在吃、穿、住、医、葬方面得到的生活照顾和物质帮助。</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[41]</w:t>
      </w:r>
      <w:r w:rsidRPr="00CD4D4A">
        <w:rPr>
          <w:rFonts w:ascii="Times New Roman" w:eastAsia="楷体" w:hAnsi="Times New Roman" w:hint="eastAsia"/>
          <w:color w:val="333333"/>
          <w:kern w:val="0"/>
          <w:sz w:val="18"/>
          <w:szCs w:val="18"/>
        </w:rPr>
        <w:t>中等职业教育包括普通中专、成人中专、职业高中和技工学校。</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[42]</w:t>
      </w:r>
      <w:r w:rsidRPr="00CD4D4A">
        <w:rPr>
          <w:rFonts w:ascii="Times New Roman" w:eastAsia="楷体" w:hAnsi="Times New Roman" w:hint="eastAsia"/>
          <w:color w:val="333333"/>
          <w:kern w:val="0"/>
          <w:sz w:val="18"/>
          <w:szCs w:val="18"/>
        </w:rPr>
        <w:t>国家新兴产业创投计划是指中央财政专项资金通过与地方政府资金、社会资本共同发起设立创业投资企业，或以股权投资模式直接投资创业企业等方式，培育和促进新兴产业发展的活动。</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[43]</w:t>
      </w:r>
      <w:r w:rsidRPr="00CD4D4A">
        <w:rPr>
          <w:rFonts w:ascii="Times New Roman" w:eastAsia="楷体" w:hAnsi="Times New Roman" w:hint="eastAsia"/>
          <w:color w:val="333333"/>
          <w:kern w:val="0"/>
          <w:sz w:val="18"/>
          <w:szCs w:val="18"/>
        </w:rPr>
        <w:t>海洋观测站（点）是指依托岸基、岛屿（或海上固定平台）进行海洋水文、气象观测，获取具有充分代表性的长期、定点、连续海洋环境观测资料的场所，部分海洋观测站存在多个观测点的情况。</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[44]</w:t>
      </w:r>
      <w:r w:rsidRPr="00CD4D4A">
        <w:rPr>
          <w:rFonts w:ascii="Times New Roman" w:eastAsia="楷体" w:hAnsi="Times New Roman" w:hint="eastAsia"/>
          <w:color w:val="333333"/>
          <w:kern w:val="0"/>
          <w:sz w:val="18"/>
          <w:szCs w:val="18"/>
        </w:rPr>
        <w:t>总流通人次是指本年度内到图书馆场馆接受图书馆服务的总人次，包括借阅书刊、咨询问题以及参加各类读者活动等。</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[45]</w:t>
      </w:r>
      <w:r w:rsidRPr="00CD4D4A">
        <w:rPr>
          <w:rFonts w:ascii="Times New Roman" w:eastAsia="楷体" w:hAnsi="Times New Roman" w:hint="eastAsia"/>
          <w:color w:val="333333"/>
          <w:kern w:val="0"/>
          <w:sz w:val="18"/>
          <w:szCs w:val="18"/>
        </w:rPr>
        <w:t>特种影片是指那些采用与常规影院放映在技术、设备、节目方面不同的电影展示方式，如巨幕电影、立体电影、立体特效（</w:t>
      </w:r>
      <w:r w:rsidRPr="00CD4D4A">
        <w:rPr>
          <w:rFonts w:ascii="Times New Roman" w:eastAsia="楷体" w:hAnsi="Times New Roman"/>
          <w:color w:val="333333"/>
          <w:kern w:val="0"/>
          <w:sz w:val="18"/>
          <w:szCs w:val="18"/>
        </w:rPr>
        <w:t>4D</w:t>
      </w:r>
      <w:r w:rsidRPr="00CD4D4A">
        <w:rPr>
          <w:rFonts w:ascii="Times New Roman" w:eastAsia="楷体" w:hAnsi="Times New Roman" w:hint="eastAsia"/>
          <w:color w:val="333333"/>
          <w:kern w:val="0"/>
          <w:sz w:val="18"/>
          <w:szCs w:val="18"/>
        </w:rPr>
        <w:t>）电影、动感电影、球幕电影等。</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[46]</w:t>
      </w:r>
      <w:r w:rsidRPr="00CD4D4A">
        <w:rPr>
          <w:rFonts w:ascii="Times New Roman" w:eastAsia="楷体" w:hAnsi="Times New Roman" w:hint="eastAsia"/>
          <w:color w:val="333333"/>
          <w:kern w:val="0"/>
          <w:sz w:val="18"/>
          <w:szCs w:val="18"/>
        </w:rPr>
        <w:t>人均图书拥有量是指在一年内全国平均每人能拥有的当年出版图书册数。</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[47]</w:t>
      </w:r>
      <w:r w:rsidRPr="00CD4D4A">
        <w:rPr>
          <w:rFonts w:ascii="Times New Roman" w:eastAsia="楷体" w:hAnsi="Times New Roman" w:hint="eastAsia"/>
          <w:color w:val="333333"/>
          <w:kern w:val="0"/>
          <w:sz w:val="18"/>
          <w:szCs w:val="18"/>
        </w:rPr>
        <w:t>社会服务床位数除收养性机构外，还包括救助类机构、社区类机构以及军休所、军供站等机构的床位。</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[48]</w:t>
      </w:r>
      <w:r w:rsidRPr="00CD4D4A">
        <w:rPr>
          <w:rFonts w:ascii="Times New Roman" w:eastAsia="楷体" w:hAnsi="Times New Roman" w:hint="eastAsia"/>
          <w:color w:val="333333"/>
          <w:kern w:val="0"/>
          <w:sz w:val="18"/>
          <w:szCs w:val="18"/>
        </w:rPr>
        <w:t>国有建设用地供应总量是指报告期内市、县人民政府根据年度土地供应计划依法以出让、划拨、租赁等方式将土地使用权提供给单位或个人使用的国有建设用地总量。</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[49]</w:t>
      </w:r>
      <w:r w:rsidRPr="00CD4D4A">
        <w:rPr>
          <w:rFonts w:ascii="Times New Roman" w:eastAsia="楷体" w:hAnsi="Times New Roman" w:hint="eastAsia"/>
          <w:color w:val="333333"/>
          <w:kern w:val="0"/>
          <w:sz w:val="18"/>
          <w:szCs w:val="18"/>
        </w:rPr>
        <w:t>房地产用地是指商服用地和住宅用地的总和。</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[50]</w:t>
      </w:r>
      <w:r w:rsidRPr="00CD4D4A">
        <w:rPr>
          <w:rFonts w:ascii="Times New Roman" w:eastAsia="楷体" w:hAnsi="Times New Roman" w:hint="eastAsia"/>
          <w:color w:val="333333"/>
          <w:kern w:val="0"/>
          <w:sz w:val="18"/>
          <w:szCs w:val="18"/>
        </w:rPr>
        <w:t>万元国内生产总值用水量、万元工业增加值用水量和万元国内生产总值能耗按</w:t>
      </w:r>
      <w:r w:rsidRPr="00CD4D4A">
        <w:rPr>
          <w:rFonts w:ascii="Times New Roman" w:eastAsia="楷体" w:hAnsi="Times New Roman"/>
          <w:color w:val="333333"/>
          <w:kern w:val="0"/>
          <w:sz w:val="18"/>
          <w:szCs w:val="18"/>
        </w:rPr>
        <w:t>2010</w:t>
      </w:r>
      <w:r w:rsidRPr="00CD4D4A">
        <w:rPr>
          <w:rFonts w:ascii="Times New Roman" w:eastAsia="楷体" w:hAnsi="Times New Roman" w:hint="eastAsia"/>
          <w:color w:val="333333"/>
          <w:kern w:val="0"/>
          <w:sz w:val="18"/>
          <w:szCs w:val="18"/>
        </w:rPr>
        <w:t>年价格计算。</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 xml:space="preserve">　　</w:t>
      </w:r>
      <w:r w:rsidRPr="00CD4D4A">
        <w:rPr>
          <w:rFonts w:ascii="Times New Roman" w:eastAsia="楷体" w:hAnsi="Times New Roman"/>
          <w:color w:val="333333"/>
          <w:kern w:val="0"/>
          <w:sz w:val="18"/>
          <w:szCs w:val="18"/>
        </w:rPr>
        <w:t>[51]</w:t>
      </w:r>
      <w:r w:rsidRPr="00CD4D4A">
        <w:rPr>
          <w:rFonts w:ascii="Times New Roman" w:eastAsia="楷体" w:hAnsi="Times New Roman" w:hint="eastAsia"/>
          <w:color w:val="333333"/>
          <w:kern w:val="0"/>
          <w:sz w:val="18"/>
          <w:szCs w:val="18"/>
        </w:rPr>
        <w:t>十大流域包括长江、黄河、珠江、松花江、淮河、海河、辽河、浙闽片河流、西北诸河和西南诸河。</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hAnsi="Times New Roman"/>
          <w:color w:val="333333"/>
          <w:kern w:val="0"/>
          <w:sz w:val="18"/>
          <w:szCs w:val="18"/>
        </w:rPr>
        <w:t> </w:t>
      </w:r>
    </w:p>
    <w:p w:rsidR="009271D0" w:rsidRPr="00CD4D4A" w:rsidRDefault="009271D0" w:rsidP="00CD4D4A">
      <w:pPr>
        <w:widowControl/>
        <w:jc w:val="left"/>
        <w:rPr>
          <w:rFonts w:ascii="Times New Roman" w:hAnsi="Times New Roman"/>
          <w:color w:val="333333"/>
          <w:kern w:val="0"/>
          <w:sz w:val="18"/>
          <w:szCs w:val="18"/>
        </w:rPr>
      </w:pPr>
      <w:r w:rsidRPr="00CD4D4A">
        <w:rPr>
          <w:rFonts w:ascii="Times New Roman" w:eastAsia="楷体" w:hAnsi="Times New Roman" w:hint="eastAsia"/>
          <w:b/>
          <w:bCs/>
          <w:color w:val="333333"/>
          <w:kern w:val="0"/>
          <w:sz w:val="18"/>
          <w:szCs w:val="18"/>
          <w:bdr w:val="none" w:sz="0" w:space="0" w:color="auto" w:frame="1"/>
        </w:rPr>
        <w:t>资料来源：</w:t>
      </w:r>
    </w:p>
    <w:p w:rsidR="009271D0" w:rsidRPr="00CD4D4A" w:rsidRDefault="009271D0" w:rsidP="00CD4D4A">
      <w:pPr>
        <w:widowControl/>
        <w:rPr>
          <w:rFonts w:ascii="Times New Roman" w:hAnsi="Times New Roman"/>
          <w:color w:val="333333"/>
          <w:kern w:val="0"/>
          <w:sz w:val="18"/>
          <w:szCs w:val="18"/>
        </w:rPr>
      </w:pPr>
      <w:r w:rsidRPr="00CD4D4A">
        <w:rPr>
          <w:rFonts w:ascii="Times New Roman" w:eastAsia="楷体" w:hAnsi="Times New Roman" w:hint="eastAsia"/>
          <w:color w:val="333333"/>
          <w:kern w:val="0"/>
          <w:sz w:val="18"/>
          <w:szCs w:val="18"/>
        </w:rPr>
        <w:t>本公报中城镇新增就业、登记失业率、社会保障数据来自人力资源社会保障部；财政数据来自财政部；外汇储备、汇率、货币金融、公司信用类债券数据来自人民银行；水产品产量数据来自农业部；木材产量、林业、森林火灾数据来自林业局；灌溉面积、水资源数据来自水利部；发电装机容量、新增</w:t>
      </w:r>
      <w:r w:rsidRPr="00CD4D4A">
        <w:rPr>
          <w:rFonts w:ascii="Times New Roman" w:eastAsia="楷体" w:hAnsi="Times New Roman"/>
          <w:color w:val="333333"/>
          <w:kern w:val="0"/>
          <w:sz w:val="18"/>
          <w:szCs w:val="18"/>
        </w:rPr>
        <w:t>220</w:t>
      </w:r>
      <w:r w:rsidRPr="00CD4D4A">
        <w:rPr>
          <w:rFonts w:ascii="Times New Roman" w:eastAsia="楷体" w:hAnsi="Times New Roman" w:hint="eastAsia"/>
          <w:color w:val="333333"/>
          <w:kern w:val="0"/>
          <w:sz w:val="18"/>
          <w:szCs w:val="18"/>
        </w:rPr>
        <w:t>千伏及以上变电设备数据来自中电联；新建铁路投产里程、增新建铁路复线投产里程、电气化铁路投产里程、铁路运输数据来自铁路总公司；新建公路里程、港口万吨级码头泊位新增吞吐能力、公路运输、水运、港口货物吞吐量数据来自交通运输部；新增民用运输机场、民航数据来自民航局；新增光缆线路长度、电话交换机容量、电话用户、宽带用户、移动互联网接入流量、上网人数、软件业务收入等数据来自工业和信息化部；保障性住房、城市污水处理、城市集中供热面积、建成区绿地率数据来自住房城乡建设部；货物进出口数据来自海关总署；服务进出口、外商直接投资、对外直接投资、对外承包工程、对外劳务合作等数据来自商务部；管道数据来自中石油、中石化、中海油；民用汽车、交通事故数据来自公安部；邮政业务数据来自邮政局；旅游数据来自旅游局、公安部；上市公司数据来自证监会；保险业数据来自保监会；城乡低保、五保供养、社会服务、农作物受灾面积、洪涝地质灾害造成直接经济损失、旱灾造成直接经济损失、低温冷冻和雪灾造成直接经济损失来自民政部；教育数据来自教育部；安排科技计划课题、技术合同等数据来自科技部；国家工程研究中心、企业技术中心、新兴产业创投等数据来自发展改革委；专利数据来自知识产权局；宇航发射数据来自国防科工局；质量检验、国家标准制定修订等数据来自质检总局；气象预警、平均气温、登陆台风数据来自气象局；地震数据来自地震局；海洋观测站（点）、海洋灾害造成直接经济损失数据来自海洋局；测绘数据来自测绘地信局；艺术表演团体、博物馆、公共图书馆、文化馆数据来自文化部；广播电视、电影、报纸、期刊、图书数据来自新闻出版广电总局；档案数据来自档案局；体育数据来自体育总局；残疾人运动员数据来自中国残联；卫生数据来自卫生计生委；国有建设用地供应数据来自国土资源部；自然保护区、环境监测数据来自环境保护部；安全生产数据来自安全监管总局；其他数据均来自国家统计局。</w:t>
      </w:r>
    </w:p>
    <w:p w:rsidR="009271D0" w:rsidRPr="00CD4D4A" w:rsidRDefault="009271D0" w:rsidP="00CD4D4A">
      <w:pPr>
        <w:rPr>
          <w:rFonts w:ascii="Times New Roman" w:hAnsi="Times New Roman"/>
          <w:sz w:val="18"/>
          <w:szCs w:val="18"/>
        </w:rPr>
      </w:pPr>
    </w:p>
    <w:sectPr w:rsidR="009271D0" w:rsidRPr="00CD4D4A" w:rsidSect="00B8571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080F3C52" w:usb2="00000016" w:usb3="00000000" w:csb0="0004001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271E"/>
    <w:rsid w:val="001504C1"/>
    <w:rsid w:val="00184B7E"/>
    <w:rsid w:val="001E2B72"/>
    <w:rsid w:val="00234593"/>
    <w:rsid w:val="00242833"/>
    <w:rsid w:val="002E09A2"/>
    <w:rsid w:val="00317975"/>
    <w:rsid w:val="00322B09"/>
    <w:rsid w:val="00383781"/>
    <w:rsid w:val="004C0261"/>
    <w:rsid w:val="005E4525"/>
    <w:rsid w:val="00600636"/>
    <w:rsid w:val="00741F7B"/>
    <w:rsid w:val="007C26F9"/>
    <w:rsid w:val="009271D0"/>
    <w:rsid w:val="0099497C"/>
    <w:rsid w:val="00A22DEF"/>
    <w:rsid w:val="00AD3789"/>
    <w:rsid w:val="00B44C48"/>
    <w:rsid w:val="00B851F9"/>
    <w:rsid w:val="00B85713"/>
    <w:rsid w:val="00BB1293"/>
    <w:rsid w:val="00C242D9"/>
    <w:rsid w:val="00CD4D4A"/>
    <w:rsid w:val="00DA44CF"/>
    <w:rsid w:val="00DB1FD3"/>
    <w:rsid w:val="00E57D0F"/>
    <w:rsid w:val="00EE25AA"/>
    <w:rsid w:val="00F33357"/>
    <w:rsid w:val="00F4271E"/>
    <w:rsid w:val="00F45C68"/>
    <w:rsid w:val="00F561B1"/>
    <w:rsid w:val="00FD33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5713"/>
    <w:pPr>
      <w:widowControl w:val="0"/>
      <w:jc w:val="both"/>
    </w:pPr>
  </w:style>
  <w:style w:type="paragraph" w:styleId="Heading2">
    <w:name w:val="heading 2"/>
    <w:basedOn w:val="Normal"/>
    <w:link w:val="Heading2Char"/>
    <w:uiPriority w:val="99"/>
    <w:qFormat/>
    <w:rsid w:val="002E09A2"/>
    <w:pPr>
      <w:widowControl/>
      <w:spacing w:before="100" w:beforeAutospacing="1" w:after="100" w:afterAutospacing="1"/>
      <w:jc w:val="left"/>
      <w:outlineLvl w:val="1"/>
    </w:pPr>
    <w:rPr>
      <w:rFonts w:ascii="宋体" w:hAnsi="宋体" w:cs="宋体"/>
      <w:b/>
      <w:bCs/>
      <w:kern w:val="0"/>
      <w:sz w:val="36"/>
      <w:szCs w:val="36"/>
    </w:rPr>
  </w:style>
  <w:style w:type="paragraph" w:styleId="Heading6">
    <w:name w:val="heading 6"/>
    <w:basedOn w:val="Normal"/>
    <w:link w:val="Heading6Char"/>
    <w:uiPriority w:val="99"/>
    <w:qFormat/>
    <w:rsid w:val="002E09A2"/>
    <w:pPr>
      <w:widowControl/>
      <w:spacing w:before="100" w:beforeAutospacing="1" w:after="100" w:afterAutospacing="1"/>
      <w:jc w:val="left"/>
      <w:outlineLvl w:val="5"/>
    </w:pPr>
    <w:rPr>
      <w:rFonts w:ascii="宋体" w:hAnsi="宋体" w:cs="宋体"/>
      <w:b/>
      <w:bCs/>
      <w:kern w:val="0"/>
      <w:sz w:val="15"/>
      <w:szCs w:val="1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E09A2"/>
    <w:rPr>
      <w:rFonts w:ascii="宋体" w:eastAsia="宋体" w:hAnsi="宋体" w:cs="宋体"/>
      <w:b/>
      <w:bCs/>
      <w:kern w:val="0"/>
      <w:sz w:val="36"/>
      <w:szCs w:val="36"/>
    </w:rPr>
  </w:style>
  <w:style w:type="character" w:customStyle="1" w:styleId="Heading6Char">
    <w:name w:val="Heading 6 Char"/>
    <w:basedOn w:val="DefaultParagraphFont"/>
    <w:link w:val="Heading6"/>
    <w:uiPriority w:val="99"/>
    <w:locked/>
    <w:rsid w:val="002E09A2"/>
    <w:rPr>
      <w:rFonts w:ascii="宋体" w:eastAsia="宋体" w:hAnsi="宋体" w:cs="宋体"/>
      <w:b/>
      <w:bCs/>
      <w:kern w:val="0"/>
      <w:sz w:val="15"/>
      <w:szCs w:val="15"/>
    </w:rPr>
  </w:style>
  <w:style w:type="character" w:styleId="Hyperlink">
    <w:name w:val="Hyperlink"/>
    <w:basedOn w:val="DefaultParagraphFont"/>
    <w:uiPriority w:val="99"/>
    <w:semiHidden/>
    <w:rsid w:val="002E09A2"/>
    <w:rPr>
      <w:rFonts w:cs="Times New Roman"/>
      <w:color w:val="333333"/>
      <w:u w:val="none"/>
      <w:effect w:val="none"/>
      <w:bdr w:val="none" w:sz="0" w:space="0" w:color="auto" w:frame="1"/>
    </w:rPr>
  </w:style>
  <w:style w:type="character" w:styleId="FollowedHyperlink">
    <w:name w:val="FollowedHyperlink"/>
    <w:basedOn w:val="DefaultParagraphFont"/>
    <w:uiPriority w:val="99"/>
    <w:semiHidden/>
    <w:rsid w:val="002E09A2"/>
    <w:rPr>
      <w:rFonts w:cs="Times New Roman"/>
      <w:color w:val="333333"/>
      <w:u w:val="none"/>
      <w:effect w:val="none"/>
      <w:bdr w:val="none" w:sz="0" w:space="0" w:color="auto" w:frame="1"/>
    </w:rPr>
  </w:style>
  <w:style w:type="paragraph" w:styleId="NormalWeb">
    <w:name w:val="Normal (Web)"/>
    <w:basedOn w:val="Normal"/>
    <w:uiPriority w:val="99"/>
    <w:semiHidden/>
    <w:rsid w:val="002E09A2"/>
    <w:pPr>
      <w:widowControl/>
      <w:jc w:val="left"/>
    </w:pPr>
    <w:rPr>
      <w:rFonts w:ascii="宋体" w:hAnsi="宋体" w:cs="宋体"/>
      <w:kern w:val="0"/>
      <w:sz w:val="24"/>
      <w:szCs w:val="24"/>
    </w:rPr>
  </w:style>
  <w:style w:type="paragraph" w:customStyle="1" w:styleId="home">
    <w:name w:val="home"/>
    <w:basedOn w:val="Normal"/>
    <w:uiPriority w:val="99"/>
    <w:rsid w:val="002E09A2"/>
    <w:pPr>
      <w:widowControl/>
      <w:jc w:val="left"/>
    </w:pPr>
    <w:rPr>
      <w:rFonts w:ascii="宋体" w:hAnsi="宋体" w:cs="宋体"/>
      <w:kern w:val="0"/>
      <w:sz w:val="24"/>
      <w:szCs w:val="24"/>
    </w:rPr>
  </w:style>
  <w:style w:type="paragraph" w:customStyle="1" w:styleId="top">
    <w:name w:val="top"/>
    <w:basedOn w:val="Normal"/>
    <w:uiPriority w:val="99"/>
    <w:rsid w:val="002E09A2"/>
    <w:pPr>
      <w:widowControl/>
      <w:jc w:val="left"/>
    </w:pPr>
    <w:rPr>
      <w:rFonts w:ascii="宋体" w:hAnsi="宋体" w:cs="宋体"/>
      <w:kern w:val="0"/>
      <w:sz w:val="24"/>
      <w:szCs w:val="24"/>
    </w:rPr>
  </w:style>
  <w:style w:type="paragraph" w:customStyle="1" w:styleId="top01">
    <w:name w:val="top01"/>
    <w:basedOn w:val="Normal"/>
    <w:uiPriority w:val="99"/>
    <w:rsid w:val="002E09A2"/>
    <w:pPr>
      <w:widowControl/>
      <w:spacing w:line="555" w:lineRule="atLeast"/>
      <w:jc w:val="left"/>
    </w:pPr>
    <w:rPr>
      <w:rFonts w:ascii="宋体" w:hAnsi="宋体" w:cs="宋体"/>
      <w:kern w:val="0"/>
      <w:sz w:val="24"/>
      <w:szCs w:val="24"/>
    </w:rPr>
  </w:style>
  <w:style w:type="paragraph" w:customStyle="1" w:styleId="top02">
    <w:name w:val="top02"/>
    <w:basedOn w:val="Normal"/>
    <w:uiPriority w:val="99"/>
    <w:rsid w:val="002E09A2"/>
    <w:pPr>
      <w:widowControl/>
      <w:jc w:val="left"/>
    </w:pPr>
    <w:rPr>
      <w:rFonts w:ascii="宋体" w:hAnsi="宋体" w:cs="宋体"/>
      <w:kern w:val="0"/>
      <w:sz w:val="24"/>
      <w:szCs w:val="24"/>
    </w:rPr>
  </w:style>
  <w:style w:type="paragraph" w:customStyle="1" w:styleId="top03">
    <w:name w:val="top03"/>
    <w:basedOn w:val="Normal"/>
    <w:uiPriority w:val="99"/>
    <w:rsid w:val="002E09A2"/>
    <w:pPr>
      <w:widowControl/>
      <w:jc w:val="left"/>
    </w:pPr>
    <w:rPr>
      <w:rFonts w:ascii="宋体" w:hAnsi="宋体" w:cs="宋体"/>
      <w:kern w:val="0"/>
      <w:sz w:val="24"/>
      <w:szCs w:val="24"/>
    </w:rPr>
  </w:style>
  <w:style w:type="paragraph" w:customStyle="1" w:styleId="topline">
    <w:name w:val="top_line"/>
    <w:basedOn w:val="Normal"/>
    <w:uiPriority w:val="99"/>
    <w:rsid w:val="002E09A2"/>
    <w:pPr>
      <w:widowControl/>
      <w:jc w:val="left"/>
    </w:pPr>
    <w:rPr>
      <w:rFonts w:ascii="宋体" w:hAnsi="宋体" w:cs="宋体"/>
      <w:kern w:val="0"/>
      <w:sz w:val="24"/>
      <w:szCs w:val="24"/>
    </w:rPr>
  </w:style>
  <w:style w:type="paragraph" w:customStyle="1" w:styleId="top01b">
    <w:name w:val="top01_b"/>
    <w:basedOn w:val="Normal"/>
    <w:uiPriority w:val="99"/>
    <w:rsid w:val="002E09A2"/>
    <w:pPr>
      <w:widowControl/>
      <w:spacing w:before="75"/>
      <w:ind w:left="375" w:right="375"/>
      <w:jc w:val="left"/>
    </w:pPr>
    <w:rPr>
      <w:rFonts w:ascii="宋体" w:hAnsi="宋体" w:cs="宋体"/>
      <w:kern w:val="0"/>
      <w:sz w:val="24"/>
      <w:szCs w:val="24"/>
    </w:rPr>
  </w:style>
  <w:style w:type="paragraph" w:customStyle="1" w:styleId="topsearch">
    <w:name w:val="top_search"/>
    <w:basedOn w:val="Normal"/>
    <w:uiPriority w:val="99"/>
    <w:rsid w:val="002E09A2"/>
    <w:pPr>
      <w:widowControl/>
      <w:shd w:val="clear" w:color="auto" w:fill="407FC2"/>
      <w:spacing w:line="405" w:lineRule="atLeast"/>
      <w:jc w:val="left"/>
    </w:pPr>
    <w:rPr>
      <w:rFonts w:ascii="宋体" w:hAnsi="宋体" w:cs="宋体"/>
      <w:kern w:val="0"/>
      <w:sz w:val="24"/>
      <w:szCs w:val="24"/>
    </w:rPr>
  </w:style>
  <w:style w:type="paragraph" w:customStyle="1" w:styleId="search">
    <w:name w:val="search"/>
    <w:basedOn w:val="Normal"/>
    <w:uiPriority w:val="99"/>
    <w:rsid w:val="002E09A2"/>
    <w:pPr>
      <w:widowControl/>
      <w:pBdr>
        <w:top w:val="single" w:sz="6" w:space="0" w:color="AFC4DF"/>
        <w:left w:val="single" w:sz="6" w:space="0" w:color="AFC4DF"/>
        <w:bottom w:val="single" w:sz="6" w:space="0" w:color="AFC4DF"/>
        <w:right w:val="single" w:sz="6" w:space="0" w:color="AFC4DF"/>
      </w:pBdr>
      <w:spacing w:line="375" w:lineRule="atLeast"/>
      <w:jc w:val="left"/>
    </w:pPr>
    <w:rPr>
      <w:rFonts w:ascii="宋体" w:hAnsi="宋体" w:cs="宋体"/>
      <w:kern w:val="0"/>
      <w:sz w:val="24"/>
      <w:szCs w:val="24"/>
    </w:rPr>
  </w:style>
  <w:style w:type="paragraph" w:customStyle="1" w:styleId="top03a">
    <w:name w:val="top03_a"/>
    <w:basedOn w:val="Normal"/>
    <w:uiPriority w:val="99"/>
    <w:rsid w:val="002E09A2"/>
    <w:pPr>
      <w:widowControl/>
      <w:jc w:val="left"/>
    </w:pPr>
    <w:rPr>
      <w:rFonts w:ascii="宋体" w:hAnsi="宋体" w:cs="宋体"/>
      <w:kern w:val="0"/>
      <w:sz w:val="24"/>
      <w:szCs w:val="24"/>
    </w:rPr>
  </w:style>
  <w:style w:type="paragraph" w:customStyle="1" w:styleId="top03a01">
    <w:name w:val="top03_a01"/>
    <w:basedOn w:val="Normal"/>
    <w:uiPriority w:val="99"/>
    <w:rsid w:val="002E09A2"/>
    <w:pPr>
      <w:widowControl/>
      <w:spacing w:before="75"/>
      <w:jc w:val="left"/>
    </w:pPr>
    <w:rPr>
      <w:rFonts w:ascii="宋体" w:hAnsi="宋体" w:cs="宋体"/>
      <w:kern w:val="0"/>
      <w:sz w:val="24"/>
      <w:szCs w:val="24"/>
    </w:rPr>
  </w:style>
  <w:style w:type="paragraph" w:customStyle="1" w:styleId="on">
    <w:name w:val="on"/>
    <w:basedOn w:val="Normal"/>
    <w:uiPriority w:val="99"/>
    <w:rsid w:val="002E09A2"/>
    <w:pPr>
      <w:widowControl/>
      <w:pBdr>
        <w:bottom w:val="single" w:sz="12" w:space="0" w:color="B71D01"/>
      </w:pBdr>
      <w:jc w:val="left"/>
    </w:pPr>
    <w:rPr>
      <w:rFonts w:ascii="宋体" w:hAnsi="宋体" w:cs="宋体"/>
      <w:kern w:val="0"/>
      <w:sz w:val="24"/>
      <w:szCs w:val="24"/>
    </w:rPr>
  </w:style>
  <w:style w:type="paragraph" w:customStyle="1" w:styleId="top04">
    <w:name w:val="top04"/>
    <w:basedOn w:val="Normal"/>
    <w:uiPriority w:val="99"/>
    <w:rsid w:val="002E09A2"/>
    <w:pPr>
      <w:widowControl/>
      <w:jc w:val="left"/>
    </w:pPr>
    <w:rPr>
      <w:rFonts w:ascii="宋体" w:hAnsi="宋体" w:cs="宋体"/>
      <w:kern w:val="0"/>
      <w:sz w:val="24"/>
      <w:szCs w:val="24"/>
    </w:rPr>
  </w:style>
  <w:style w:type="paragraph" w:customStyle="1" w:styleId="main">
    <w:name w:val="main"/>
    <w:basedOn w:val="Normal"/>
    <w:uiPriority w:val="99"/>
    <w:rsid w:val="002E09A2"/>
    <w:pPr>
      <w:widowControl/>
      <w:jc w:val="left"/>
    </w:pPr>
    <w:rPr>
      <w:rFonts w:ascii="宋体" w:hAnsi="宋体" w:cs="宋体"/>
      <w:kern w:val="0"/>
      <w:sz w:val="24"/>
      <w:szCs w:val="24"/>
    </w:rPr>
  </w:style>
  <w:style w:type="paragraph" w:customStyle="1" w:styleId="iframetop">
    <w:name w:val="iframe_top"/>
    <w:basedOn w:val="Normal"/>
    <w:uiPriority w:val="99"/>
    <w:rsid w:val="002E09A2"/>
    <w:pPr>
      <w:widowControl/>
      <w:jc w:val="left"/>
    </w:pPr>
    <w:rPr>
      <w:rFonts w:ascii="宋体" w:hAnsi="宋体" w:cs="宋体"/>
      <w:kern w:val="0"/>
      <w:sz w:val="24"/>
      <w:szCs w:val="24"/>
    </w:rPr>
  </w:style>
  <w:style w:type="paragraph" w:customStyle="1" w:styleId="iframebottom">
    <w:name w:val="iframe_bottom"/>
    <w:basedOn w:val="Normal"/>
    <w:uiPriority w:val="99"/>
    <w:rsid w:val="002E09A2"/>
    <w:pPr>
      <w:widowControl/>
      <w:shd w:val="clear" w:color="auto" w:fill="1E67A7"/>
      <w:jc w:val="left"/>
    </w:pPr>
    <w:rPr>
      <w:rFonts w:ascii="宋体" w:hAnsi="宋体" w:cs="宋体"/>
      <w:kern w:val="0"/>
      <w:sz w:val="24"/>
      <w:szCs w:val="24"/>
    </w:rPr>
  </w:style>
  <w:style w:type="paragraph" w:customStyle="1" w:styleId="dang">
    <w:name w:val="dang"/>
    <w:basedOn w:val="Normal"/>
    <w:uiPriority w:val="99"/>
    <w:rsid w:val="002E09A2"/>
    <w:pPr>
      <w:widowControl/>
      <w:spacing w:before="150"/>
      <w:jc w:val="left"/>
    </w:pPr>
    <w:rPr>
      <w:rFonts w:ascii="宋体" w:hAnsi="宋体" w:cs="宋体"/>
      <w:kern w:val="0"/>
      <w:sz w:val="24"/>
      <w:szCs w:val="24"/>
    </w:rPr>
  </w:style>
  <w:style w:type="paragraph" w:customStyle="1" w:styleId="danga">
    <w:name w:val="dang_a"/>
    <w:basedOn w:val="Normal"/>
    <w:uiPriority w:val="99"/>
    <w:rsid w:val="002E09A2"/>
    <w:pPr>
      <w:widowControl/>
      <w:ind w:left="120"/>
      <w:jc w:val="left"/>
    </w:pPr>
    <w:rPr>
      <w:rFonts w:ascii="宋体" w:hAnsi="宋体" w:cs="宋体"/>
      <w:b/>
      <w:bCs/>
      <w:kern w:val="0"/>
      <w:sz w:val="18"/>
      <w:szCs w:val="18"/>
    </w:rPr>
  </w:style>
  <w:style w:type="paragraph" w:customStyle="1" w:styleId="center">
    <w:name w:val="center"/>
    <w:basedOn w:val="Normal"/>
    <w:uiPriority w:val="99"/>
    <w:rsid w:val="002E09A2"/>
    <w:pPr>
      <w:widowControl/>
      <w:spacing w:before="150"/>
      <w:jc w:val="left"/>
    </w:pPr>
    <w:rPr>
      <w:rFonts w:ascii="宋体" w:hAnsi="宋体" w:cs="宋体"/>
      <w:kern w:val="0"/>
      <w:sz w:val="24"/>
      <w:szCs w:val="24"/>
    </w:rPr>
  </w:style>
  <w:style w:type="paragraph" w:customStyle="1" w:styleId="centerleft">
    <w:name w:val="center_left"/>
    <w:basedOn w:val="Normal"/>
    <w:uiPriority w:val="99"/>
    <w:rsid w:val="002E09A2"/>
    <w:pPr>
      <w:widowControl/>
      <w:jc w:val="left"/>
    </w:pPr>
    <w:rPr>
      <w:rFonts w:ascii="宋体" w:hAnsi="宋体" w:cs="宋体"/>
      <w:kern w:val="0"/>
      <w:sz w:val="24"/>
      <w:szCs w:val="24"/>
    </w:rPr>
  </w:style>
  <w:style w:type="paragraph" w:customStyle="1" w:styleId="centerlefttop">
    <w:name w:val="center_left_top"/>
    <w:basedOn w:val="Normal"/>
    <w:uiPriority w:val="99"/>
    <w:rsid w:val="002E09A2"/>
    <w:pPr>
      <w:widowControl/>
      <w:jc w:val="left"/>
    </w:pPr>
    <w:rPr>
      <w:rFonts w:ascii="宋体" w:hAnsi="宋体" w:cs="宋体"/>
      <w:kern w:val="0"/>
      <w:sz w:val="24"/>
      <w:szCs w:val="24"/>
    </w:rPr>
  </w:style>
  <w:style w:type="paragraph" w:customStyle="1" w:styleId="centerleftbottom">
    <w:name w:val="center_left_bottom"/>
    <w:basedOn w:val="Normal"/>
    <w:uiPriority w:val="99"/>
    <w:rsid w:val="002E09A2"/>
    <w:pPr>
      <w:widowControl/>
      <w:jc w:val="left"/>
    </w:pPr>
    <w:rPr>
      <w:rFonts w:ascii="宋体" w:hAnsi="宋体" w:cs="宋体"/>
      <w:kern w:val="0"/>
      <w:sz w:val="24"/>
      <w:szCs w:val="24"/>
    </w:rPr>
  </w:style>
  <w:style w:type="paragraph" w:customStyle="1" w:styleId="centermidd">
    <w:name w:val="center_midd"/>
    <w:basedOn w:val="Normal"/>
    <w:uiPriority w:val="99"/>
    <w:rsid w:val="002E09A2"/>
    <w:pPr>
      <w:widowControl/>
      <w:pBdr>
        <w:left w:val="single" w:sz="18" w:space="0" w:color="DDDDDD"/>
      </w:pBdr>
      <w:ind w:left="15"/>
      <w:jc w:val="left"/>
    </w:pPr>
    <w:rPr>
      <w:rFonts w:ascii="宋体" w:hAnsi="宋体" w:cs="宋体"/>
      <w:kern w:val="0"/>
      <w:sz w:val="24"/>
      <w:szCs w:val="24"/>
    </w:rPr>
  </w:style>
  <w:style w:type="paragraph" w:customStyle="1" w:styleId="centerleftmenu">
    <w:name w:val="center_left_menu"/>
    <w:basedOn w:val="Normal"/>
    <w:uiPriority w:val="99"/>
    <w:rsid w:val="002E09A2"/>
    <w:pPr>
      <w:widowControl/>
      <w:spacing w:before="75" w:after="150"/>
      <w:jc w:val="left"/>
    </w:pPr>
    <w:rPr>
      <w:rFonts w:ascii="宋体" w:hAnsi="宋体" w:cs="宋体"/>
      <w:kern w:val="0"/>
      <w:sz w:val="24"/>
      <w:szCs w:val="24"/>
    </w:rPr>
  </w:style>
  <w:style w:type="paragraph" w:customStyle="1" w:styleId="centerleftmenu02">
    <w:name w:val="center_left_menu02"/>
    <w:basedOn w:val="Normal"/>
    <w:uiPriority w:val="99"/>
    <w:rsid w:val="002E09A2"/>
    <w:pPr>
      <w:widowControl/>
      <w:spacing w:before="75" w:after="150"/>
      <w:jc w:val="left"/>
    </w:pPr>
    <w:rPr>
      <w:rFonts w:ascii="宋体" w:hAnsi="宋体" w:cs="宋体"/>
      <w:kern w:val="0"/>
      <w:sz w:val="24"/>
      <w:szCs w:val="24"/>
    </w:rPr>
  </w:style>
  <w:style w:type="paragraph" w:customStyle="1" w:styleId="centermenubt">
    <w:name w:val="center_menubt"/>
    <w:basedOn w:val="Normal"/>
    <w:uiPriority w:val="99"/>
    <w:rsid w:val="002E09A2"/>
    <w:pPr>
      <w:widowControl/>
      <w:spacing w:before="165" w:line="210" w:lineRule="atLeast"/>
      <w:jc w:val="left"/>
    </w:pPr>
    <w:rPr>
      <w:rFonts w:ascii="宋体" w:hAnsi="宋体" w:cs="宋体"/>
      <w:kern w:val="0"/>
      <w:sz w:val="24"/>
      <w:szCs w:val="24"/>
    </w:rPr>
  </w:style>
  <w:style w:type="paragraph" w:customStyle="1" w:styleId="centerlist">
    <w:name w:val="center_list"/>
    <w:basedOn w:val="Normal"/>
    <w:uiPriority w:val="99"/>
    <w:rsid w:val="002E09A2"/>
    <w:pPr>
      <w:widowControl/>
      <w:ind w:left="300"/>
      <w:jc w:val="left"/>
    </w:pPr>
    <w:rPr>
      <w:rFonts w:ascii="宋体" w:hAnsi="宋体" w:cs="宋体"/>
      <w:kern w:val="0"/>
      <w:sz w:val="24"/>
      <w:szCs w:val="24"/>
    </w:rPr>
  </w:style>
  <w:style w:type="paragraph" w:customStyle="1" w:styleId="centerlisttit">
    <w:name w:val="center_list_tit"/>
    <w:basedOn w:val="Normal"/>
    <w:uiPriority w:val="99"/>
    <w:rsid w:val="002E09A2"/>
    <w:pPr>
      <w:widowControl/>
      <w:jc w:val="left"/>
    </w:pPr>
    <w:rPr>
      <w:rFonts w:ascii="宋体" w:hAnsi="宋体" w:cs="宋体"/>
      <w:b/>
      <w:bCs/>
      <w:color w:val="1E5F87"/>
      <w:kern w:val="0"/>
      <w:szCs w:val="21"/>
    </w:rPr>
  </w:style>
  <w:style w:type="paragraph" w:customStyle="1" w:styleId="centerlisttit01">
    <w:name w:val="center_list_tit01"/>
    <w:basedOn w:val="Normal"/>
    <w:uiPriority w:val="99"/>
    <w:rsid w:val="002E09A2"/>
    <w:pPr>
      <w:widowControl/>
      <w:spacing w:line="375" w:lineRule="atLeast"/>
      <w:jc w:val="left"/>
    </w:pPr>
    <w:rPr>
      <w:rFonts w:ascii="宋体" w:hAnsi="宋体" w:cs="宋体"/>
      <w:kern w:val="0"/>
      <w:sz w:val="24"/>
      <w:szCs w:val="24"/>
    </w:rPr>
  </w:style>
  <w:style w:type="paragraph" w:customStyle="1" w:styleId="centerlistcont">
    <w:name w:val="center_list_cont"/>
    <w:basedOn w:val="Normal"/>
    <w:uiPriority w:val="99"/>
    <w:rsid w:val="002E09A2"/>
    <w:pPr>
      <w:widowControl/>
      <w:pBdr>
        <w:right w:val="single" w:sz="12" w:space="15" w:color="2E76BC"/>
      </w:pBdr>
      <w:jc w:val="left"/>
    </w:pPr>
    <w:rPr>
      <w:rFonts w:ascii="宋体" w:hAnsi="宋体" w:cs="宋体"/>
      <w:kern w:val="0"/>
      <w:sz w:val="24"/>
      <w:szCs w:val="24"/>
    </w:rPr>
  </w:style>
  <w:style w:type="paragraph" w:customStyle="1" w:styleId="tongjizixuncenter">
    <w:name w:val="tongjizixun_center"/>
    <w:basedOn w:val="Normal"/>
    <w:uiPriority w:val="99"/>
    <w:rsid w:val="002E09A2"/>
    <w:pPr>
      <w:widowControl/>
      <w:pBdr>
        <w:right w:val="single" w:sz="12" w:space="15" w:color="2E76BC"/>
      </w:pBdr>
      <w:jc w:val="left"/>
    </w:pPr>
    <w:rPr>
      <w:rFonts w:ascii="宋体" w:hAnsi="宋体" w:cs="宋体"/>
      <w:kern w:val="0"/>
      <w:sz w:val="24"/>
      <w:szCs w:val="24"/>
    </w:rPr>
  </w:style>
  <w:style w:type="paragraph" w:customStyle="1" w:styleId="centerlistcontlist">
    <w:name w:val="center_list_contlist"/>
    <w:basedOn w:val="Normal"/>
    <w:uiPriority w:val="99"/>
    <w:rsid w:val="002E09A2"/>
    <w:pPr>
      <w:widowControl/>
      <w:pBdr>
        <w:right w:val="single" w:sz="12" w:space="15" w:color="2E76BC"/>
      </w:pBdr>
      <w:jc w:val="left"/>
    </w:pPr>
    <w:rPr>
      <w:rFonts w:ascii="宋体" w:hAnsi="宋体" w:cs="宋体"/>
      <w:kern w:val="0"/>
      <w:sz w:val="24"/>
      <w:szCs w:val="24"/>
    </w:rPr>
  </w:style>
  <w:style w:type="paragraph" w:customStyle="1" w:styleId="conttit">
    <w:name w:val="cont_tit"/>
    <w:basedOn w:val="Normal"/>
    <w:uiPriority w:val="99"/>
    <w:rsid w:val="002E09A2"/>
    <w:pPr>
      <w:widowControl/>
      <w:jc w:val="left"/>
    </w:pPr>
    <w:rPr>
      <w:rFonts w:ascii="宋体" w:hAnsi="宋体" w:cs="宋体"/>
      <w:kern w:val="0"/>
      <w:sz w:val="24"/>
      <w:szCs w:val="24"/>
    </w:rPr>
  </w:style>
  <w:style w:type="paragraph" w:customStyle="1" w:styleId="conttit01">
    <w:name w:val="cont_tit01"/>
    <w:basedOn w:val="Normal"/>
    <w:uiPriority w:val="99"/>
    <w:rsid w:val="002E09A2"/>
    <w:pPr>
      <w:widowControl/>
      <w:jc w:val="left"/>
    </w:pPr>
    <w:rPr>
      <w:rFonts w:ascii="宋体" w:hAnsi="宋体" w:cs="宋体"/>
      <w:b/>
      <w:bCs/>
      <w:color w:val="1E5F87"/>
      <w:kern w:val="0"/>
      <w:szCs w:val="21"/>
    </w:rPr>
  </w:style>
  <w:style w:type="paragraph" w:customStyle="1" w:styleId="conttit03">
    <w:name w:val="cont_tit03"/>
    <w:basedOn w:val="Normal"/>
    <w:uiPriority w:val="99"/>
    <w:rsid w:val="002E09A2"/>
    <w:pPr>
      <w:widowControl/>
      <w:jc w:val="left"/>
    </w:pPr>
    <w:rPr>
      <w:rFonts w:ascii="宋体" w:hAnsi="宋体" w:cs="宋体"/>
      <w:color w:val="333333"/>
      <w:kern w:val="0"/>
      <w:sz w:val="18"/>
      <w:szCs w:val="18"/>
    </w:rPr>
  </w:style>
  <w:style w:type="paragraph" w:customStyle="1" w:styleId="conttit02">
    <w:name w:val="cont_tit02"/>
    <w:basedOn w:val="Normal"/>
    <w:uiPriority w:val="99"/>
    <w:rsid w:val="002E09A2"/>
    <w:pPr>
      <w:widowControl/>
      <w:jc w:val="left"/>
    </w:pPr>
    <w:rPr>
      <w:rFonts w:ascii="宋体" w:hAnsi="宋体" w:cs="宋体"/>
      <w:b/>
      <w:bCs/>
      <w:color w:val="9D9D9D"/>
      <w:kern w:val="0"/>
      <w:sz w:val="18"/>
      <w:szCs w:val="18"/>
    </w:rPr>
  </w:style>
  <w:style w:type="paragraph" w:customStyle="1" w:styleId="contn">
    <w:name w:val="cont_n"/>
    <w:basedOn w:val="Normal"/>
    <w:uiPriority w:val="99"/>
    <w:rsid w:val="002E09A2"/>
    <w:pPr>
      <w:widowControl/>
      <w:spacing w:line="375" w:lineRule="atLeast"/>
      <w:jc w:val="left"/>
    </w:pPr>
    <w:rPr>
      <w:rFonts w:ascii="宋体" w:hAnsi="宋体" w:cs="宋体"/>
      <w:kern w:val="0"/>
      <w:sz w:val="24"/>
      <w:szCs w:val="24"/>
    </w:rPr>
  </w:style>
  <w:style w:type="paragraph" w:customStyle="1" w:styleId="contline">
    <w:name w:val="cont_line"/>
    <w:basedOn w:val="Normal"/>
    <w:uiPriority w:val="99"/>
    <w:rsid w:val="002E09A2"/>
    <w:pPr>
      <w:widowControl/>
      <w:jc w:val="left"/>
    </w:pPr>
    <w:rPr>
      <w:rFonts w:ascii="宋体" w:hAnsi="宋体" w:cs="宋体"/>
      <w:kern w:val="0"/>
      <w:sz w:val="24"/>
      <w:szCs w:val="24"/>
    </w:rPr>
  </w:style>
  <w:style w:type="paragraph" w:customStyle="1" w:styleId="fenye">
    <w:name w:val="fenye"/>
    <w:basedOn w:val="Normal"/>
    <w:uiPriority w:val="99"/>
    <w:rsid w:val="002E09A2"/>
    <w:pPr>
      <w:widowControl/>
      <w:jc w:val="center"/>
    </w:pPr>
    <w:rPr>
      <w:rFonts w:ascii="宋体" w:hAnsi="宋体" w:cs="宋体"/>
      <w:kern w:val="0"/>
      <w:sz w:val="24"/>
      <w:szCs w:val="24"/>
    </w:rPr>
  </w:style>
  <w:style w:type="paragraph" w:customStyle="1" w:styleId="yeon1">
    <w:name w:val="ye_on1"/>
    <w:basedOn w:val="Normal"/>
    <w:uiPriority w:val="99"/>
    <w:rsid w:val="002E09A2"/>
    <w:pPr>
      <w:widowControl/>
      <w:pBdr>
        <w:top w:val="single" w:sz="6" w:space="0" w:color="CDCDCD"/>
        <w:left w:val="single" w:sz="6" w:space="0" w:color="CDCDCD"/>
        <w:bottom w:val="single" w:sz="6" w:space="0" w:color="CDCDCD"/>
        <w:right w:val="single" w:sz="6" w:space="0" w:color="CDCDCD"/>
      </w:pBdr>
      <w:shd w:val="clear" w:color="auto" w:fill="EEEEEE"/>
      <w:ind w:left="150"/>
      <w:jc w:val="left"/>
    </w:pPr>
    <w:rPr>
      <w:rFonts w:ascii="宋体" w:hAnsi="宋体" w:cs="宋体"/>
      <w:kern w:val="0"/>
      <w:sz w:val="24"/>
      <w:szCs w:val="24"/>
    </w:rPr>
  </w:style>
  <w:style w:type="paragraph" w:customStyle="1" w:styleId="yeinput">
    <w:name w:val="ye_input"/>
    <w:basedOn w:val="Normal"/>
    <w:uiPriority w:val="99"/>
    <w:rsid w:val="002E09A2"/>
    <w:pPr>
      <w:widowControl/>
      <w:pBdr>
        <w:top w:val="single" w:sz="6" w:space="0" w:color="E2E2E2"/>
        <w:left w:val="single" w:sz="6" w:space="0" w:color="E2E2E2"/>
        <w:bottom w:val="single" w:sz="6" w:space="0" w:color="E2E2E2"/>
        <w:right w:val="single" w:sz="6" w:space="0" w:color="E2E2E2"/>
      </w:pBdr>
      <w:spacing w:line="420" w:lineRule="atLeast"/>
      <w:jc w:val="center"/>
    </w:pPr>
    <w:rPr>
      <w:rFonts w:ascii="宋体" w:hAnsi="宋体" w:cs="宋体"/>
      <w:kern w:val="0"/>
      <w:sz w:val="24"/>
      <w:szCs w:val="24"/>
    </w:rPr>
  </w:style>
  <w:style w:type="paragraph" w:customStyle="1" w:styleId="centerxilan">
    <w:name w:val="center_xilan"/>
    <w:basedOn w:val="Normal"/>
    <w:uiPriority w:val="99"/>
    <w:rsid w:val="002E09A2"/>
    <w:pPr>
      <w:widowControl/>
      <w:jc w:val="left"/>
    </w:pPr>
    <w:rPr>
      <w:rFonts w:ascii="宋体" w:hAnsi="宋体" w:cs="宋体"/>
      <w:kern w:val="0"/>
      <w:sz w:val="24"/>
      <w:szCs w:val="24"/>
    </w:rPr>
  </w:style>
  <w:style w:type="paragraph" w:customStyle="1" w:styleId="dyin">
    <w:name w:val="dyin"/>
    <w:basedOn w:val="Normal"/>
    <w:uiPriority w:val="99"/>
    <w:rsid w:val="002E09A2"/>
    <w:pPr>
      <w:widowControl/>
      <w:pBdr>
        <w:top w:val="single" w:sz="6" w:space="2" w:color="003C74"/>
        <w:left w:val="single" w:sz="6" w:space="4" w:color="003C74"/>
        <w:bottom w:val="single" w:sz="6" w:space="2" w:color="003C74"/>
        <w:right w:val="single" w:sz="6" w:space="4" w:color="003C74"/>
      </w:pBdr>
      <w:ind w:left="75" w:right="75"/>
      <w:jc w:val="left"/>
    </w:pPr>
    <w:rPr>
      <w:rFonts w:ascii="宋体" w:hAnsi="宋体" w:cs="宋体"/>
      <w:kern w:val="0"/>
      <w:sz w:val="24"/>
      <w:szCs w:val="24"/>
    </w:rPr>
  </w:style>
  <w:style w:type="paragraph" w:customStyle="1" w:styleId="gbi">
    <w:name w:val="gbi"/>
    <w:basedOn w:val="Normal"/>
    <w:uiPriority w:val="99"/>
    <w:rsid w:val="002E09A2"/>
    <w:pPr>
      <w:widowControl/>
      <w:pBdr>
        <w:top w:val="single" w:sz="6" w:space="2" w:color="003C74"/>
        <w:left w:val="single" w:sz="6" w:space="4" w:color="003C74"/>
        <w:bottom w:val="single" w:sz="6" w:space="2" w:color="003C74"/>
        <w:right w:val="single" w:sz="6" w:space="4" w:color="003C74"/>
      </w:pBdr>
      <w:ind w:left="75" w:right="75"/>
      <w:jc w:val="left"/>
    </w:pPr>
    <w:rPr>
      <w:rFonts w:ascii="宋体" w:hAnsi="宋体" w:cs="宋体"/>
      <w:kern w:val="0"/>
      <w:sz w:val="24"/>
      <w:szCs w:val="24"/>
    </w:rPr>
  </w:style>
  <w:style w:type="paragraph" w:customStyle="1" w:styleId="xilantitf">
    <w:name w:val="xilan_titf"/>
    <w:basedOn w:val="Normal"/>
    <w:uiPriority w:val="99"/>
    <w:rsid w:val="002E09A2"/>
    <w:pPr>
      <w:widowControl/>
      <w:jc w:val="left"/>
    </w:pPr>
    <w:rPr>
      <w:rFonts w:ascii="宋体" w:hAnsi="宋体" w:cs="宋体"/>
      <w:color w:val="333333"/>
      <w:kern w:val="0"/>
      <w:szCs w:val="21"/>
    </w:rPr>
  </w:style>
  <w:style w:type="paragraph" w:customStyle="1" w:styleId="xilancon">
    <w:name w:val="xilan_con"/>
    <w:basedOn w:val="Normal"/>
    <w:uiPriority w:val="99"/>
    <w:rsid w:val="002E09A2"/>
    <w:pPr>
      <w:widowControl/>
      <w:spacing w:line="375" w:lineRule="atLeast"/>
      <w:jc w:val="left"/>
    </w:pPr>
    <w:rPr>
      <w:rFonts w:ascii="宋体" w:hAnsi="宋体" w:cs="宋体"/>
      <w:kern w:val="0"/>
      <w:sz w:val="24"/>
      <w:szCs w:val="24"/>
    </w:rPr>
  </w:style>
  <w:style w:type="paragraph" w:customStyle="1" w:styleId="centertongjifuwu">
    <w:name w:val="center_tongjifuwu"/>
    <w:basedOn w:val="Normal"/>
    <w:uiPriority w:val="99"/>
    <w:rsid w:val="002E09A2"/>
    <w:pPr>
      <w:widowControl/>
      <w:jc w:val="left"/>
    </w:pPr>
    <w:rPr>
      <w:rFonts w:ascii="宋体" w:hAnsi="宋体" w:cs="宋体"/>
      <w:kern w:val="0"/>
      <w:sz w:val="24"/>
      <w:szCs w:val="24"/>
    </w:rPr>
  </w:style>
  <w:style w:type="paragraph" w:customStyle="1" w:styleId="tongjifuwucont">
    <w:name w:val="tongjifuwu_cont"/>
    <w:basedOn w:val="Normal"/>
    <w:uiPriority w:val="99"/>
    <w:rsid w:val="002E09A2"/>
    <w:pPr>
      <w:widowControl/>
      <w:spacing w:before="150"/>
      <w:jc w:val="left"/>
    </w:pPr>
    <w:rPr>
      <w:rFonts w:ascii="宋体" w:hAnsi="宋体" w:cs="宋体"/>
      <w:kern w:val="0"/>
      <w:sz w:val="24"/>
      <w:szCs w:val="24"/>
    </w:rPr>
  </w:style>
  <w:style w:type="paragraph" w:customStyle="1" w:styleId="tongjifuwuleft02a">
    <w:name w:val="tongjifuwu_left02_a"/>
    <w:basedOn w:val="Normal"/>
    <w:uiPriority w:val="99"/>
    <w:rsid w:val="002E09A2"/>
    <w:pPr>
      <w:widowControl/>
      <w:ind w:right="225"/>
      <w:jc w:val="left"/>
    </w:pPr>
    <w:rPr>
      <w:rFonts w:ascii="宋体" w:hAnsi="宋体" w:cs="宋体"/>
      <w:kern w:val="0"/>
      <w:sz w:val="24"/>
      <w:szCs w:val="24"/>
    </w:rPr>
  </w:style>
  <w:style w:type="paragraph" w:customStyle="1" w:styleId="tongjifuwuleft02b">
    <w:name w:val="tongjifuwu_left02_b"/>
    <w:basedOn w:val="Normal"/>
    <w:uiPriority w:val="99"/>
    <w:rsid w:val="002E09A2"/>
    <w:pPr>
      <w:widowControl/>
      <w:jc w:val="left"/>
    </w:pPr>
    <w:rPr>
      <w:rFonts w:ascii="宋体" w:hAnsi="宋体" w:cs="宋体"/>
      <w:kern w:val="0"/>
      <w:sz w:val="24"/>
      <w:szCs w:val="24"/>
    </w:rPr>
  </w:style>
  <w:style w:type="paragraph" w:customStyle="1" w:styleId="tongjifuwuleft02c">
    <w:name w:val="tongjifuwu_left02_c"/>
    <w:basedOn w:val="Normal"/>
    <w:uiPriority w:val="99"/>
    <w:rsid w:val="002E09A2"/>
    <w:pPr>
      <w:widowControl/>
      <w:ind w:right="225"/>
      <w:jc w:val="left"/>
    </w:pPr>
    <w:rPr>
      <w:rFonts w:ascii="宋体" w:hAnsi="宋体" w:cs="宋体"/>
      <w:kern w:val="0"/>
      <w:sz w:val="24"/>
      <w:szCs w:val="24"/>
    </w:rPr>
  </w:style>
  <w:style w:type="paragraph" w:customStyle="1" w:styleId="a01">
    <w:name w:val="a_01"/>
    <w:basedOn w:val="Normal"/>
    <w:uiPriority w:val="99"/>
    <w:rsid w:val="002E09A2"/>
    <w:pPr>
      <w:widowControl/>
      <w:jc w:val="left"/>
    </w:pPr>
    <w:rPr>
      <w:rFonts w:ascii="宋体" w:hAnsi="宋体" w:cs="宋体"/>
      <w:kern w:val="0"/>
      <w:sz w:val="24"/>
      <w:szCs w:val="24"/>
    </w:rPr>
  </w:style>
  <w:style w:type="paragraph" w:customStyle="1" w:styleId="a02">
    <w:name w:val="a_02"/>
    <w:basedOn w:val="Normal"/>
    <w:uiPriority w:val="99"/>
    <w:rsid w:val="002E09A2"/>
    <w:pPr>
      <w:widowControl/>
      <w:jc w:val="left"/>
    </w:pPr>
    <w:rPr>
      <w:rFonts w:ascii="宋体" w:hAnsi="宋体" w:cs="宋体"/>
      <w:kern w:val="0"/>
      <w:sz w:val="24"/>
      <w:szCs w:val="24"/>
    </w:rPr>
  </w:style>
  <w:style w:type="paragraph" w:customStyle="1" w:styleId="a03">
    <w:name w:val="a_03"/>
    <w:basedOn w:val="Normal"/>
    <w:uiPriority w:val="99"/>
    <w:rsid w:val="002E09A2"/>
    <w:pPr>
      <w:widowControl/>
      <w:jc w:val="left"/>
    </w:pPr>
    <w:rPr>
      <w:rFonts w:ascii="宋体" w:hAnsi="宋体" w:cs="宋体"/>
      <w:kern w:val="0"/>
      <w:sz w:val="24"/>
      <w:szCs w:val="24"/>
    </w:rPr>
  </w:style>
  <w:style w:type="paragraph" w:customStyle="1" w:styleId="a04">
    <w:name w:val="a_04"/>
    <w:basedOn w:val="Normal"/>
    <w:uiPriority w:val="99"/>
    <w:rsid w:val="002E09A2"/>
    <w:pPr>
      <w:widowControl/>
      <w:jc w:val="left"/>
    </w:pPr>
    <w:rPr>
      <w:rFonts w:ascii="宋体" w:hAnsi="宋体" w:cs="宋体"/>
      <w:kern w:val="0"/>
      <w:sz w:val="24"/>
      <w:szCs w:val="24"/>
    </w:rPr>
  </w:style>
  <w:style w:type="paragraph" w:customStyle="1" w:styleId="a05">
    <w:name w:val="a_05"/>
    <w:basedOn w:val="Normal"/>
    <w:uiPriority w:val="99"/>
    <w:rsid w:val="002E09A2"/>
    <w:pPr>
      <w:widowControl/>
      <w:jc w:val="left"/>
    </w:pPr>
    <w:rPr>
      <w:rFonts w:ascii="宋体" w:hAnsi="宋体" w:cs="宋体"/>
      <w:kern w:val="0"/>
      <w:sz w:val="24"/>
      <w:szCs w:val="24"/>
    </w:rPr>
  </w:style>
  <w:style w:type="paragraph" w:customStyle="1" w:styleId="a06">
    <w:name w:val="a_06"/>
    <w:basedOn w:val="Normal"/>
    <w:uiPriority w:val="99"/>
    <w:rsid w:val="002E09A2"/>
    <w:pPr>
      <w:widowControl/>
      <w:jc w:val="left"/>
    </w:pPr>
    <w:rPr>
      <w:rFonts w:ascii="宋体" w:hAnsi="宋体" w:cs="宋体"/>
      <w:kern w:val="0"/>
      <w:sz w:val="24"/>
      <w:szCs w:val="24"/>
    </w:rPr>
  </w:style>
  <w:style w:type="paragraph" w:customStyle="1" w:styleId="a07">
    <w:name w:val="a_07"/>
    <w:basedOn w:val="Normal"/>
    <w:uiPriority w:val="99"/>
    <w:rsid w:val="002E09A2"/>
    <w:pPr>
      <w:widowControl/>
      <w:jc w:val="left"/>
    </w:pPr>
    <w:rPr>
      <w:rFonts w:ascii="宋体" w:hAnsi="宋体" w:cs="宋体"/>
      <w:kern w:val="0"/>
      <w:sz w:val="24"/>
      <w:szCs w:val="24"/>
    </w:rPr>
  </w:style>
  <w:style w:type="paragraph" w:customStyle="1" w:styleId="a08">
    <w:name w:val="a_08"/>
    <w:basedOn w:val="Normal"/>
    <w:uiPriority w:val="99"/>
    <w:rsid w:val="002E09A2"/>
    <w:pPr>
      <w:widowControl/>
      <w:jc w:val="left"/>
    </w:pPr>
    <w:rPr>
      <w:rFonts w:ascii="宋体" w:hAnsi="宋体" w:cs="宋体"/>
      <w:kern w:val="0"/>
      <w:sz w:val="24"/>
      <w:szCs w:val="24"/>
    </w:rPr>
  </w:style>
  <w:style w:type="paragraph" w:customStyle="1" w:styleId="abg">
    <w:name w:val="a_bg"/>
    <w:basedOn w:val="Normal"/>
    <w:uiPriority w:val="99"/>
    <w:rsid w:val="002E09A2"/>
    <w:pPr>
      <w:widowControl/>
      <w:spacing w:before="75" w:after="75"/>
      <w:jc w:val="left"/>
    </w:pPr>
    <w:rPr>
      <w:rFonts w:ascii="宋体" w:hAnsi="宋体" w:cs="宋体"/>
      <w:kern w:val="0"/>
      <w:sz w:val="24"/>
      <w:szCs w:val="24"/>
    </w:rPr>
  </w:style>
  <w:style w:type="paragraph" w:customStyle="1" w:styleId="abg1">
    <w:name w:val="a_bg1"/>
    <w:basedOn w:val="Normal"/>
    <w:uiPriority w:val="99"/>
    <w:rsid w:val="002E09A2"/>
    <w:pPr>
      <w:widowControl/>
      <w:jc w:val="left"/>
    </w:pPr>
    <w:rPr>
      <w:rFonts w:ascii="宋体" w:hAnsi="宋体" w:cs="宋体"/>
      <w:b/>
      <w:bCs/>
      <w:color w:val="FFFFFF"/>
      <w:kern w:val="0"/>
      <w:szCs w:val="21"/>
    </w:rPr>
  </w:style>
  <w:style w:type="paragraph" w:customStyle="1" w:styleId="abg2">
    <w:name w:val="a_bg2"/>
    <w:basedOn w:val="Normal"/>
    <w:uiPriority w:val="99"/>
    <w:rsid w:val="002E09A2"/>
    <w:pPr>
      <w:widowControl/>
      <w:spacing w:before="75"/>
      <w:jc w:val="left"/>
    </w:pPr>
    <w:rPr>
      <w:rFonts w:ascii="宋体" w:hAnsi="宋体" w:cs="宋体"/>
      <w:kern w:val="0"/>
      <w:sz w:val="24"/>
      <w:szCs w:val="24"/>
    </w:rPr>
  </w:style>
  <w:style w:type="paragraph" w:customStyle="1" w:styleId="abg3">
    <w:name w:val="a_bg3"/>
    <w:basedOn w:val="Normal"/>
    <w:uiPriority w:val="99"/>
    <w:rsid w:val="002E09A2"/>
    <w:pPr>
      <w:widowControl/>
      <w:jc w:val="left"/>
    </w:pPr>
    <w:rPr>
      <w:rFonts w:ascii="宋体" w:hAnsi="宋体" w:cs="宋体"/>
      <w:b/>
      <w:bCs/>
      <w:color w:val="FFFFFF"/>
      <w:kern w:val="0"/>
      <w:szCs w:val="21"/>
    </w:rPr>
  </w:style>
  <w:style w:type="paragraph" w:customStyle="1" w:styleId="aul">
    <w:name w:val="a_ul"/>
    <w:basedOn w:val="Normal"/>
    <w:uiPriority w:val="99"/>
    <w:rsid w:val="002E09A2"/>
    <w:pPr>
      <w:widowControl/>
      <w:spacing w:before="150"/>
      <w:jc w:val="left"/>
    </w:pPr>
    <w:rPr>
      <w:rFonts w:ascii="宋体" w:hAnsi="宋体" w:cs="宋体"/>
      <w:kern w:val="0"/>
      <w:sz w:val="24"/>
      <w:szCs w:val="24"/>
    </w:rPr>
  </w:style>
  <w:style w:type="paragraph" w:customStyle="1" w:styleId="abg4">
    <w:name w:val="a_bg4"/>
    <w:basedOn w:val="Normal"/>
    <w:uiPriority w:val="99"/>
    <w:rsid w:val="002E09A2"/>
    <w:pPr>
      <w:widowControl/>
      <w:spacing w:before="225" w:after="225"/>
      <w:jc w:val="left"/>
    </w:pPr>
    <w:rPr>
      <w:rFonts w:ascii="宋体" w:hAnsi="宋体" w:cs="宋体"/>
      <w:kern w:val="0"/>
      <w:sz w:val="24"/>
      <w:szCs w:val="24"/>
    </w:rPr>
  </w:style>
  <w:style w:type="paragraph" w:customStyle="1" w:styleId="abg5">
    <w:name w:val="a_bg5"/>
    <w:basedOn w:val="Normal"/>
    <w:uiPriority w:val="99"/>
    <w:rsid w:val="002E09A2"/>
    <w:pPr>
      <w:widowControl/>
      <w:jc w:val="left"/>
    </w:pPr>
    <w:rPr>
      <w:rFonts w:ascii="宋体" w:hAnsi="宋体" w:cs="宋体"/>
      <w:kern w:val="0"/>
      <w:sz w:val="24"/>
      <w:szCs w:val="24"/>
    </w:rPr>
  </w:style>
  <w:style w:type="paragraph" w:customStyle="1" w:styleId="tongjifuwuright">
    <w:name w:val="tongjifuwu_right"/>
    <w:basedOn w:val="Normal"/>
    <w:uiPriority w:val="99"/>
    <w:rsid w:val="002E09A2"/>
    <w:pPr>
      <w:widowControl/>
      <w:ind w:left="150"/>
      <w:jc w:val="left"/>
    </w:pPr>
    <w:rPr>
      <w:rFonts w:ascii="宋体" w:hAnsi="宋体" w:cs="宋体"/>
      <w:kern w:val="0"/>
      <w:sz w:val="24"/>
      <w:szCs w:val="24"/>
    </w:rPr>
  </w:style>
  <w:style w:type="paragraph" w:customStyle="1" w:styleId="tonjifuwurightb">
    <w:name w:val="tonjifuwu_right_b"/>
    <w:basedOn w:val="Normal"/>
    <w:uiPriority w:val="99"/>
    <w:rsid w:val="002E09A2"/>
    <w:pPr>
      <w:widowControl/>
      <w:spacing w:line="525" w:lineRule="atLeast"/>
      <w:jc w:val="center"/>
    </w:pPr>
    <w:rPr>
      <w:rFonts w:ascii="宋体" w:hAnsi="宋体" w:cs="宋体"/>
      <w:b/>
      <w:bCs/>
      <w:color w:val="D36711"/>
      <w:kern w:val="0"/>
      <w:szCs w:val="21"/>
    </w:rPr>
  </w:style>
  <w:style w:type="paragraph" w:customStyle="1" w:styleId="tonjifuwurightc">
    <w:name w:val="tonjifuwu_right_c"/>
    <w:basedOn w:val="Normal"/>
    <w:uiPriority w:val="99"/>
    <w:rsid w:val="002E09A2"/>
    <w:pPr>
      <w:widowControl/>
      <w:jc w:val="left"/>
    </w:pPr>
    <w:rPr>
      <w:rFonts w:ascii="宋体" w:hAnsi="宋体" w:cs="宋体"/>
      <w:kern w:val="0"/>
      <w:sz w:val="24"/>
      <w:szCs w:val="24"/>
    </w:rPr>
  </w:style>
  <w:style w:type="paragraph" w:customStyle="1" w:styleId="tonjifuwurightp">
    <w:name w:val="tonjifuwu_right_p"/>
    <w:basedOn w:val="Normal"/>
    <w:uiPriority w:val="99"/>
    <w:rsid w:val="002E09A2"/>
    <w:pPr>
      <w:widowControl/>
      <w:spacing w:line="315" w:lineRule="atLeast"/>
      <w:ind w:firstLine="300"/>
      <w:jc w:val="left"/>
    </w:pPr>
    <w:rPr>
      <w:rFonts w:ascii="宋体" w:hAnsi="宋体" w:cs="宋体"/>
      <w:color w:val="FFFFFF"/>
      <w:kern w:val="0"/>
      <w:sz w:val="18"/>
      <w:szCs w:val="18"/>
    </w:rPr>
  </w:style>
  <w:style w:type="paragraph" w:customStyle="1" w:styleId="tonjifuwurighta">
    <w:name w:val="tonjifuwu_right_a"/>
    <w:basedOn w:val="Normal"/>
    <w:uiPriority w:val="99"/>
    <w:rsid w:val="002E09A2"/>
    <w:pPr>
      <w:widowControl/>
      <w:jc w:val="left"/>
    </w:pPr>
    <w:rPr>
      <w:rFonts w:ascii="宋体" w:hAnsi="宋体" w:cs="宋体"/>
      <w:kern w:val="0"/>
      <w:sz w:val="24"/>
      <w:szCs w:val="24"/>
    </w:rPr>
  </w:style>
  <w:style w:type="paragraph" w:customStyle="1" w:styleId="tonjifuwurightd">
    <w:name w:val="tonjifuwu_right_d"/>
    <w:basedOn w:val="Normal"/>
    <w:uiPriority w:val="99"/>
    <w:rsid w:val="002E09A2"/>
    <w:pPr>
      <w:widowControl/>
      <w:jc w:val="left"/>
    </w:pPr>
    <w:rPr>
      <w:rFonts w:ascii="宋体" w:hAnsi="宋体" w:cs="宋体"/>
      <w:kern w:val="0"/>
      <w:sz w:val="24"/>
      <w:szCs w:val="24"/>
    </w:rPr>
  </w:style>
  <w:style w:type="paragraph" w:customStyle="1" w:styleId="centerwenzhang">
    <w:name w:val="center_wenzhang"/>
    <w:basedOn w:val="Normal"/>
    <w:uiPriority w:val="99"/>
    <w:rsid w:val="002E09A2"/>
    <w:pPr>
      <w:widowControl/>
      <w:spacing w:before="150" w:after="150"/>
      <w:jc w:val="left"/>
    </w:pPr>
    <w:rPr>
      <w:rFonts w:ascii="宋体" w:hAnsi="宋体" w:cs="宋体"/>
      <w:kern w:val="0"/>
      <w:sz w:val="24"/>
      <w:szCs w:val="24"/>
    </w:rPr>
  </w:style>
  <w:style w:type="paragraph" w:customStyle="1" w:styleId="wenzhangtit">
    <w:name w:val="wenzhang_tit"/>
    <w:basedOn w:val="Normal"/>
    <w:uiPriority w:val="99"/>
    <w:rsid w:val="002E09A2"/>
    <w:pPr>
      <w:widowControl/>
      <w:jc w:val="left"/>
    </w:pPr>
    <w:rPr>
      <w:rFonts w:ascii="宋体" w:hAnsi="宋体" w:cs="宋体"/>
      <w:b/>
      <w:bCs/>
      <w:color w:val="15518B"/>
      <w:kern w:val="0"/>
      <w:szCs w:val="21"/>
    </w:rPr>
  </w:style>
  <w:style w:type="paragraph" w:customStyle="1" w:styleId="wenzhangtit01">
    <w:name w:val="wenzhang_tit01"/>
    <w:basedOn w:val="Normal"/>
    <w:uiPriority w:val="99"/>
    <w:rsid w:val="002E09A2"/>
    <w:pPr>
      <w:widowControl/>
      <w:ind w:right="300"/>
      <w:jc w:val="left"/>
    </w:pPr>
    <w:rPr>
      <w:rFonts w:ascii="宋体" w:hAnsi="宋体" w:cs="宋体"/>
      <w:color w:val="333333"/>
      <w:kern w:val="0"/>
      <w:sz w:val="18"/>
      <w:szCs w:val="18"/>
    </w:rPr>
  </w:style>
  <w:style w:type="paragraph" w:customStyle="1" w:styleId="wenzhanglist">
    <w:name w:val="wenzhang_list"/>
    <w:basedOn w:val="Normal"/>
    <w:uiPriority w:val="99"/>
    <w:rsid w:val="002E09A2"/>
    <w:pPr>
      <w:widowControl/>
      <w:ind w:left="300"/>
      <w:jc w:val="left"/>
    </w:pPr>
    <w:rPr>
      <w:rFonts w:ascii="宋体" w:hAnsi="宋体" w:cs="宋体"/>
      <w:kern w:val="0"/>
      <w:sz w:val="24"/>
      <w:szCs w:val="24"/>
    </w:rPr>
  </w:style>
  <w:style w:type="paragraph" w:customStyle="1" w:styleId="centertongjigongzuo">
    <w:name w:val="center_tongjigongzuo"/>
    <w:basedOn w:val="Normal"/>
    <w:uiPriority w:val="99"/>
    <w:rsid w:val="002E09A2"/>
    <w:pPr>
      <w:widowControl/>
      <w:jc w:val="left"/>
    </w:pPr>
    <w:rPr>
      <w:rFonts w:ascii="宋体" w:hAnsi="宋体" w:cs="宋体"/>
      <w:kern w:val="0"/>
      <w:sz w:val="24"/>
      <w:szCs w:val="24"/>
    </w:rPr>
  </w:style>
  <w:style w:type="paragraph" w:customStyle="1" w:styleId="centertongjishuju">
    <w:name w:val="center_tongjishuju"/>
    <w:basedOn w:val="Normal"/>
    <w:uiPriority w:val="99"/>
    <w:rsid w:val="002E09A2"/>
    <w:pPr>
      <w:widowControl/>
      <w:jc w:val="left"/>
    </w:pPr>
    <w:rPr>
      <w:rFonts w:ascii="宋体" w:hAnsi="宋体" w:cs="宋体"/>
      <w:kern w:val="0"/>
      <w:sz w:val="24"/>
      <w:szCs w:val="24"/>
    </w:rPr>
  </w:style>
  <w:style w:type="paragraph" w:customStyle="1" w:styleId="centertongjizhishi">
    <w:name w:val="center_tongjizhishi"/>
    <w:basedOn w:val="Normal"/>
    <w:uiPriority w:val="99"/>
    <w:rsid w:val="002E09A2"/>
    <w:pPr>
      <w:widowControl/>
      <w:jc w:val="left"/>
    </w:pPr>
    <w:rPr>
      <w:rFonts w:ascii="宋体" w:hAnsi="宋体" w:cs="宋体"/>
      <w:kern w:val="0"/>
      <w:sz w:val="24"/>
      <w:szCs w:val="24"/>
    </w:rPr>
  </w:style>
  <w:style w:type="paragraph" w:customStyle="1" w:styleId="centerzhuantierji">
    <w:name w:val="center_zhuantierji"/>
    <w:basedOn w:val="Normal"/>
    <w:uiPriority w:val="99"/>
    <w:rsid w:val="002E09A2"/>
    <w:pPr>
      <w:widowControl/>
      <w:jc w:val="left"/>
    </w:pPr>
    <w:rPr>
      <w:rFonts w:ascii="宋体" w:hAnsi="宋体" w:cs="宋体"/>
      <w:kern w:val="0"/>
      <w:sz w:val="24"/>
      <w:szCs w:val="24"/>
    </w:rPr>
  </w:style>
  <w:style w:type="paragraph" w:customStyle="1" w:styleId="centerzoujintongji">
    <w:name w:val="center_zoujintongji"/>
    <w:basedOn w:val="Normal"/>
    <w:uiPriority w:val="99"/>
    <w:rsid w:val="002E09A2"/>
    <w:pPr>
      <w:widowControl/>
      <w:jc w:val="left"/>
    </w:pPr>
    <w:rPr>
      <w:rFonts w:ascii="宋体" w:hAnsi="宋体" w:cs="宋体"/>
      <w:kern w:val="0"/>
      <w:sz w:val="24"/>
      <w:szCs w:val="24"/>
    </w:rPr>
  </w:style>
  <w:style w:type="paragraph" w:customStyle="1" w:styleId="tongjigongzuo01">
    <w:name w:val="tongjigongzuo_01"/>
    <w:basedOn w:val="Normal"/>
    <w:uiPriority w:val="99"/>
    <w:rsid w:val="002E09A2"/>
    <w:pPr>
      <w:widowControl/>
      <w:spacing w:before="150"/>
      <w:jc w:val="left"/>
    </w:pPr>
    <w:rPr>
      <w:rFonts w:ascii="宋体" w:hAnsi="宋体" w:cs="宋体"/>
      <w:kern w:val="0"/>
      <w:sz w:val="24"/>
      <w:szCs w:val="24"/>
    </w:rPr>
  </w:style>
  <w:style w:type="paragraph" w:customStyle="1" w:styleId="tongjizhishi01">
    <w:name w:val="tongjizhishi_01"/>
    <w:basedOn w:val="Normal"/>
    <w:uiPriority w:val="99"/>
    <w:rsid w:val="002E09A2"/>
    <w:pPr>
      <w:widowControl/>
      <w:spacing w:before="150"/>
      <w:jc w:val="left"/>
    </w:pPr>
    <w:rPr>
      <w:rFonts w:ascii="宋体" w:hAnsi="宋体" w:cs="宋体"/>
      <w:kern w:val="0"/>
      <w:sz w:val="24"/>
      <w:szCs w:val="24"/>
    </w:rPr>
  </w:style>
  <w:style w:type="paragraph" w:customStyle="1" w:styleId="tongjigongzuo01a">
    <w:name w:val="tongjigongzuo_01_a"/>
    <w:basedOn w:val="Normal"/>
    <w:uiPriority w:val="99"/>
    <w:rsid w:val="002E09A2"/>
    <w:pPr>
      <w:widowControl/>
      <w:pBdr>
        <w:top w:val="single" w:sz="6" w:space="8" w:color="BBBBBB"/>
        <w:left w:val="single" w:sz="6" w:space="15" w:color="BBBBBB"/>
        <w:bottom w:val="single" w:sz="6" w:space="8" w:color="BBBBBB"/>
        <w:right w:val="single" w:sz="6" w:space="15" w:color="BBBBBB"/>
      </w:pBdr>
      <w:jc w:val="left"/>
    </w:pPr>
    <w:rPr>
      <w:rFonts w:ascii="宋体" w:hAnsi="宋体" w:cs="宋体"/>
      <w:kern w:val="0"/>
      <w:sz w:val="24"/>
      <w:szCs w:val="24"/>
    </w:rPr>
  </w:style>
  <w:style w:type="paragraph" w:customStyle="1" w:styleId="tjgz01a">
    <w:name w:val="tjgz_01_a"/>
    <w:basedOn w:val="Normal"/>
    <w:uiPriority w:val="99"/>
    <w:rsid w:val="002E09A2"/>
    <w:pPr>
      <w:widowControl/>
      <w:spacing w:after="150"/>
      <w:jc w:val="left"/>
    </w:pPr>
    <w:rPr>
      <w:rFonts w:ascii="宋体" w:hAnsi="宋体" w:cs="宋体"/>
      <w:kern w:val="0"/>
      <w:sz w:val="24"/>
      <w:szCs w:val="24"/>
    </w:rPr>
  </w:style>
  <w:style w:type="paragraph" w:customStyle="1" w:styleId="tjgz01line">
    <w:name w:val="tjgz_01line"/>
    <w:basedOn w:val="Normal"/>
    <w:uiPriority w:val="99"/>
    <w:rsid w:val="002E09A2"/>
    <w:pPr>
      <w:widowControl/>
      <w:pBdr>
        <w:bottom w:val="single" w:sz="6" w:space="0" w:color="CCCCCC"/>
      </w:pBdr>
      <w:spacing w:after="150" w:line="330" w:lineRule="atLeast"/>
      <w:jc w:val="left"/>
    </w:pPr>
    <w:rPr>
      <w:rFonts w:ascii="宋体" w:hAnsi="宋体" w:cs="宋体"/>
      <w:kern w:val="0"/>
      <w:sz w:val="24"/>
      <w:szCs w:val="24"/>
    </w:rPr>
  </w:style>
  <w:style w:type="paragraph" w:customStyle="1" w:styleId="tzgz01genduo">
    <w:name w:val="tzgz_01_genduo"/>
    <w:basedOn w:val="Normal"/>
    <w:uiPriority w:val="99"/>
    <w:rsid w:val="002E09A2"/>
    <w:pPr>
      <w:widowControl/>
      <w:jc w:val="left"/>
    </w:pPr>
    <w:rPr>
      <w:rFonts w:ascii="宋体" w:hAnsi="宋体" w:cs="宋体"/>
      <w:b/>
      <w:bCs/>
      <w:color w:val="636262"/>
      <w:kern w:val="0"/>
      <w:sz w:val="18"/>
      <w:szCs w:val="18"/>
    </w:rPr>
  </w:style>
  <w:style w:type="paragraph" w:customStyle="1" w:styleId="tongjigongzuo01b">
    <w:name w:val="tongjigongzuo_01_b"/>
    <w:basedOn w:val="Normal"/>
    <w:uiPriority w:val="99"/>
    <w:rsid w:val="002E09A2"/>
    <w:pPr>
      <w:widowControl/>
      <w:ind w:left="150"/>
      <w:jc w:val="left"/>
    </w:pPr>
    <w:rPr>
      <w:rFonts w:ascii="宋体" w:hAnsi="宋体" w:cs="宋体"/>
      <w:kern w:val="0"/>
      <w:sz w:val="24"/>
      <w:szCs w:val="24"/>
    </w:rPr>
  </w:style>
  <w:style w:type="paragraph" w:customStyle="1" w:styleId="tjgzdttit">
    <w:name w:val="tjgz_dt_tit"/>
    <w:basedOn w:val="Normal"/>
    <w:uiPriority w:val="99"/>
    <w:rsid w:val="002E09A2"/>
    <w:pPr>
      <w:widowControl/>
      <w:jc w:val="left"/>
    </w:pPr>
    <w:rPr>
      <w:rFonts w:ascii="宋体" w:hAnsi="宋体" w:cs="宋体"/>
      <w:kern w:val="0"/>
      <w:sz w:val="24"/>
      <w:szCs w:val="24"/>
    </w:rPr>
  </w:style>
  <w:style w:type="paragraph" w:customStyle="1" w:styleId="tjgzdtcont">
    <w:name w:val="tjgz_dt_cont"/>
    <w:basedOn w:val="Normal"/>
    <w:uiPriority w:val="99"/>
    <w:rsid w:val="002E09A2"/>
    <w:pPr>
      <w:widowControl/>
      <w:pBdr>
        <w:top w:val="single" w:sz="6" w:space="11" w:color="DDDDDD"/>
        <w:left w:val="single" w:sz="6" w:space="11" w:color="DDDDDD"/>
        <w:bottom w:val="single" w:sz="6" w:space="11" w:color="DDDDDD"/>
        <w:right w:val="single" w:sz="6" w:space="11" w:color="DDDDDD"/>
      </w:pBdr>
      <w:jc w:val="left"/>
    </w:pPr>
    <w:rPr>
      <w:rFonts w:ascii="宋体" w:hAnsi="宋体" w:cs="宋体"/>
      <w:kern w:val="0"/>
      <w:sz w:val="24"/>
      <w:szCs w:val="24"/>
    </w:rPr>
  </w:style>
  <w:style w:type="paragraph" w:customStyle="1" w:styleId="tjgzlistcont">
    <w:name w:val="tjgz_list_cont"/>
    <w:basedOn w:val="Normal"/>
    <w:uiPriority w:val="99"/>
    <w:rsid w:val="002E09A2"/>
    <w:pPr>
      <w:widowControl/>
      <w:spacing w:before="150"/>
      <w:jc w:val="left"/>
    </w:pPr>
    <w:rPr>
      <w:rFonts w:ascii="宋体" w:hAnsi="宋体" w:cs="宋体"/>
      <w:kern w:val="0"/>
      <w:sz w:val="24"/>
      <w:szCs w:val="24"/>
    </w:rPr>
  </w:style>
  <w:style w:type="paragraph" w:customStyle="1" w:styleId="tongjigongzuo02">
    <w:name w:val="tongjigongzuo_02"/>
    <w:basedOn w:val="Normal"/>
    <w:uiPriority w:val="99"/>
    <w:rsid w:val="002E09A2"/>
    <w:pPr>
      <w:widowControl/>
      <w:spacing w:before="300"/>
      <w:jc w:val="left"/>
    </w:pPr>
    <w:rPr>
      <w:rFonts w:ascii="宋体" w:hAnsi="宋体" w:cs="宋体"/>
      <w:kern w:val="0"/>
      <w:sz w:val="24"/>
      <w:szCs w:val="24"/>
    </w:rPr>
  </w:style>
  <w:style w:type="paragraph" w:customStyle="1" w:styleId="tongjizhishi02">
    <w:name w:val="tongjizhishi_02"/>
    <w:basedOn w:val="Normal"/>
    <w:uiPriority w:val="99"/>
    <w:rsid w:val="002E09A2"/>
    <w:pPr>
      <w:widowControl/>
      <w:spacing w:before="150"/>
      <w:jc w:val="left"/>
    </w:pPr>
    <w:rPr>
      <w:rFonts w:ascii="宋体" w:hAnsi="宋体" w:cs="宋体"/>
      <w:kern w:val="0"/>
      <w:sz w:val="24"/>
      <w:szCs w:val="24"/>
    </w:rPr>
  </w:style>
  <w:style w:type="paragraph" w:customStyle="1" w:styleId="tongjigongzuo02a">
    <w:name w:val="tongjigongzuo_02_a"/>
    <w:basedOn w:val="Normal"/>
    <w:uiPriority w:val="99"/>
    <w:rsid w:val="002E09A2"/>
    <w:pPr>
      <w:widowControl/>
      <w:pBdr>
        <w:top w:val="single" w:sz="6" w:space="0" w:color="C2C2C2"/>
        <w:left w:val="single" w:sz="6" w:space="0" w:color="C2C2C2"/>
        <w:bottom w:val="single" w:sz="6" w:space="11" w:color="C2C2C2"/>
        <w:right w:val="single" w:sz="6" w:space="0" w:color="C2C2C2"/>
      </w:pBdr>
      <w:jc w:val="left"/>
    </w:pPr>
    <w:rPr>
      <w:rFonts w:ascii="宋体" w:hAnsi="宋体" w:cs="宋体"/>
      <w:kern w:val="0"/>
      <w:sz w:val="24"/>
      <w:szCs w:val="24"/>
    </w:rPr>
  </w:style>
  <w:style w:type="paragraph" w:customStyle="1" w:styleId="tzggtit">
    <w:name w:val="tzgg_tit"/>
    <w:basedOn w:val="Normal"/>
    <w:uiPriority w:val="99"/>
    <w:rsid w:val="002E09A2"/>
    <w:pPr>
      <w:widowControl/>
      <w:ind w:left="150"/>
      <w:jc w:val="left"/>
    </w:pPr>
    <w:rPr>
      <w:rFonts w:ascii="宋体" w:hAnsi="宋体" w:cs="宋体"/>
      <w:kern w:val="0"/>
      <w:sz w:val="24"/>
      <w:szCs w:val="24"/>
    </w:rPr>
  </w:style>
  <w:style w:type="paragraph" w:customStyle="1" w:styleId="tzgggenduo">
    <w:name w:val="tzgg_genduo"/>
    <w:basedOn w:val="Normal"/>
    <w:uiPriority w:val="99"/>
    <w:rsid w:val="002E09A2"/>
    <w:pPr>
      <w:widowControl/>
      <w:jc w:val="left"/>
    </w:pPr>
    <w:rPr>
      <w:rFonts w:ascii="宋体" w:hAnsi="宋体" w:cs="宋体"/>
      <w:kern w:val="0"/>
      <w:sz w:val="24"/>
      <w:szCs w:val="24"/>
    </w:rPr>
  </w:style>
  <w:style w:type="paragraph" w:customStyle="1" w:styleId="tzggul">
    <w:name w:val="tzgg_ul"/>
    <w:basedOn w:val="Normal"/>
    <w:uiPriority w:val="99"/>
    <w:rsid w:val="002E09A2"/>
    <w:pPr>
      <w:widowControl/>
      <w:jc w:val="left"/>
    </w:pPr>
    <w:rPr>
      <w:rFonts w:ascii="宋体" w:hAnsi="宋体" w:cs="宋体"/>
      <w:kern w:val="0"/>
      <w:sz w:val="24"/>
      <w:szCs w:val="24"/>
    </w:rPr>
  </w:style>
  <w:style w:type="paragraph" w:customStyle="1" w:styleId="tongjigongzuo02b">
    <w:name w:val="tongjigongzuo_02_b"/>
    <w:basedOn w:val="Normal"/>
    <w:uiPriority w:val="99"/>
    <w:rsid w:val="002E09A2"/>
    <w:pPr>
      <w:widowControl/>
      <w:pBdr>
        <w:top w:val="single" w:sz="6" w:space="0" w:color="C2C2C2"/>
        <w:left w:val="single" w:sz="6" w:space="0" w:color="C2C2C2"/>
        <w:bottom w:val="single" w:sz="6" w:space="5" w:color="C2C2C2"/>
        <w:right w:val="single" w:sz="6" w:space="0" w:color="C2C2C2"/>
      </w:pBdr>
      <w:ind w:left="150"/>
      <w:jc w:val="left"/>
    </w:pPr>
    <w:rPr>
      <w:rFonts w:ascii="宋体" w:hAnsi="宋体" w:cs="宋体"/>
      <w:kern w:val="0"/>
      <w:sz w:val="24"/>
      <w:szCs w:val="24"/>
    </w:rPr>
  </w:style>
  <w:style w:type="paragraph" w:customStyle="1" w:styleId="newstit">
    <w:name w:val="news_tit"/>
    <w:basedOn w:val="Normal"/>
    <w:uiPriority w:val="99"/>
    <w:rsid w:val="002E09A2"/>
    <w:pPr>
      <w:widowControl/>
      <w:pBdr>
        <w:bottom w:val="single" w:sz="12" w:space="0" w:color="1C7ABF"/>
      </w:pBdr>
      <w:jc w:val="left"/>
    </w:pPr>
    <w:rPr>
      <w:rFonts w:ascii="宋体" w:hAnsi="宋体" w:cs="宋体"/>
      <w:kern w:val="0"/>
      <w:sz w:val="24"/>
      <w:szCs w:val="24"/>
    </w:rPr>
  </w:style>
  <w:style w:type="paragraph" w:customStyle="1" w:styleId="tjzsgenduoa">
    <w:name w:val="tjzs_genduoa"/>
    <w:basedOn w:val="Normal"/>
    <w:uiPriority w:val="99"/>
    <w:rsid w:val="002E09A2"/>
    <w:pPr>
      <w:widowControl/>
      <w:pBdr>
        <w:bottom w:val="single" w:sz="12" w:space="0" w:color="1C7ABF"/>
      </w:pBdr>
      <w:jc w:val="left"/>
    </w:pPr>
    <w:rPr>
      <w:rFonts w:ascii="宋体" w:hAnsi="宋体" w:cs="宋体"/>
      <w:kern w:val="0"/>
      <w:sz w:val="24"/>
      <w:szCs w:val="24"/>
    </w:rPr>
  </w:style>
  <w:style w:type="paragraph" w:customStyle="1" w:styleId="newscont">
    <w:name w:val="news_cont"/>
    <w:basedOn w:val="Normal"/>
    <w:uiPriority w:val="99"/>
    <w:rsid w:val="002E09A2"/>
    <w:pPr>
      <w:widowControl/>
      <w:jc w:val="left"/>
    </w:pPr>
    <w:rPr>
      <w:rFonts w:ascii="宋体" w:hAnsi="宋体" w:cs="宋体"/>
      <w:kern w:val="0"/>
      <w:sz w:val="24"/>
      <w:szCs w:val="24"/>
    </w:rPr>
  </w:style>
  <w:style w:type="paragraph" w:customStyle="1" w:styleId="gongbaolist">
    <w:name w:val="gongbao_list"/>
    <w:basedOn w:val="Normal"/>
    <w:uiPriority w:val="99"/>
    <w:rsid w:val="002E09A2"/>
    <w:pPr>
      <w:widowControl/>
      <w:jc w:val="left"/>
    </w:pPr>
    <w:rPr>
      <w:rFonts w:ascii="宋体" w:hAnsi="宋体" w:cs="宋体"/>
      <w:kern w:val="0"/>
      <w:sz w:val="24"/>
      <w:szCs w:val="24"/>
    </w:rPr>
  </w:style>
  <w:style w:type="paragraph" w:customStyle="1" w:styleId="newscontimg">
    <w:name w:val="news_cont_img"/>
    <w:basedOn w:val="Normal"/>
    <w:uiPriority w:val="99"/>
    <w:rsid w:val="002E09A2"/>
    <w:pPr>
      <w:widowControl/>
      <w:ind w:left="150" w:right="150"/>
      <w:jc w:val="left"/>
    </w:pPr>
    <w:rPr>
      <w:rFonts w:ascii="宋体" w:hAnsi="宋体" w:cs="宋体"/>
      <w:kern w:val="0"/>
      <w:sz w:val="24"/>
      <w:szCs w:val="24"/>
    </w:rPr>
  </w:style>
  <w:style w:type="paragraph" w:customStyle="1" w:styleId="newscontm">
    <w:name w:val="news_cont_m"/>
    <w:basedOn w:val="Normal"/>
    <w:uiPriority w:val="99"/>
    <w:rsid w:val="002E09A2"/>
    <w:pPr>
      <w:widowControl/>
      <w:spacing w:before="225"/>
      <w:jc w:val="left"/>
    </w:pPr>
    <w:rPr>
      <w:rFonts w:ascii="宋体" w:hAnsi="宋体" w:cs="宋体"/>
      <w:kern w:val="0"/>
      <w:sz w:val="24"/>
      <w:szCs w:val="24"/>
    </w:rPr>
  </w:style>
  <w:style w:type="paragraph" w:customStyle="1" w:styleId="newsline">
    <w:name w:val="news_line"/>
    <w:basedOn w:val="Normal"/>
    <w:uiPriority w:val="99"/>
    <w:rsid w:val="002E09A2"/>
    <w:pPr>
      <w:widowControl/>
      <w:pBdr>
        <w:left w:val="single" w:sz="6" w:space="0" w:color="DAD9D9"/>
      </w:pBdr>
      <w:ind w:left="15" w:right="15"/>
      <w:jc w:val="left"/>
    </w:pPr>
    <w:rPr>
      <w:rFonts w:ascii="宋体" w:hAnsi="宋体" w:cs="宋体"/>
      <w:kern w:val="0"/>
      <w:sz w:val="24"/>
      <w:szCs w:val="24"/>
    </w:rPr>
  </w:style>
  <w:style w:type="paragraph" w:customStyle="1" w:styleId="newsul">
    <w:name w:val="news_ul"/>
    <w:basedOn w:val="Normal"/>
    <w:uiPriority w:val="99"/>
    <w:rsid w:val="002E09A2"/>
    <w:pPr>
      <w:widowControl/>
      <w:spacing w:before="150"/>
      <w:ind w:left="150"/>
      <w:jc w:val="left"/>
    </w:pPr>
    <w:rPr>
      <w:rFonts w:ascii="宋体" w:hAnsi="宋体" w:cs="宋体"/>
      <w:kern w:val="0"/>
      <w:sz w:val="24"/>
      <w:szCs w:val="24"/>
    </w:rPr>
  </w:style>
  <w:style w:type="paragraph" w:customStyle="1" w:styleId="centertongjishuju01">
    <w:name w:val="center_tongjishuju01"/>
    <w:basedOn w:val="Normal"/>
    <w:uiPriority w:val="99"/>
    <w:rsid w:val="002E09A2"/>
    <w:pPr>
      <w:widowControl/>
      <w:jc w:val="left"/>
    </w:pPr>
    <w:rPr>
      <w:rFonts w:ascii="宋体" w:hAnsi="宋体" w:cs="宋体"/>
      <w:kern w:val="0"/>
      <w:sz w:val="24"/>
      <w:szCs w:val="24"/>
    </w:rPr>
  </w:style>
  <w:style w:type="paragraph" w:customStyle="1" w:styleId="centertongjishuju02">
    <w:name w:val="center_tongjishuju02"/>
    <w:basedOn w:val="Normal"/>
    <w:uiPriority w:val="99"/>
    <w:rsid w:val="002E09A2"/>
    <w:pPr>
      <w:widowControl/>
      <w:ind w:left="225"/>
      <w:jc w:val="left"/>
    </w:pPr>
    <w:rPr>
      <w:rFonts w:ascii="宋体" w:hAnsi="宋体" w:cs="宋体"/>
      <w:kern w:val="0"/>
      <w:sz w:val="24"/>
      <w:szCs w:val="24"/>
    </w:rPr>
  </w:style>
  <w:style w:type="paragraph" w:customStyle="1" w:styleId="tongjishuju02b">
    <w:name w:val="tongjishuju_02_b"/>
    <w:basedOn w:val="Normal"/>
    <w:uiPriority w:val="99"/>
    <w:rsid w:val="002E09A2"/>
    <w:pPr>
      <w:widowControl/>
      <w:pBdr>
        <w:top w:val="single" w:sz="6" w:space="0" w:color="C2C2C2"/>
        <w:left w:val="single" w:sz="6" w:space="0" w:color="C2C2C2"/>
        <w:bottom w:val="single" w:sz="6" w:space="5" w:color="C2C2C2"/>
        <w:right w:val="single" w:sz="6" w:space="0" w:color="C2C2C2"/>
      </w:pBdr>
      <w:jc w:val="left"/>
    </w:pPr>
    <w:rPr>
      <w:rFonts w:ascii="宋体" w:hAnsi="宋体" w:cs="宋体"/>
      <w:kern w:val="0"/>
      <w:sz w:val="24"/>
      <w:szCs w:val="24"/>
    </w:rPr>
  </w:style>
  <w:style w:type="paragraph" w:customStyle="1" w:styleId="centershujuyugao">
    <w:name w:val="center_shuju_yugao"/>
    <w:basedOn w:val="Normal"/>
    <w:uiPriority w:val="99"/>
    <w:rsid w:val="002E09A2"/>
    <w:pPr>
      <w:widowControl/>
      <w:spacing w:after="150"/>
      <w:jc w:val="left"/>
    </w:pPr>
    <w:rPr>
      <w:rFonts w:ascii="宋体" w:hAnsi="宋体" w:cs="宋体"/>
      <w:kern w:val="0"/>
      <w:sz w:val="24"/>
      <w:szCs w:val="24"/>
    </w:rPr>
  </w:style>
  <w:style w:type="paragraph" w:customStyle="1" w:styleId="shujufabu">
    <w:name w:val="shuju_fabu"/>
    <w:basedOn w:val="Normal"/>
    <w:uiPriority w:val="99"/>
    <w:rsid w:val="002E09A2"/>
    <w:pPr>
      <w:widowControl/>
      <w:ind w:left="270"/>
      <w:jc w:val="left"/>
    </w:pPr>
    <w:rPr>
      <w:rFonts w:ascii="宋体" w:hAnsi="宋体" w:cs="宋体"/>
      <w:kern w:val="0"/>
      <w:sz w:val="24"/>
      <w:szCs w:val="24"/>
    </w:rPr>
  </w:style>
  <w:style w:type="paragraph" w:customStyle="1" w:styleId="fabutit">
    <w:name w:val="fabu_tit"/>
    <w:basedOn w:val="Normal"/>
    <w:uiPriority w:val="99"/>
    <w:rsid w:val="002E09A2"/>
    <w:pPr>
      <w:widowControl/>
      <w:jc w:val="center"/>
    </w:pPr>
    <w:rPr>
      <w:rFonts w:ascii="微软雅黑" w:eastAsia="微软雅黑" w:hAnsi="微软雅黑" w:cs="宋体"/>
      <w:kern w:val="0"/>
      <w:sz w:val="36"/>
      <w:szCs w:val="36"/>
    </w:rPr>
  </w:style>
  <w:style w:type="paragraph" w:customStyle="1" w:styleId="fabup">
    <w:name w:val="fabu_p"/>
    <w:basedOn w:val="Normal"/>
    <w:uiPriority w:val="99"/>
    <w:rsid w:val="002E09A2"/>
    <w:pPr>
      <w:widowControl/>
      <w:spacing w:line="330" w:lineRule="atLeast"/>
      <w:jc w:val="left"/>
    </w:pPr>
    <w:rPr>
      <w:rFonts w:ascii="宋体" w:hAnsi="宋体" w:cs="宋体"/>
      <w:color w:val="666666"/>
      <w:kern w:val="0"/>
      <w:sz w:val="24"/>
      <w:szCs w:val="24"/>
    </w:rPr>
  </w:style>
  <w:style w:type="paragraph" w:customStyle="1" w:styleId="shujuul">
    <w:name w:val="shuju_ul"/>
    <w:basedOn w:val="Normal"/>
    <w:uiPriority w:val="99"/>
    <w:rsid w:val="002E09A2"/>
    <w:pPr>
      <w:widowControl/>
      <w:pBdr>
        <w:top w:val="single" w:sz="12" w:space="0" w:color="666666"/>
      </w:pBdr>
      <w:jc w:val="left"/>
    </w:pPr>
    <w:rPr>
      <w:rFonts w:ascii="宋体" w:hAnsi="宋体" w:cs="宋体"/>
      <w:kern w:val="0"/>
      <w:sz w:val="24"/>
      <w:szCs w:val="24"/>
    </w:rPr>
  </w:style>
  <w:style w:type="paragraph" w:customStyle="1" w:styleId="shujutime">
    <w:name w:val="shuju_time"/>
    <w:basedOn w:val="Normal"/>
    <w:uiPriority w:val="99"/>
    <w:rsid w:val="002E09A2"/>
    <w:pPr>
      <w:widowControl/>
      <w:ind w:right="150"/>
      <w:jc w:val="left"/>
    </w:pPr>
    <w:rPr>
      <w:rFonts w:ascii="宋体" w:hAnsi="宋体" w:cs="宋体"/>
      <w:color w:val="666666"/>
      <w:kern w:val="0"/>
      <w:sz w:val="24"/>
      <w:szCs w:val="24"/>
    </w:rPr>
  </w:style>
  <w:style w:type="paragraph" w:customStyle="1" w:styleId="tab">
    <w:name w:val="tab"/>
    <w:basedOn w:val="Normal"/>
    <w:uiPriority w:val="99"/>
    <w:rsid w:val="002E09A2"/>
    <w:pPr>
      <w:widowControl/>
      <w:pBdr>
        <w:top w:val="single" w:sz="6" w:space="0" w:color="C7CED1"/>
        <w:left w:val="single" w:sz="6" w:space="0" w:color="C7CED1"/>
        <w:bottom w:val="single" w:sz="6" w:space="0" w:color="C7CED1"/>
        <w:right w:val="single" w:sz="6" w:space="0" w:color="C7CED1"/>
      </w:pBdr>
      <w:jc w:val="left"/>
    </w:pPr>
    <w:rPr>
      <w:rFonts w:ascii="宋体" w:hAnsi="宋体" w:cs="宋体"/>
      <w:kern w:val="0"/>
      <w:sz w:val="24"/>
      <w:szCs w:val="24"/>
    </w:rPr>
  </w:style>
  <w:style w:type="paragraph" w:customStyle="1" w:styleId="centerfabuyg">
    <w:name w:val="center_fabuyg"/>
    <w:basedOn w:val="Normal"/>
    <w:uiPriority w:val="99"/>
    <w:rsid w:val="002E09A2"/>
    <w:pPr>
      <w:widowControl/>
      <w:pBdr>
        <w:top w:val="single" w:sz="6" w:space="0" w:color="C7CED1"/>
        <w:left w:val="single" w:sz="6" w:space="0" w:color="C7CED1"/>
        <w:bottom w:val="single" w:sz="6" w:space="0" w:color="C7CED1"/>
        <w:right w:val="single" w:sz="6" w:space="0" w:color="C7CED1"/>
      </w:pBdr>
      <w:shd w:val="clear" w:color="auto" w:fill="ECECEC"/>
      <w:ind w:left="165"/>
      <w:jc w:val="left"/>
    </w:pPr>
    <w:rPr>
      <w:rFonts w:ascii="宋体" w:hAnsi="宋体" w:cs="宋体"/>
      <w:kern w:val="0"/>
      <w:sz w:val="24"/>
      <w:szCs w:val="24"/>
    </w:rPr>
  </w:style>
  <w:style w:type="paragraph" w:customStyle="1" w:styleId="centertjshuju">
    <w:name w:val="center_tjshuju"/>
    <w:basedOn w:val="Normal"/>
    <w:uiPriority w:val="99"/>
    <w:rsid w:val="002E09A2"/>
    <w:pPr>
      <w:widowControl/>
      <w:jc w:val="left"/>
    </w:pPr>
    <w:rPr>
      <w:rFonts w:ascii="宋体" w:hAnsi="宋体" w:cs="宋体"/>
      <w:kern w:val="0"/>
      <w:sz w:val="24"/>
      <w:szCs w:val="24"/>
    </w:rPr>
  </w:style>
  <w:style w:type="paragraph" w:customStyle="1" w:styleId="tjsjtit">
    <w:name w:val="tjsj_tit"/>
    <w:basedOn w:val="Normal"/>
    <w:uiPriority w:val="99"/>
    <w:rsid w:val="002E09A2"/>
    <w:pPr>
      <w:widowControl/>
      <w:pBdr>
        <w:bottom w:val="single" w:sz="12" w:space="0" w:color="C7CED1"/>
      </w:pBdr>
      <w:spacing w:line="600" w:lineRule="atLeast"/>
      <w:jc w:val="left"/>
    </w:pPr>
    <w:rPr>
      <w:rFonts w:ascii="微软雅黑" w:eastAsia="微软雅黑" w:hAnsi="微软雅黑" w:cs="宋体"/>
      <w:color w:val="C9140B"/>
      <w:kern w:val="0"/>
      <w:sz w:val="30"/>
      <w:szCs w:val="30"/>
    </w:rPr>
  </w:style>
  <w:style w:type="paragraph" w:customStyle="1" w:styleId="fabuygtit">
    <w:name w:val="fabu_yg_tit"/>
    <w:basedOn w:val="Normal"/>
    <w:uiPriority w:val="99"/>
    <w:rsid w:val="002E09A2"/>
    <w:pPr>
      <w:widowControl/>
      <w:pBdr>
        <w:bottom w:val="single" w:sz="12" w:space="0" w:color="BE2E0A"/>
      </w:pBdr>
      <w:spacing w:line="600" w:lineRule="atLeast"/>
      <w:jc w:val="left"/>
    </w:pPr>
    <w:rPr>
      <w:rFonts w:ascii="微软雅黑" w:eastAsia="微软雅黑" w:hAnsi="微软雅黑" w:cs="宋体"/>
      <w:color w:val="064174"/>
      <w:kern w:val="0"/>
      <w:sz w:val="30"/>
      <w:szCs w:val="30"/>
    </w:rPr>
  </w:style>
  <w:style w:type="paragraph" w:customStyle="1" w:styleId="tjsjtit01">
    <w:name w:val="tjsj_tit01"/>
    <w:basedOn w:val="Normal"/>
    <w:uiPriority w:val="99"/>
    <w:rsid w:val="002E09A2"/>
    <w:pPr>
      <w:widowControl/>
      <w:jc w:val="left"/>
    </w:pPr>
    <w:rPr>
      <w:rFonts w:ascii="宋体" w:hAnsi="宋体" w:cs="宋体"/>
      <w:kern w:val="0"/>
      <w:sz w:val="24"/>
      <w:szCs w:val="24"/>
    </w:rPr>
  </w:style>
  <w:style w:type="paragraph" w:customStyle="1" w:styleId="tjsjlinehome">
    <w:name w:val="tjsj_linehome"/>
    <w:basedOn w:val="Normal"/>
    <w:uiPriority w:val="99"/>
    <w:rsid w:val="002E09A2"/>
    <w:pPr>
      <w:widowControl/>
      <w:jc w:val="left"/>
    </w:pPr>
    <w:rPr>
      <w:rFonts w:ascii="宋体" w:hAnsi="宋体" w:cs="宋体"/>
      <w:kern w:val="0"/>
      <w:sz w:val="24"/>
      <w:szCs w:val="24"/>
    </w:rPr>
  </w:style>
  <w:style w:type="paragraph" w:customStyle="1" w:styleId="fabuygcont">
    <w:name w:val="fabu_yg_cont"/>
    <w:basedOn w:val="Normal"/>
    <w:uiPriority w:val="99"/>
    <w:rsid w:val="002E09A2"/>
    <w:pPr>
      <w:widowControl/>
      <w:jc w:val="left"/>
    </w:pPr>
    <w:rPr>
      <w:rFonts w:ascii="宋体" w:hAnsi="宋体" w:cs="宋体"/>
      <w:kern w:val="0"/>
      <w:sz w:val="24"/>
      <w:szCs w:val="24"/>
    </w:rPr>
  </w:style>
  <w:style w:type="paragraph" w:customStyle="1" w:styleId="ygcont">
    <w:name w:val="yg_cont"/>
    <w:basedOn w:val="Normal"/>
    <w:uiPriority w:val="99"/>
    <w:rsid w:val="002E09A2"/>
    <w:pPr>
      <w:widowControl/>
      <w:ind w:left="150"/>
      <w:jc w:val="left"/>
    </w:pPr>
    <w:rPr>
      <w:rFonts w:ascii="宋体" w:hAnsi="宋体" w:cs="宋体"/>
      <w:color w:val="273F5F"/>
      <w:kern w:val="0"/>
      <w:sz w:val="24"/>
      <w:szCs w:val="24"/>
    </w:rPr>
  </w:style>
  <w:style w:type="paragraph" w:customStyle="1" w:styleId="fabucontti">
    <w:name w:val="fabu_cont_ti"/>
    <w:basedOn w:val="Normal"/>
    <w:uiPriority w:val="99"/>
    <w:rsid w:val="002E09A2"/>
    <w:pPr>
      <w:widowControl/>
      <w:jc w:val="left"/>
    </w:pPr>
    <w:rPr>
      <w:rFonts w:ascii="宋体" w:hAnsi="宋体" w:cs="宋体"/>
      <w:color w:val="FFFFFF"/>
      <w:kern w:val="0"/>
      <w:sz w:val="24"/>
      <w:szCs w:val="24"/>
    </w:rPr>
  </w:style>
  <w:style w:type="paragraph" w:customStyle="1" w:styleId="gongbaocont">
    <w:name w:val="gongbao_cont"/>
    <w:basedOn w:val="Normal"/>
    <w:uiPriority w:val="99"/>
    <w:rsid w:val="002E09A2"/>
    <w:pPr>
      <w:widowControl/>
      <w:spacing w:before="300"/>
      <w:ind w:left="225"/>
      <w:jc w:val="left"/>
    </w:pPr>
    <w:rPr>
      <w:rFonts w:ascii="宋体" w:hAnsi="宋体" w:cs="宋体"/>
      <w:kern w:val="0"/>
      <w:sz w:val="24"/>
      <w:szCs w:val="24"/>
    </w:rPr>
  </w:style>
  <w:style w:type="paragraph" w:customStyle="1" w:styleId="shujugongbaolist">
    <w:name w:val="shuju_gongbao_list"/>
    <w:basedOn w:val="Normal"/>
    <w:uiPriority w:val="99"/>
    <w:rsid w:val="002E09A2"/>
    <w:pPr>
      <w:widowControl/>
      <w:jc w:val="left"/>
    </w:pPr>
    <w:rPr>
      <w:rFonts w:ascii="宋体" w:hAnsi="宋体" w:cs="宋体"/>
      <w:kern w:val="0"/>
      <w:sz w:val="24"/>
      <w:szCs w:val="24"/>
    </w:rPr>
  </w:style>
  <w:style w:type="paragraph" w:customStyle="1" w:styleId="gongbaocontbg">
    <w:name w:val="gongbao_cont_bg"/>
    <w:basedOn w:val="Normal"/>
    <w:uiPriority w:val="99"/>
    <w:rsid w:val="002E09A2"/>
    <w:pPr>
      <w:widowControl/>
      <w:ind w:left="-30"/>
      <w:jc w:val="left"/>
    </w:pPr>
    <w:rPr>
      <w:rFonts w:ascii="宋体" w:hAnsi="宋体" w:cs="宋体"/>
      <w:vanish/>
      <w:kern w:val="0"/>
      <w:sz w:val="24"/>
      <w:szCs w:val="24"/>
    </w:rPr>
  </w:style>
  <w:style w:type="paragraph" w:customStyle="1" w:styleId="gongbaocontl">
    <w:name w:val="gongbao_cont_l"/>
    <w:basedOn w:val="Normal"/>
    <w:uiPriority w:val="99"/>
    <w:rsid w:val="002E09A2"/>
    <w:pPr>
      <w:widowControl/>
      <w:pBdr>
        <w:left w:val="single" w:sz="6" w:space="23" w:color="B5CDDD"/>
        <w:right w:val="single" w:sz="6" w:space="0" w:color="B5CDDD"/>
      </w:pBdr>
      <w:shd w:val="clear" w:color="auto" w:fill="FFFFFF"/>
      <w:ind w:left="15"/>
      <w:jc w:val="left"/>
    </w:pPr>
    <w:rPr>
      <w:rFonts w:ascii="宋体" w:hAnsi="宋体" w:cs="宋体"/>
      <w:kern w:val="0"/>
      <w:sz w:val="24"/>
      <w:szCs w:val="24"/>
    </w:rPr>
  </w:style>
  <w:style w:type="paragraph" w:customStyle="1" w:styleId="centertongjichubanwu">
    <w:name w:val="center_tongjichubanwu"/>
    <w:basedOn w:val="Normal"/>
    <w:uiPriority w:val="99"/>
    <w:rsid w:val="002E09A2"/>
    <w:pPr>
      <w:widowControl/>
      <w:spacing w:before="150"/>
      <w:jc w:val="left"/>
    </w:pPr>
    <w:rPr>
      <w:rFonts w:ascii="宋体" w:hAnsi="宋体" w:cs="宋体"/>
      <w:kern w:val="0"/>
      <w:sz w:val="24"/>
      <w:szCs w:val="24"/>
    </w:rPr>
  </w:style>
  <w:style w:type="paragraph" w:customStyle="1" w:styleId="tongjichubanwutit">
    <w:name w:val="tongjichubanwu_tit"/>
    <w:basedOn w:val="Normal"/>
    <w:uiPriority w:val="99"/>
    <w:rsid w:val="002E09A2"/>
    <w:pPr>
      <w:widowControl/>
      <w:jc w:val="left"/>
    </w:pPr>
    <w:rPr>
      <w:rFonts w:ascii="宋体" w:hAnsi="宋体" w:cs="宋体"/>
      <w:kern w:val="0"/>
      <w:sz w:val="24"/>
      <w:szCs w:val="24"/>
    </w:rPr>
  </w:style>
  <w:style w:type="paragraph" w:customStyle="1" w:styleId="tongjichubanwucont">
    <w:name w:val="tongjichubanwu_cont"/>
    <w:basedOn w:val="Normal"/>
    <w:uiPriority w:val="99"/>
    <w:rsid w:val="002E09A2"/>
    <w:pPr>
      <w:widowControl/>
      <w:spacing w:before="105" w:after="105"/>
      <w:jc w:val="left"/>
    </w:pPr>
    <w:rPr>
      <w:rFonts w:ascii="宋体" w:hAnsi="宋体" w:cs="宋体"/>
      <w:kern w:val="0"/>
      <w:sz w:val="24"/>
      <w:szCs w:val="24"/>
    </w:rPr>
  </w:style>
  <w:style w:type="paragraph" w:customStyle="1" w:styleId="tongjichubanwucont01">
    <w:name w:val="tongjichubanwu_cont01"/>
    <w:basedOn w:val="Normal"/>
    <w:uiPriority w:val="99"/>
    <w:rsid w:val="002E09A2"/>
    <w:pPr>
      <w:widowControl/>
      <w:jc w:val="left"/>
    </w:pPr>
    <w:rPr>
      <w:rFonts w:ascii="宋体" w:hAnsi="宋体" w:cs="宋体"/>
      <w:kern w:val="0"/>
      <w:sz w:val="24"/>
      <w:szCs w:val="24"/>
    </w:rPr>
  </w:style>
  <w:style w:type="paragraph" w:customStyle="1" w:styleId="tongjichubanwucont02">
    <w:name w:val="tongjichubanwu_cont02"/>
    <w:basedOn w:val="Normal"/>
    <w:uiPriority w:val="99"/>
    <w:rsid w:val="002E09A2"/>
    <w:pPr>
      <w:widowControl/>
      <w:shd w:val="clear" w:color="auto" w:fill="C2E2EE"/>
      <w:spacing w:before="30"/>
      <w:jc w:val="left"/>
    </w:pPr>
    <w:rPr>
      <w:rFonts w:ascii="宋体" w:hAnsi="宋体" w:cs="宋体"/>
      <w:kern w:val="0"/>
      <w:sz w:val="24"/>
      <w:szCs w:val="24"/>
    </w:rPr>
  </w:style>
  <w:style w:type="paragraph" w:customStyle="1" w:styleId="tongjichubanwucont02tit">
    <w:name w:val="tongjichubanwu_cont02_tit"/>
    <w:basedOn w:val="Normal"/>
    <w:uiPriority w:val="99"/>
    <w:rsid w:val="002E09A2"/>
    <w:pPr>
      <w:widowControl/>
      <w:jc w:val="left"/>
    </w:pPr>
    <w:rPr>
      <w:rFonts w:ascii="宋体" w:hAnsi="宋体" w:cs="宋体"/>
      <w:color w:val="BF521A"/>
      <w:kern w:val="0"/>
      <w:szCs w:val="21"/>
    </w:rPr>
  </w:style>
  <w:style w:type="paragraph" w:customStyle="1" w:styleId="tongjichubanwucont02inp">
    <w:name w:val="tongjichubanwu_cont02_inp"/>
    <w:basedOn w:val="Normal"/>
    <w:uiPriority w:val="99"/>
    <w:rsid w:val="002E09A2"/>
    <w:pPr>
      <w:widowControl/>
      <w:spacing w:before="75" w:after="75"/>
      <w:jc w:val="left"/>
    </w:pPr>
    <w:rPr>
      <w:rFonts w:ascii="宋体" w:hAnsi="宋体" w:cs="宋体"/>
      <w:kern w:val="0"/>
      <w:sz w:val="24"/>
      <w:szCs w:val="24"/>
    </w:rPr>
  </w:style>
  <w:style w:type="paragraph" w:customStyle="1" w:styleId="tongjichubanwucont02a">
    <w:name w:val="tongjichubanwu_cont02_a"/>
    <w:basedOn w:val="Normal"/>
    <w:uiPriority w:val="99"/>
    <w:rsid w:val="002E09A2"/>
    <w:pPr>
      <w:widowControl/>
      <w:spacing w:line="375" w:lineRule="atLeast"/>
      <w:jc w:val="left"/>
    </w:pPr>
    <w:rPr>
      <w:rFonts w:ascii="宋体" w:hAnsi="宋体" w:cs="宋体"/>
      <w:color w:val="424B4F"/>
      <w:kern w:val="0"/>
      <w:sz w:val="24"/>
      <w:szCs w:val="24"/>
    </w:rPr>
  </w:style>
  <w:style w:type="paragraph" w:customStyle="1" w:styleId="tongjichubanwucont03">
    <w:name w:val="tongjichubanwu_cont03"/>
    <w:basedOn w:val="Normal"/>
    <w:uiPriority w:val="99"/>
    <w:rsid w:val="002E09A2"/>
    <w:pPr>
      <w:widowControl/>
      <w:spacing w:before="300"/>
      <w:ind w:left="150"/>
      <w:jc w:val="left"/>
    </w:pPr>
    <w:rPr>
      <w:rFonts w:ascii="宋体" w:hAnsi="宋体" w:cs="宋体"/>
      <w:kern w:val="0"/>
      <w:sz w:val="24"/>
      <w:szCs w:val="24"/>
    </w:rPr>
  </w:style>
  <w:style w:type="paragraph" w:customStyle="1" w:styleId="tongjichubanwucont03tit">
    <w:name w:val="tongjichubanwu_cont03_tit"/>
    <w:basedOn w:val="Normal"/>
    <w:uiPriority w:val="99"/>
    <w:rsid w:val="002E09A2"/>
    <w:pPr>
      <w:widowControl/>
      <w:spacing w:before="45" w:after="45"/>
      <w:ind w:left="150"/>
      <w:jc w:val="left"/>
    </w:pPr>
    <w:rPr>
      <w:rFonts w:ascii="宋体" w:hAnsi="宋体" w:cs="宋体"/>
      <w:kern w:val="0"/>
      <w:sz w:val="24"/>
      <w:szCs w:val="24"/>
      <w:u w:val="single"/>
    </w:rPr>
  </w:style>
  <w:style w:type="paragraph" w:customStyle="1" w:styleId="tongjichubanwucont03cont">
    <w:name w:val="tongjichubanwu_cont03_cont"/>
    <w:basedOn w:val="Normal"/>
    <w:uiPriority w:val="99"/>
    <w:rsid w:val="002E09A2"/>
    <w:pPr>
      <w:widowControl/>
      <w:spacing w:line="330" w:lineRule="atLeast"/>
      <w:ind w:left="150"/>
      <w:jc w:val="left"/>
    </w:pPr>
    <w:rPr>
      <w:rFonts w:ascii="宋体" w:hAnsi="宋体" w:cs="宋体"/>
      <w:kern w:val="0"/>
      <w:sz w:val="24"/>
      <w:szCs w:val="24"/>
    </w:rPr>
  </w:style>
  <w:style w:type="paragraph" w:customStyle="1" w:styleId="tongjichubanwucont03a">
    <w:name w:val="tongjichubanwu_cont03_a"/>
    <w:basedOn w:val="Normal"/>
    <w:uiPriority w:val="99"/>
    <w:rsid w:val="002E09A2"/>
    <w:pPr>
      <w:widowControl/>
      <w:ind w:left="150"/>
      <w:jc w:val="left"/>
    </w:pPr>
    <w:rPr>
      <w:rFonts w:ascii="宋体" w:hAnsi="宋体" w:cs="宋体"/>
      <w:kern w:val="0"/>
      <w:sz w:val="24"/>
      <w:szCs w:val="24"/>
    </w:rPr>
  </w:style>
  <w:style w:type="paragraph" w:customStyle="1" w:styleId="tongjizhishi01a">
    <w:name w:val="tongjizhishi_01_a"/>
    <w:basedOn w:val="Normal"/>
    <w:uiPriority w:val="99"/>
    <w:rsid w:val="002E09A2"/>
    <w:pPr>
      <w:widowControl/>
      <w:jc w:val="left"/>
    </w:pPr>
    <w:rPr>
      <w:rFonts w:ascii="宋体" w:hAnsi="宋体" w:cs="宋体"/>
      <w:kern w:val="0"/>
      <w:sz w:val="24"/>
      <w:szCs w:val="24"/>
    </w:rPr>
  </w:style>
  <w:style w:type="paragraph" w:customStyle="1" w:styleId="tongjizhishi01alist">
    <w:name w:val="tongjizhishi_01_a_list"/>
    <w:basedOn w:val="Normal"/>
    <w:uiPriority w:val="99"/>
    <w:rsid w:val="002E09A2"/>
    <w:pPr>
      <w:widowControl/>
      <w:spacing w:before="150"/>
      <w:jc w:val="left"/>
    </w:pPr>
    <w:rPr>
      <w:rFonts w:ascii="宋体" w:hAnsi="宋体" w:cs="宋体"/>
      <w:kern w:val="0"/>
      <w:sz w:val="24"/>
      <w:szCs w:val="24"/>
    </w:rPr>
  </w:style>
  <w:style w:type="paragraph" w:customStyle="1" w:styleId="tjzson">
    <w:name w:val="tjzs_on"/>
    <w:basedOn w:val="Normal"/>
    <w:uiPriority w:val="99"/>
    <w:rsid w:val="002E09A2"/>
    <w:pPr>
      <w:widowControl/>
      <w:jc w:val="left"/>
    </w:pPr>
    <w:rPr>
      <w:rFonts w:ascii="宋体" w:hAnsi="宋体" w:cs="宋体"/>
      <w:color w:val="FB6602"/>
      <w:kern w:val="0"/>
      <w:sz w:val="24"/>
      <w:szCs w:val="24"/>
    </w:rPr>
  </w:style>
  <w:style w:type="paragraph" w:customStyle="1" w:styleId="tongjizhishi01b">
    <w:name w:val="tongjizhishi_01_b"/>
    <w:basedOn w:val="Normal"/>
    <w:uiPriority w:val="99"/>
    <w:rsid w:val="002E09A2"/>
    <w:pPr>
      <w:widowControl/>
      <w:pBdr>
        <w:top w:val="single" w:sz="6" w:space="2" w:color="DDDDDD"/>
        <w:left w:val="single" w:sz="6" w:space="0" w:color="DDDDDD"/>
        <w:bottom w:val="single" w:sz="6" w:space="1" w:color="DDDDDD"/>
        <w:right w:val="single" w:sz="6" w:space="0" w:color="DDDDDD"/>
      </w:pBdr>
      <w:ind w:left="150"/>
      <w:jc w:val="left"/>
    </w:pPr>
    <w:rPr>
      <w:rFonts w:ascii="宋体" w:hAnsi="宋体" w:cs="宋体"/>
      <w:kern w:val="0"/>
      <w:sz w:val="24"/>
      <w:szCs w:val="24"/>
    </w:rPr>
  </w:style>
  <w:style w:type="paragraph" w:customStyle="1" w:styleId="tongjizhishi01blist">
    <w:name w:val="tongjizhishi_01_b_list"/>
    <w:basedOn w:val="Normal"/>
    <w:uiPriority w:val="99"/>
    <w:rsid w:val="002E09A2"/>
    <w:pPr>
      <w:widowControl/>
      <w:spacing w:before="30"/>
      <w:jc w:val="left"/>
    </w:pPr>
    <w:rPr>
      <w:rFonts w:ascii="宋体" w:hAnsi="宋体" w:cs="宋体"/>
      <w:kern w:val="0"/>
      <w:sz w:val="24"/>
      <w:szCs w:val="24"/>
    </w:rPr>
  </w:style>
  <w:style w:type="paragraph" w:customStyle="1" w:styleId="tjzs01btit">
    <w:name w:val="tjzs_01_b_tit"/>
    <w:basedOn w:val="Normal"/>
    <w:uiPriority w:val="99"/>
    <w:rsid w:val="002E09A2"/>
    <w:pPr>
      <w:widowControl/>
      <w:jc w:val="left"/>
    </w:pPr>
    <w:rPr>
      <w:rFonts w:ascii="宋体" w:hAnsi="宋体" w:cs="宋体"/>
      <w:b/>
      <w:bCs/>
      <w:color w:val="0D76B5"/>
      <w:kern w:val="0"/>
      <w:sz w:val="24"/>
      <w:szCs w:val="24"/>
    </w:rPr>
  </w:style>
  <w:style w:type="paragraph" w:customStyle="1" w:styleId="tjzs01bcont">
    <w:name w:val="tjzs_01_b_cont"/>
    <w:basedOn w:val="Normal"/>
    <w:uiPriority w:val="99"/>
    <w:rsid w:val="002E09A2"/>
    <w:pPr>
      <w:widowControl/>
      <w:spacing w:line="285" w:lineRule="atLeast"/>
      <w:ind w:firstLine="300"/>
      <w:jc w:val="left"/>
    </w:pPr>
    <w:rPr>
      <w:rFonts w:ascii="宋体" w:hAnsi="宋体" w:cs="宋体"/>
      <w:kern w:val="0"/>
      <w:sz w:val="24"/>
      <w:szCs w:val="24"/>
    </w:rPr>
  </w:style>
  <w:style w:type="paragraph" w:customStyle="1" w:styleId="tongjizhishi02a">
    <w:name w:val="tongjizhishi_02_a"/>
    <w:basedOn w:val="Normal"/>
    <w:uiPriority w:val="99"/>
    <w:rsid w:val="002E09A2"/>
    <w:pPr>
      <w:widowControl/>
      <w:pBdr>
        <w:top w:val="single" w:sz="6" w:space="0" w:color="DDDDDD"/>
        <w:left w:val="single" w:sz="6" w:space="0" w:color="DDDDDD"/>
        <w:bottom w:val="single" w:sz="6" w:space="0" w:color="DDDDDD"/>
        <w:right w:val="single" w:sz="6" w:space="0" w:color="DDDDDD"/>
      </w:pBdr>
      <w:jc w:val="left"/>
    </w:pPr>
    <w:rPr>
      <w:rFonts w:ascii="宋体" w:hAnsi="宋体" w:cs="宋体"/>
      <w:kern w:val="0"/>
      <w:sz w:val="24"/>
      <w:szCs w:val="24"/>
    </w:rPr>
  </w:style>
  <w:style w:type="paragraph" w:customStyle="1" w:styleId="tongjizhishi02b">
    <w:name w:val="tongjizhishi_02_b"/>
    <w:basedOn w:val="Normal"/>
    <w:uiPriority w:val="99"/>
    <w:rsid w:val="002E09A2"/>
    <w:pPr>
      <w:widowControl/>
      <w:pBdr>
        <w:top w:val="single" w:sz="6" w:space="0" w:color="DDDDDD"/>
        <w:left w:val="single" w:sz="6" w:space="0" w:color="DDDDDD"/>
        <w:bottom w:val="single" w:sz="6" w:space="0" w:color="DDDDDD"/>
        <w:right w:val="single" w:sz="6" w:space="0" w:color="DDDDDD"/>
      </w:pBdr>
      <w:spacing w:before="180"/>
      <w:ind w:left="150"/>
      <w:jc w:val="left"/>
    </w:pPr>
    <w:rPr>
      <w:rFonts w:ascii="宋体" w:hAnsi="宋体" w:cs="宋体"/>
      <w:kern w:val="0"/>
      <w:sz w:val="24"/>
      <w:szCs w:val="24"/>
    </w:rPr>
  </w:style>
  <w:style w:type="paragraph" w:customStyle="1" w:styleId="tongjizhishi02c">
    <w:name w:val="tongjizhishi_02_c"/>
    <w:basedOn w:val="Normal"/>
    <w:uiPriority w:val="99"/>
    <w:rsid w:val="002E09A2"/>
    <w:pPr>
      <w:widowControl/>
      <w:pBdr>
        <w:top w:val="single" w:sz="6" w:space="0" w:color="DDDDDD"/>
        <w:left w:val="single" w:sz="6" w:space="0" w:color="DDDDDD"/>
        <w:bottom w:val="single" w:sz="6" w:space="0" w:color="DDDDDD"/>
        <w:right w:val="single" w:sz="6" w:space="0" w:color="DDDDDD"/>
      </w:pBdr>
      <w:ind w:left="150"/>
      <w:jc w:val="left"/>
    </w:pPr>
    <w:rPr>
      <w:rFonts w:ascii="宋体" w:hAnsi="宋体" w:cs="宋体"/>
      <w:kern w:val="0"/>
      <w:sz w:val="24"/>
      <w:szCs w:val="24"/>
    </w:rPr>
  </w:style>
  <w:style w:type="paragraph" w:customStyle="1" w:styleId="tjzsgenduo">
    <w:name w:val="tjzs_genduo"/>
    <w:basedOn w:val="Normal"/>
    <w:uiPriority w:val="99"/>
    <w:rsid w:val="002E09A2"/>
    <w:pPr>
      <w:widowControl/>
      <w:jc w:val="left"/>
    </w:pPr>
    <w:rPr>
      <w:rFonts w:ascii="宋体" w:hAnsi="宋体" w:cs="宋体"/>
      <w:kern w:val="0"/>
      <w:sz w:val="24"/>
      <w:szCs w:val="24"/>
    </w:rPr>
  </w:style>
  <w:style w:type="paragraph" w:customStyle="1" w:styleId="tjzs02bul">
    <w:name w:val="tjzs_02_b_ul"/>
    <w:basedOn w:val="Normal"/>
    <w:uiPriority w:val="99"/>
    <w:rsid w:val="002E09A2"/>
    <w:pPr>
      <w:widowControl/>
      <w:jc w:val="left"/>
    </w:pPr>
    <w:rPr>
      <w:rFonts w:ascii="宋体" w:hAnsi="宋体" w:cs="宋体"/>
      <w:kern w:val="0"/>
      <w:sz w:val="24"/>
      <w:szCs w:val="24"/>
    </w:rPr>
  </w:style>
  <w:style w:type="paragraph" w:customStyle="1" w:styleId="tjzsgenduob">
    <w:name w:val="tjzs_genduob"/>
    <w:basedOn w:val="Normal"/>
    <w:uiPriority w:val="99"/>
    <w:rsid w:val="002E09A2"/>
    <w:pPr>
      <w:widowControl/>
      <w:jc w:val="left"/>
    </w:pPr>
    <w:rPr>
      <w:rFonts w:ascii="宋体" w:hAnsi="宋体" w:cs="宋体"/>
      <w:kern w:val="0"/>
      <w:sz w:val="24"/>
      <w:szCs w:val="24"/>
    </w:rPr>
  </w:style>
  <w:style w:type="paragraph" w:customStyle="1" w:styleId="tongjizhishi02a01">
    <w:name w:val="tongjizhishi_02_a_01"/>
    <w:basedOn w:val="Normal"/>
    <w:uiPriority w:val="99"/>
    <w:rsid w:val="002E09A2"/>
    <w:pPr>
      <w:widowControl/>
      <w:spacing w:before="210" w:after="60" w:line="375" w:lineRule="atLeast"/>
      <w:ind w:left="300"/>
      <w:jc w:val="center"/>
    </w:pPr>
    <w:rPr>
      <w:rFonts w:ascii="宋体" w:hAnsi="宋体" w:cs="宋体"/>
      <w:kern w:val="0"/>
      <w:sz w:val="24"/>
      <w:szCs w:val="24"/>
    </w:rPr>
  </w:style>
  <w:style w:type="paragraph" w:customStyle="1" w:styleId="tjzs02ctitf">
    <w:name w:val="tjzs_02_c_titf"/>
    <w:basedOn w:val="Normal"/>
    <w:uiPriority w:val="99"/>
    <w:rsid w:val="002E09A2"/>
    <w:pPr>
      <w:widowControl/>
      <w:pBdr>
        <w:bottom w:val="single" w:sz="6" w:space="0" w:color="DDDDDD"/>
      </w:pBdr>
      <w:shd w:val="clear" w:color="auto" w:fill="F3F3F3"/>
      <w:jc w:val="left"/>
    </w:pPr>
    <w:rPr>
      <w:rFonts w:ascii="宋体" w:hAnsi="宋体" w:cs="宋体"/>
      <w:kern w:val="0"/>
      <w:sz w:val="24"/>
      <w:szCs w:val="24"/>
    </w:rPr>
  </w:style>
  <w:style w:type="paragraph" w:customStyle="1" w:styleId="tjzsfon">
    <w:name w:val="tjzsf_on"/>
    <w:basedOn w:val="Normal"/>
    <w:uiPriority w:val="99"/>
    <w:rsid w:val="002E09A2"/>
    <w:pPr>
      <w:widowControl/>
      <w:pBdr>
        <w:bottom w:val="single" w:sz="18" w:space="0" w:color="B21414"/>
      </w:pBdr>
      <w:jc w:val="left"/>
    </w:pPr>
    <w:rPr>
      <w:rFonts w:ascii="宋体" w:hAnsi="宋体" w:cs="宋体"/>
      <w:color w:val="0174AB"/>
      <w:kern w:val="0"/>
      <w:sz w:val="24"/>
      <w:szCs w:val="24"/>
    </w:rPr>
  </w:style>
  <w:style w:type="paragraph" w:customStyle="1" w:styleId="tjzs02cul">
    <w:name w:val="tjzs_02_c_ul"/>
    <w:basedOn w:val="Normal"/>
    <w:uiPriority w:val="99"/>
    <w:rsid w:val="002E09A2"/>
    <w:pPr>
      <w:widowControl/>
      <w:jc w:val="left"/>
    </w:pPr>
    <w:rPr>
      <w:rFonts w:ascii="宋体" w:hAnsi="宋体" w:cs="宋体"/>
      <w:kern w:val="0"/>
      <w:sz w:val="24"/>
      <w:szCs w:val="24"/>
    </w:rPr>
  </w:style>
  <w:style w:type="paragraph" w:customStyle="1" w:styleId="tongjizixunsearch">
    <w:name w:val="tongjizixun_search"/>
    <w:basedOn w:val="Normal"/>
    <w:uiPriority w:val="99"/>
    <w:rsid w:val="002E09A2"/>
    <w:pPr>
      <w:widowControl/>
      <w:spacing w:line="600" w:lineRule="atLeast"/>
      <w:jc w:val="center"/>
    </w:pPr>
    <w:rPr>
      <w:rFonts w:ascii="宋体" w:hAnsi="宋体" w:cs="宋体"/>
      <w:b/>
      <w:bCs/>
      <w:color w:val="FFFFFF"/>
      <w:kern w:val="0"/>
      <w:sz w:val="24"/>
      <w:szCs w:val="24"/>
    </w:rPr>
  </w:style>
  <w:style w:type="paragraph" w:customStyle="1" w:styleId="tongjizixunsearchti">
    <w:name w:val="tongjizixun_search_ti"/>
    <w:basedOn w:val="Normal"/>
    <w:uiPriority w:val="99"/>
    <w:rsid w:val="002E09A2"/>
    <w:pPr>
      <w:widowControl/>
      <w:spacing w:line="375" w:lineRule="atLeast"/>
      <w:jc w:val="center"/>
    </w:pPr>
    <w:rPr>
      <w:rFonts w:ascii="宋体" w:hAnsi="宋体" w:cs="宋体"/>
      <w:color w:val="B32727"/>
      <w:kern w:val="0"/>
      <w:szCs w:val="21"/>
    </w:rPr>
  </w:style>
  <w:style w:type="paragraph" w:customStyle="1" w:styleId="tongjizixunsearchul">
    <w:name w:val="tongjizixun_search_ul"/>
    <w:basedOn w:val="Normal"/>
    <w:uiPriority w:val="99"/>
    <w:rsid w:val="002E09A2"/>
    <w:pPr>
      <w:widowControl/>
      <w:jc w:val="left"/>
    </w:pPr>
    <w:rPr>
      <w:rFonts w:ascii="宋体" w:hAnsi="宋体" w:cs="宋体"/>
      <w:kern w:val="0"/>
      <w:sz w:val="24"/>
      <w:szCs w:val="24"/>
    </w:rPr>
  </w:style>
  <w:style w:type="paragraph" w:customStyle="1" w:styleId="tjzxinput">
    <w:name w:val="tjzx_input"/>
    <w:basedOn w:val="Normal"/>
    <w:uiPriority w:val="99"/>
    <w:rsid w:val="002E09A2"/>
    <w:pPr>
      <w:widowControl/>
      <w:pBdr>
        <w:top w:val="single" w:sz="6" w:space="0" w:color="DDDDDD"/>
        <w:left w:val="single" w:sz="6" w:space="0" w:color="DDDDDD"/>
        <w:bottom w:val="single" w:sz="6" w:space="0" w:color="DDDDDD"/>
        <w:right w:val="single" w:sz="6" w:space="0" w:color="DDDDDD"/>
      </w:pBdr>
      <w:shd w:val="clear" w:color="auto" w:fill="F4F4F4"/>
      <w:spacing w:line="330" w:lineRule="atLeast"/>
      <w:ind w:left="75"/>
      <w:jc w:val="left"/>
    </w:pPr>
    <w:rPr>
      <w:rFonts w:ascii="宋体" w:hAnsi="宋体" w:cs="宋体"/>
      <w:kern w:val="0"/>
      <w:sz w:val="24"/>
      <w:szCs w:val="24"/>
    </w:rPr>
  </w:style>
  <w:style w:type="paragraph" w:customStyle="1" w:styleId="tongjizixunchangjianwenti">
    <w:name w:val="tongjizixun_changjianwenti"/>
    <w:basedOn w:val="Normal"/>
    <w:uiPriority w:val="99"/>
    <w:rsid w:val="002E09A2"/>
    <w:pPr>
      <w:widowControl/>
      <w:spacing w:before="300"/>
      <w:jc w:val="center"/>
    </w:pPr>
    <w:rPr>
      <w:rFonts w:ascii="宋体" w:hAnsi="宋体" w:cs="宋体"/>
      <w:kern w:val="0"/>
      <w:sz w:val="24"/>
      <w:szCs w:val="24"/>
    </w:rPr>
  </w:style>
  <w:style w:type="paragraph" w:customStyle="1" w:styleId="tjzxyhxinxi">
    <w:name w:val="tjzx_yh_xinxi"/>
    <w:basedOn w:val="Normal"/>
    <w:uiPriority w:val="99"/>
    <w:rsid w:val="002E09A2"/>
    <w:pPr>
      <w:widowControl/>
      <w:jc w:val="left"/>
    </w:pPr>
    <w:rPr>
      <w:rFonts w:ascii="宋体" w:hAnsi="宋体" w:cs="宋体"/>
      <w:kern w:val="0"/>
      <w:sz w:val="24"/>
      <w:szCs w:val="24"/>
    </w:rPr>
  </w:style>
  <w:style w:type="paragraph" w:customStyle="1" w:styleId="tjzxuser">
    <w:name w:val="tjzx_user"/>
    <w:basedOn w:val="Normal"/>
    <w:uiPriority w:val="99"/>
    <w:rsid w:val="002E09A2"/>
    <w:pPr>
      <w:widowControl/>
      <w:jc w:val="left"/>
    </w:pPr>
    <w:rPr>
      <w:rFonts w:ascii="宋体" w:hAnsi="宋体" w:cs="宋体"/>
      <w:kern w:val="0"/>
      <w:sz w:val="24"/>
      <w:szCs w:val="24"/>
    </w:rPr>
  </w:style>
  <w:style w:type="paragraph" w:customStyle="1" w:styleId="tjzxyhxinxitit">
    <w:name w:val="tjzx_yh_xinxi_tit"/>
    <w:basedOn w:val="Normal"/>
    <w:uiPriority w:val="99"/>
    <w:rsid w:val="002E09A2"/>
    <w:pPr>
      <w:widowControl/>
      <w:spacing w:before="450"/>
      <w:jc w:val="center"/>
    </w:pPr>
    <w:rPr>
      <w:rFonts w:ascii="宋体" w:hAnsi="宋体" w:cs="宋体"/>
      <w:b/>
      <w:bCs/>
      <w:color w:val="0963AB"/>
      <w:kern w:val="0"/>
      <w:sz w:val="24"/>
      <w:szCs w:val="24"/>
    </w:rPr>
  </w:style>
  <w:style w:type="paragraph" w:customStyle="1" w:styleId="yhxinxiinput">
    <w:name w:val="yh_xinxi_input"/>
    <w:basedOn w:val="Normal"/>
    <w:uiPriority w:val="99"/>
    <w:rsid w:val="002E09A2"/>
    <w:pPr>
      <w:widowControl/>
      <w:pBdr>
        <w:top w:val="single" w:sz="12" w:space="15" w:color="61A3E6"/>
        <w:left w:val="single" w:sz="6" w:space="0" w:color="E7E5E2"/>
        <w:bottom w:val="single" w:sz="6" w:space="15" w:color="E7E5E2"/>
        <w:right w:val="single" w:sz="6" w:space="0" w:color="E7E5E2"/>
      </w:pBdr>
      <w:jc w:val="left"/>
    </w:pPr>
    <w:rPr>
      <w:rFonts w:ascii="宋体" w:hAnsi="宋体" w:cs="宋体"/>
      <w:kern w:val="0"/>
      <w:sz w:val="24"/>
      <w:szCs w:val="24"/>
    </w:rPr>
  </w:style>
  <w:style w:type="paragraph" w:customStyle="1" w:styleId="tjzxuserx">
    <w:name w:val="tjzx_user_x"/>
    <w:basedOn w:val="Normal"/>
    <w:uiPriority w:val="99"/>
    <w:rsid w:val="002E09A2"/>
    <w:pPr>
      <w:widowControl/>
      <w:spacing w:before="150"/>
      <w:ind w:left="300"/>
      <w:jc w:val="left"/>
    </w:pPr>
    <w:rPr>
      <w:rFonts w:ascii="宋体" w:hAnsi="宋体" w:cs="宋体"/>
      <w:kern w:val="0"/>
      <w:sz w:val="24"/>
      <w:szCs w:val="24"/>
    </w:rPr>
  </w:style>
  <w:style w:type="paragraph" w:customStyle="1" w:styleId="yhxinxitita">
    <w:name w:val="yh_xinxi_tita"/>
    <w:basedOn w:val="Normal"/>
    <w:uiPriority w:val="99"/>
    <w:rsid w:val="002E09A2"/>
    <w:pPr>
      <w:widowControl/>
      <w:jc w:val="left"/>
    </w:pPr>
    <w:rPr>
      <w:rFonts w:ascii="宋体" w:hAnsi="宋体" w:cs="宋体"/>
      <w:kern w:val="0"/>
      <w:szCs w:val="21"/>
    </w:rPr>
  </w:style>
  <w:style w:type="paragraph" w:customStyle="1" w:styleId="yhxinxitita01">
    <w:name w:val="yh_xinxi_tita_01"/>
    <w:basedOn w:val="Normal"/>
    <w:uiPriority w:val="99"/>
    <w:rsid w:val="002E09A2"/>
    <w:pPr>
      <w:widowControl/>
      <w:jc w:val="left"/>
    </w:pPr>
    <w:rPr>
      <w:rFonts w:ascii="宋体" w:hAnsi="宋体" w:cs="宋体"/>
      <w:color w:val="FF0000"/>
      <w:kern w:val="0"/>
      <w:sz w:val="24"/>
      <w:szCs w:val="24"/>
    </w:rPr>
  </w:style>
  <w:style w:type="paragraph" w:customStyle="1" w:styleId="yhxinxiinp">
    <w:name w:val="yh_xinxi_inp"/>
    <w:basedOn w:val="Normal"/>
    <w:uiPriority w:val="99"/>
    <w:rsid w:val="002E09A2"/>
    <w:pPr>
      <w:widowControl/>
      <w:ind w:right="75"/>
      <w:jc w:val="left"/>
    </w:pPr>
    <w:rPr>
      <w:rFonts w:ascii="宋体" w:hAnsi="宋体" w:cs="宋体"/>
      <w:kern w:val="0"/>
      <w:sz w:val="24"/>
      <w:szCs w:val="24"/>
    </w:rPr>
  </w:style>
  <w:style w:type="paragraph" w:customStyle="1" w:styleId="yhxinxiinpa">
    <w:name w:val="yh_xinxi_inpa"/>
    <w:basedOn w:val="Normal"/>
    <w:uiPriority w:val="99"/>
    <w:rsid w:val="002E09A2"/>
    <w:pPr>
      <w:widowControl/>
      <w:ind w:right="75"/>
      <w:jc w:val="left"/>
    </w:pPr>
    <w:rPr>
      <w:rFonts w:ascii="宋体" w:hAnsi="宋体" w:cs="宋体"/>
      <w:kern w:val="0"/>
      <w:sz w:val="24"/>
      <w:szCs w:val="24"/>
    </w:rPr>
  </w:style>
  <w:style w:type="paragraph" w:customStyle="1" w:styleId="yhxinxiinpb">
    <w:name w:val="yh_xinxi_inpb"/>
    <w:basedOn w:val="Normal"/>
    <w:uiPriority w:val="99"/>
    <w:rsid w:val="002E09A2"/>
    <w:pPr>
      <w:widowControl/>
      <w:jc w:val="left"/>
    </w:pPr>
    <w:rPr>
      <w:rFonts w:ascii="宋体" w:hAnsi="宋体" w:cs="宋体"/>
      <w:kern w:val="0"/>
      <w:sz w:val="24"/>
      <w:szCs w:val="24"/>
    </w:rPr>
  </w:style>
  <w:style w:type="paragraph" w:customStyle="1" w:styleId="yhxinxiinpc">
    <w:name w:val="yh_xinxi_inpc"/>
    <w:basedOn w:val="Normal"/>
    <w:uiPriority w:val="99"/>
    <w:rsid w:val="002E09A2"/>
    <w:pPr>
      <w:widowControl/>
      <w:jc w:val="left"/>
    </w:pPr>
    <w:rPr>
      <w:rFonts w:ascii="宋体" w:hAnsi="宋体" w:cs="宋体"/>
      <w:kern w:val="0"/>
      <w:sz w:val="24"/>
      <w:szCs w:val="24"/>
    </w:rPr>
  </w:style>
  <w:style w:type="paragraph" w:customStyle="1" w:styleId="yhxinxibutton">
    <w:name w:val="yh_xinxi_button"/>
    <w:basedOn w:val="Normal"/>
    <w:uiPriority w:val="99"/>
    <w:rsid w:val="002E09A2"/>
    <w:pPr>
      <w:widowControl/>
      <w:pBdr>
        <w:top w:val="single" w:sz="6" w:space="0" w:color="DDDDDD"/>
        <w:left w:val="single" w:sz="6" w:space="0" w:color="DDDDDD"/>
        <w:bottom w:val="single" w:sz="6" w:space="0" w:color="DDDDDD"/>
        <w:right w:val="single" w:sz="6" w:space="0" w:color="DDDDDD"/>
      </w:pBdr>
      <w:shd w:val="clear" w:color="auto" w:fill="B0B0B1"/>
      <w:spacing w:line="375" w:lineRule="atLeast"/>
      <w:jc w:val="center"/>
    </w:pPr>
    <w:rPr>
      <w:rFonts w:ascii="宋体" w:hAnsi="宋体" w:cs="宋体"/>
      <w:b/>
      <w:bCs/>
      <w:color w:val="FFFFFF"/>
      <w:kern w:val="0"/>
      <w:sz w:val="24"/>
      <w:szCs w:val="24"/>
    </w:rPr>
  </w:style>
  <w:style w:type="paragraph" w:customStyle="1" w:styleId="tjzxyhxinxisubmit">
    <w:name w:val="tjzx_yh_xinxi_submit"/>
    <w:basedOn w:val="Normal"/>
    <w:uiPriority w:val="99"/>
    <w:rsid w:val="002E09A2"/>
    <w:pPr>
      <w:widowControl/>
      <w:jc w:val="center"/>
    </w:pPr>
    <w:rPr>
      <w:rFonts w:ascii="宋体" w:hAnsi="宋体" w:cs="宋体"/>
      <w:kern w:val="0"/>
      <w:sz w:val="24"/>
      <w:szCs w:val="24"/>
    </w:rPr>
  </w:style>
  <w:style w:type="paragraph" w:customStyle="1" w:styleId="yhxinxisub">
    <w:name w:val="yh_xinxi_sub"/>
    <w:basedOn w:val="Normal"/>
    <w:uiPriority w:val="99"/>
    <w:rsid w:val="002E09A2"/>
    <w:pPr>
      <w:widowControl/>
      <w:jc w:val="left"/>
    </w:pPr>
    <w:rPr>
      <w:rFonts w:ascii="宋体" w:hAnsi="宋体" w:cs="宋体"/>
      <w:b/>
      <w:bCs/>
      <w:color w:val="FFFFFF"/>
      <w:kern w:val="0"/>
      <w:szCs w:val="21"/>
    </w:rPr>
  </w:style>
  <w:style w:type="paragraph" w:customStyle="1" w:styleId="xiangguanwangzhan">
    <w:name w:val="xiangguanwangzhan"/>
    <w:basedOn w:val="Normal"/>
    <w:uiPriority w:val="99"/>
    <w:rsid w:val="002E09A2"/>
    <w:pPr>
      <w:widowControl/>
      <w:spacing w:before="300"/>
      <w:jc w:val="left"/>
    </w:pPr>
    <w:rPr>
      <w:rFonts w:ascii="宋体" w:hAnsi="宋体" w:cs="宋体"/>
      <w:kern w:val="0"/>
      <w:sz w:val="24"/>
      <w:szCs w:val="24"/>
    </w:rPr>
  </w:style>
  <w:style w:type="paragraph" w:customStyle="1" w:styleId="xgwzlist">
    <w:name w:val="xgwz_list"/>
    <w:basedOn w:val="Normal"/>
    <w:uiPriority w:val="99"/>
    <w:rsid w:val="002E09A2"/>
    <w:pPr>
      <w:widowControl/>
      <w:spacing w:before="150"/>
      <w:jc w:val="center"/>
    </w:pPr>
    <w:rPr>
      <w:rFonts w:ascii="宋体" w:hAnsi="宋体" w:cs="宋体"/>
      <w:kern w:val="0"/>
      <w:sz w:val="24"/>
      <w:szCs w:val="24"/>
    </w:rPr>
  </w:style>
  <w:style w:type="paragraph" w:customStyle="1" w:styleId="ztzwlist">
    <w:name w:val="ztzw_list"/>
    <w:basedOn w:val="Normal"/>
    <w:uiPriority w:val="99"/>
    <w:rsid w:val="002E09A2"/>
    <w:pPr>
      <w:widowControl/>
      <w:jc w:val="left"/>
    </w:pPr>
    <w:rPr>
      <w:rFonts w:ascii="宋体" w:hAnsi="宋体" w:cs="宋体"/>
      <w:kern w:val="0"/>
      <w:sz w:val="24"/>
      <w:szCs w:val="24"/>
    </w:rPr>
  </w:style>
  <w:style w:type="paragraph" w:customStyle="1" w:styleId="ztzwline">
    <w:name w:val="ztzw_line"/>
    <w:basedOn w:val="Normal"/>
    <w:uiPriority w:val="99"/>
    <w:rsid w:val="002E09A2"/>
    <w:pPr>
      <w:widowControl/>
      <w:pBdr>
        <w:right w:val="single" w:sz="12" w:space="0" w:color="2E76BC"/>
      </w:pBdr>
      <w:jc w:val="left"/>
    </w:pPr>
    <w:rPr>
      <w:rFonts w:ascii="宋体" w:hAnsi="宋体" w:cs="宋体"/>
      <w:kern w:val="0"/>
      <w:sz w:val="24"/>
      <w:szCs w:val="24"/>
    </w:rPr>
  </w:style>
  <w:style w:type="paragraph" w:customStyle="1" w:styleId="ztzwtab">
    <w:name w:val="ztzw_tab"/>
    <w:basedOn w:val="Normal"/>
    <w:uiPriority w:val="99"/>
    <w:rsid w:val="002E09A2"/>
    <w:pPr>
      <w:widowControl/>
      <w:pBdr>
        <w:top w:val="single" w:sz="6" w:space="0" w:color="CCCCCC"/>
        <w:left w:val="single" w:sz="6" w:space="0" w:color="CCCCCC"/>
        <w:bottom w:val="single" w:sz="6" w:space="0" w:color="CCCCCC"/>
        <w:right w:val="single" w:sz="6" w:space="0" w:color="CCCCCC"/>
      </w:pBdr>
      <w:ind w:left="450"/>
      <w:jc w:val="left"/>
    </w:pPr>
    <w:rPr>
      <w:rFonts w:ascii="宋体" w:hAnsi="宋体" w:cs="宋体"/>
      <w:kern w:val="0"/>
      <w:sz w:val="24"/>
      <w:szCs w:val="24"/>
    </w:rPr>
  </w:style>
  <w:style w:type="paragraph" w:customStyle="1" w:styleId="jgznmenu">
    <w:name w:val="jgzn_menu"/>
    <w:basedOn w:val="Normal"/>
    <w:uiPriority w:val="99"/>
    <w:rsid w:val="002E09A2"/>
    <w:pPr>
      <w:widowControl/>
      <w:spacing w:before="150"/>
      <w:jc w:val="left"/>
    </w:pPr>
    <w:rPr>
      <w:rFonts w:ascii="宋体" w:hAnsi="宋体" w:cs="宋体"/>
      <w:kern w:val="0"/>
      <w:sz w:val="24"/>
      <w:szCs w:val="24"/>
    </w:rPr>
  </w:style>
  <w:style w:type="paragraph" w:customStyle="1" w:styleId="jigouzhineng01">
    <w:name w:val="jigouzhineng_01"/>
    <w:basedOn w:val="Normal"/>
    <w:uiPriority w:val="99"/>
    <w:rsid w:val="002E09A2"/>
    <w:pPr>
      <w:widowControl/>
      <w:shd w:val="clear" w:color="auto" w:fill="EFEFEF"/>
      <w:jc w:val="left"/>
    </w:pPr>
    <w:rPr>
      <w:rFonts w:ascii="宋体" w:hAnsi="宋体" w:cs="宋体"/>
      <w:kern w:val="0"/>
      <w:sz w:val="24"/>
      <w:szCs w:val="24"/>
    </w:rPr>
  </w:style>
  <w:style w:type="paragraph" w:customStyle="1" w:styleId="jigouzhineng02">
    <w:name w:val="jigouzhineng_02"/>
    <w:basedOn w:val="Normal"/>
    <w:uiPriority w:val="99"/>
    <w:rsid w:val="002E09A2"/>
    <w:pPr>
      <w:widowControl/>
      <w:shd w:val="clear" w:color="auto" w:fill="EFEFEF"/>
      <w:spacing w:before="150" w:line="645" w:lineRule="atLeast"/>
      <w:jc w:val="left"/>
    </w:pPr>
    <w:rPr>
      <w:rFonts w:ascii="宋体" w:hAnsi="宋体" w:cs="宋体"/>
      <w:kern w:val="0"/>
      <w:sz w:val="24"/>
      <w:szCs w:val="24"/>
    </w:rPr>
  </w:style>
  <w:style w:type="paragraph" w:customStyle="1" w:styleId="jigouzhineng01a">
    <w:name w:val="jigouzhineng_01_a"/>
    <w:basedOn w:val="Normal"/>
    <w:uiPriority w:val="99"/>
    <w:rsid w:val="002E09A2"/>
    <w:pPr>
      <w:widowControl/>
      <w:jc w:val="left"/>
    </w:pPr>
    <w:rPr>
      <w:rFonts w:ascii="宋体" w:hAnsi="宋体" w:cs="宋体"/>
      <w:kern w:val="0"/>
      <w:sz w:val="24"/>
      <w:szCs w:val="24"/>
    </w:rPr>
  </w:style>
  <w:style w:type="paragraph" w:customStyle="1" w:styleId="jgzna01">
    <w:name w:val="jgzn_a_01"/>
    <w:basedOn w:val="Normal"/>
    <w:uiPriority w:val="99"/>
    <w:rsid w:val="002E09A2"/>
    <w:pPr>
      <w:widowControl/>
      <w:spacing w:before="600"/>
      <w:jc w:val="left"/>
    </w:pPr>
    <w:rPr>
      <w:rFonts w:ascii="宋体" w:hAnsi="宋体" w:cs="宋体"/>
      <w:kern w:val="0"/>
      <w:sz w:val="24"/>
      <w:szCs w:val="24"/>
    </w:rPr>
  </w:style>
  <w:style w:type="paragraph" w:customStyle="1" w:styleId="jgzna01img">
    <w:name w:val="jgzn_a_01img"/>
    <w:basedOn w:val="Normal"/>
    <w:uiPriority w:val="99"/>
    <w:rsid w:val="002E09A2"/>
    <w:pPr>
      <w:widowControl/>
      <w:shd w:val="clear" w:color="auto" w:fill="FFFFFF"/>
      <w:ind w:left="750"/>
      <w:jc w:val="left"/>
    </w:pPr>
    <w:rPr>
      <w:rFonts w:ascii="宋体" w:hAnsi="宋体" w:cs="宋体"/>
      <w:kern w:val="0"/>
      <w:sz w:val="24"/>
      <w:szCs w:val="24"/>
    </w:rPr>
  </w:style>
  <w:style w:type="paragraph" w:customStyle="1" w:styleId="jgzna01m">
    <w:name w:val="jgzn_a_01m"/>
    <w:basedOn w:val="Normal"/>
    <w:uiPriority w:val="99"/>
    <w:rsid w:val="002E09A2"/>
    <w:pPr>
      <w:widowControl/>
      <w:jc w:val="left"/>
    </w:pPr>
    <w:rPr>
      <w:rFonts w:ascii="宋体" w:hAnsi="宋体" w:cs="宋体"/>
      <w:kern w:val="0"/>
      <w:sz w:val="18"/>
      <w:szCs w:val="18"/>
    </w:rPr>
  </w:style>
  <w:style w:type="paragraph" w:customStyle="1" w:styleId="jgzna01line">
    <w:name w:val="jgzn_a_01_line"/>
    <w:basedOn w:val="Normal"/>
    <w:uiPriority w:val="99"/>
    <w:rsid w:val="002E09A2"/>
    <w:pPr>
      <w:widowControl/>
      <w:jc w:val="left"/>
    </w:pPr>
    <w:rPr>
      <w:rFonts w:ascii="宋体" w:hAnsi="宋体" w:cs="宋体"/>
      <w:kern w:val="0"/>
      <w:sz w:val="24"/>
      <w:szCs w:val="24"/>
    </w:rPr>
  </w:style>
  <w:style w:type="paragraph" w:customStyle="1" w:styleId="jigouzhineng01b">
    <w:name w:val="jigouzhineng_01_b"/>
    <w:basedOn w:val="Normal"/>
    <w:uiPriority w:val="99"/>
    <w:rsid w:val="002E09A2"/>
    <w:pPr>
      <w:widowControl/>
      <w:jc w:val="left"/>
    </w:pPr>
    <w:rPr>
      <w:rFonts w:ascii="宋体" w:hAnsi="宋体" w:cs="宋体"/>
      <w:kern w:val="0"/>
      <w:sz w:val="24"/>
      <w:szCs w:val="24"/>
    </w:rPr>
  </w:style>
  <w:style w:type="paragraph" w:customStyle="1" w:styleId="jgznb01">
    <w:name w:val="jgzn_b_01"/>
    <w:basedOn w:val="Normal"/>
    <w:uiPriority w:val="99"/>
    <w:rsid w:val="002E09A2"/>
    <w:pPr>
      <w:widowControl/>
      <w:spacing w:after="225" w:line="330" w:lineRule="atLeast"/>
      <w:ind w:firstLine="300"/>
      <w:jc w:val="left"/>
    </w:pPr>
    <w:rPr>
      <w:rFonts w:ascii="宋体" w:hAnsi="宋体" w:cs="宋体"/>
      <w:kern w:val="0"/>
      <w:sz w:val="18"/>
      <w:szCs w:val="18"/>
    </w:rPr>
  </w:style>
  <w:style w:type="paragraph" w:customStyle="1" w:styleId="jgznb02">
    <w:name w:val="jgzn_b_02"/>
    <w:basedOn w:val="Normal"/>
    <w:uiPriority w:val="99"/>
    <w:rsid w:val="002E09A2"/>
    <w:pPr>
      <w:widowControl/>
      <w:jc w:val="left"/>
    </w:pPr>
    <w:rPr>
      <w:rFonts w:ascii="宋体" w:hAnsi="宋体" w:cs="宋体"/>
      <w:kern w:val="0"/>
      <w:sz w:val="24"/>
      <w:szCs w:val="24"/>
    </w:rPr>
  </w:style>
  <w:style w:type="paragraph" w:customStyle="1" w:styleId="jgzn02a">
    <w:name w:val="jgzn_02_a"/>
    <w:basedOn w:val="Normal"/>
    <w:uiPriority w:val="99"/>
    <w:rsid w:val="002E09A2"/>
    <w:pPr>
      <w:widowControl/>
      <w:jc w:val="left"/>
    </w:pPr>
    <w:rPr>
      <w:rFonts w:ascii="宋体" w:hAnsi="宋体" w:cs="宋体"/>
      <w:kern w:val="0"/>
      <w:sz w:val="24"/>
      <w:szCs w:val="24"/>
    </w:rPr>
  </w:style>
  <w:style w:type="paragraph" w:customStyle="1" w:styleId="jgzna010">
    <w:name w:val="jgzn_a01"/>
    <w:basedOn w:val="Normal"/>
    <w:uiPriority w:val="99"/>
    <w:rsid w:val="002E09A2"/>
    <w:pPr>
      <w:widowControl/>
      <w:ind w:right="375"/>
      <w:jc w:val="right"/>
    </w:pPr>
    <w:rPr>
      <w:rFonts w:ascii="宋体" w:hAnsi="宋体" w:cs="宋体"/>
      <w:b/>
      <w:bCs/>
      <w:color w:val="7A3400"/>
      <w:kern w:val="0"/>
      <w:szCs w:val="21"/>
    </w:rPr>
  </w:style>
  <w:style w:type="paragraph" w:customStyle="1" w:styleId="jgzna02">
    <w:name w:val="jgzn_a02"/>
    <w:basedOn w:val="Normal"/>
    <w:uiPriority w:val="99"/>
    <w:rsid w:val="002E09A2"/>
    <w:pPr>
      <w:widowControl/>
      <w:jc w:val="left"/>
    </w:pPr>
    <w:rPr>
      <w:rFonts w:ascii="宋体" w:hAnsi="宋体" w:cs="宋体"/>
      <w:color w:val="7A3400"/>
      <w:kern w:val="0"/>
      <w:szCs w:val="21"/>
    </w:rPr>
  </w:style>
  <w:style w:type="paragraph" w:customStyle="1" w:styleId="xxgkmltable">
    <w:name w:val="xxgkml_table"/>
    <w:basedOn w:val="Normal"/>
    <w:uiPriority w:val="99"/>
    <w:rsid w:val="002E09A2"/>
    <w:pPr>
      <w:widowControl/>
      <w:pBdr>
        <w:top w:val="single" w:sz="6" w:space="0" w:color="D0D0D0"/>
        <w:left w:val="single" w:sz="6" w:space="0" w:color="D0D0D0"/>
        <w:bottom w:val="single" w:sz="6" w:space="0" w:color="D0D0D0"/>
        <w:right w:val="single" w:sz="6" w:space="0" w:color="D0D0D0"/>
      </w:pBdr>
      <w:jc w:val="left"/>
    </w:pPr>
    <w:rPr>
      <w:rFonts w:ascii="宋体" w:hAnsi="宋体" w:cs="宋体"/>
      <w:kern w:val="0"/>
      <w:sz w:val="24"/>
      <w:szCs w:val="24"/>
    </w:rPr>
  </w:style>
  <w:style w:type="paragraph" w:customStyle="1" w:styleId="xxgkmlfenye">
    <w:name w:val="xxgkml_fenye"/>
    <w:basedOn w:val="Normal"/>
    <w:uiPriority w:val="99"/>
    <w:rsid w:val="002E09A2"/>
    <w:pPr>
      <w:widowControl/>
      <w:spacing w:before="150" w:line="600" w:lineRule="atLeast"/>
      <w:jc w:val="left"/>
    </w:pPr>
    <w:rPr>
      <w:rFonts w:ascii="宋体" w:hAnsi="宋体" w:cs="宋体"/>
      <w:kern w:val="0"/>
      <w:sz w:val="24"/>
      <w:szCs w:val="24"/>
    </w:rPr>
  </w:style>
  <w:style w:type="paragraph" w:customStyle="1" w:styleId="xxgkmlfenyeleft">
    <w:name w:val="xxgkml_fenye_left"/>
    <w:basedOn w:val="Normal"/>
    <w:uiPriority w:val="99"/>
    <w:rsid w:val="002E09A2"/>
    <w:pPr>
      <w:widowControl/>
      <w:jc w:val="left"/>
    </w:pPr>
    <w:rPr>
      <w:rFonts w:ascii="宋体" w:hAnsi="宋体" w:cs="宋体"/>
      <w:kern w:val="0"/>
      <w:szCs w:val="21"/>
    </w:rPr>
  </w:style>
  <w:style w:type="paragraph" w:customStyle="1" w:styleId="xxgkmlfenyeright">
    <w:name w:val="xxgkml_fenye_right"/>
    <w:basedOn w:val="Normal"/>
    <w:uiPriority w:val="99"/>
    <w:rsid w:val="002E09A2"/>
    <w:pPr>
      <w:widowControl/>
      <w:spacing w:before="75"/>
      <w:jc w:val="left"/>
    </w:pPr>
    <w:rPr>
      <w:rFonts w:ascii="宋体" w:hAnsi="宋体" w:cs="宋体"/>
      <w:kern w:val="0"/>
      <w:sz w:val="24"/>
      <w:szCs w:val="24"/>
    </w:rPr>
  </w:style>
  <w:style w:type="paragraph" w:customStyle="1" w:styleId="fenyehui">
    <w:name w:val="fenye_hui"/>
    <w:basedOn w:val="Normal"/>
    <w:uiPriority w:val="99"/>
    <w:rsid w:val="002E09A2"/>
    <w:pPr>
      <w:widowControl/>
      <w:jc w:val="left"/>
    </w:pPr>
    <w:rPr>
      <w:rFonts w:ascii="宋体" w:hAnsi="宋体" w:cs="宋体"/>
      <w:color w:val="999999"/>
      <w:kern w:val="0"/>
      <w:sz w:val="24"/>
      <w:szCs w:val="24"/>
    </w:rPr>
  </w:style>
  <w:style w:type="paragraph" w:customStyle="1" w:styleId="zfxxgk02ctitf">
    <w:name w:val="zfxxgk_02_c_titf"/>
    <w:basedOn w:val="Normal"/>
    <w:uiPriority w:val="99"/>
    <w:rsid w:val="002E09A2"/>
    <w:pPr>
      <w:widowControl/>
      <w:jc w:val="left"/>
    </w:pPr>
    <w:rPr>
      <w:rFonts w:ascii="宋体" w:hAnsi="宋体" w:cs="宋体"/>
      <w:kern w:val="0"/>
      <w:sz w:val="24"/>
      <w:szCs w:val="24"/>
    </w:rPr>
  </w:style>
  <w:style w:type="paragraph" w:customStyle="1" w:styleId="zhengfugongkaixinxizn">
    <w:name w:val="zhengfugongkaixinxi_zn"/>
    <w:basedOn w:val="Normal"/>
    <w:uiPriority w:val="99"/>
    <w:rsid w:val="002E09A2"/>
    <w:pPr>
      <w:widowControl/>
      <w:jc w:val="left"/>
    </w:pPr>
    <w:rPr>
      <w:rFonts w:ascii="宋体" w:hAnsi="宋体" w:cs="宋体"/>
      <w:kern w:val="0"/>
      <w:sz w:val="24"/>
      <w:szCs w:val="24"/>
    </w:rPr>
  </w:style>
  <w:style w:type="paragraph" w:customStyle="1" w:styleId="zhengfugongkaixinxilist">
    <w:name w:val="zhengfugongkaixinxi_list"/>
    <w:basedOn w:val="Normal"/>
    <w:uiPriority w:val="99"/>
    <w:rsid w:val="002E09A2"/>
    <w:pPr>
      <w:widowControl/>
      <w:jc w:val="left"/>
    </w:pPr>
    <w:rPr>
      <w:rFonts w:ascii="宋体" w:hAnsi="宋体" w:cs="宋体"/>
      <w:kern w:val="0"/>
      <w:sz w:val="24"/>
      <w:szCs w:val="24"/>
    </w:rPr>
  </w:style>
  <w:style w:type="paragraph" w:customStyle="1" w:styleId="zfgkxxinputa">
    <w:name w:val="zfgkxx_input_a"/>
    <w:basedOn w:val="Normal"/>
    <w:uiPriority w:val="99"/>
    <w:rsid w:val="002E09A2"/>
    <w:pPr>
      <w:widowControl/>
      <w:spacing w:after="120"/>
      <w:jc w:val="left"/>
    </w:pPr>
    <w:rPr>
      <w:rFonts w:ascii="宋体" w:hAnsi="宋体" w:cs="宋体"/>
      <w:kern w:val="0"/>
      <w:sz w:val="24"/>
      <w:szCs w:val="24"/>
    </w:rPr>
  </w:style>
  <w:style w:type="paragraph" w:customStyle="1" w:styleId="zfgkxxinputb">
    <w:name w:val="zfgkxx_input_b"/>
    <w:basedOn w:val="Normal"/>
    <w:uiPriority w:val="99"/>
    <w:rsid w:val="002E09A2"/>
    <w:pPr>
      <w:widowControl/>
      <w:spacing w:after="120"/>
      <w:jc w:val="left"/>
    </w:pPr>
    <w:rPr>
      <w:rFonts w:ascii="宋体" w:hAnsi="宋体" w:cs="宋体"/>
      <w:kern w:val="0"/>
      <w:sz w:val="24"/>
      <w:szCs w:val="24"/>
    </w:rPr>
  </w:style>
  <w:style w:type="paragraph" w:customStyle="1" w:styleId="zfgkxxinputc">
    <w:name w:val="zfgkxx_input_c"/>
    <w:basedOn w:val="Normal"/>
    <w:uiPriority w:val="99"/>
    <w:rsid w:val="002E09A2"/>
    <w:pPr>
      <w:widowControl/>
      <w:jc w:val="left"/>
    </w:pPr>
    <w:rPr>
      <w:rFonts w:ascii="宋体" w:hAnsi="宋体" w:cs="宋体"/>
      <w:kern w:val="0"/>
      <w:sz w:val="24"/>
      <w:szCs w:val="24"/>
    </w:rPr>
  </w:style>
  <w:style w:type="paragraph" w:customStyle="1" w:styleId="zfgkxxinput01">
    <w:name w:val="zfgkxx_input01"/>
    <w:basedOn w:val="Normal"/>
    <w:uiPriority w:val="99"/>
    <w:rsid w:val="002E09A2"/>
    <w:pPr>
      <w:widowControl/>
      <w:ind w:left="75" w:right="75"/>
      <w:jc w:val="left"/>
    </w:pPr>
    <w:rPr>
      <w:rFonts w:ascii="宋体" w:hAnsi="宋体" w:cs="宋体"/>
      <w:kern w:val="0"/>
      <w:sz w:val="24"/>
      <w:szCs w:val="24"/>
    </w:rPr>
  </w:style>
  <w:style w:type="paragraph" w:customStyle="1" w:styleId="zfgkxxinput02">
    <w:name w:val="zfgkxx_input02"/>
    <w:basedOn w:val="Normal"/>
    <w:uiPriority w:val="99"/>
    <w:rsid w:val="002E09A2"/>
    <w:pPr>
      <w:widowControl/>
      <w:ind w:left="75" w:right="75"/>
      <w:jc w:val="left"/>
    </w:pPr>
    <w:rPr>
      <w:rFonts w:ascii="宋体" w:hAnsi="宋体" w:cs="宋体"/>
      <w:kern w:val="0"/>
      <w:sz w:val="24"/>
      <w:szCs w:val="24"/>
    </w:rPr>
  </w:style>
  <w:style w:type="paragraph" w:customStyle="1" w:styleId="zfgkxxinput04">
    <w:name w:val="zfgkxx_input04"/>
    <w:basedOn w:val="Normal"/>
    <w:uiPriority w:val="99"/>
    <w:rsid w:val="002E09A2"/>
    <w:pPr>
      <w:widowControl/>
      <w:ind w:left="75" w:right="75"/>
      <w:jc w:val="left"/>
    </w:pPr>
    <w:rPr>
      <w:rFonts w:ascii="宋体" w:hAnsi="宋体" w:cs="宋体"/>
      <w:kern w:val="0"/>
      <w:sz w:val="24"/>
      <w:szCs w:val="24"/>
    </w:rPr>
  </w:style>
  <w:style w:type="paragraph" w:customStyle="1" w:styleId="zfgkxxinput05">
    <w:name w:val="zfgkxx_input05"/>
    <w:basedOn w:val="Normal"/>
    <w:uiPriority w:val="99"/>
    <w:rsid w:val="002E09A2"/>
    <w:pPr>
      <w:widowControl/>
      <w:ind w:left="75" w:right="75"/>
      <w:jc w:val="left"/>
    </w:pPr>
    <w:rPr>
      <w:rFonts w:ascii="宋体" w:hAnsi="宋体" w:cs="宋体"/>
      <w:kern w:val="0"/>
      <w:sz w:val="24"/>
      <w:szCs w:val="24"/>
    </w:rPr>
  </w:style>
  <w:style w:type="paragraph" w:customStyle="1" w:styleId="zfgkxxinput07">
    <w:name w:val="zfgkxx_input07"/>
    <w:basedOn w:val="Normal"/>
    <w:uiPriority w:val="99"/>
    <w:rsid w:val="002E09A2"/>
    <w:pPr>
      <w:widowControl/>
      <w:ind w:left="75" w:right="75"/>
      <w:jc w:val="left"/>
    </w:pPr>
    <w:rPr>
      <w:rFonts w:ascii="宋体" w:hAnsi="宋体" w:cs="宋体"/>
      <w:kern w:val="0"/>
      <w:sz w:val="24"/>
      <w:szCs w:val="24"/>
    </w:rPr>
  </w:style>
  <w:style w:type="paragraph" w:customStyle="1" w:styleId="zfgkxxinput08">
    <w:name w:val="zfgkxx_input08"/>
    <w:basedOn w:val="Normal"/>
    <w:uiPriority w:val="99"/>
    <w:rsid w:val="002E09A2"/>
    <w:pPr>
      <w:widowControl/>
      <w:ind w:left="75" w:right="75"/>
      <w:jc w:val="left"/>
    </w:pPr>
    <w:rPr>
      <w:rFonts w:ascii="宋体" w:hAnsi="宋体" w:cs="宋体"/>
      <w:kern w:val="0"/>
      <w:sz w:val="24"/>
      <w:szCs w:val="24"/>
    </w:rPr>
  </w:style>
  <w:style w:type="paragraph" w:customStyle="1" w:styleId="zfgkxxinput03">
    <w:name w:val="zfgkxx_input03"/>
    <w:basedOn w:val="Normal"/>
    <w:uiPriority w:val="99"/>
    <w:rsid w:val="002E09A2"/>
    <w:pPr>
      <w:widowControl/>
      <w:ind w:left="75"/>
      <w:jc w:val="left"/>
    </w:pPr>
    <w:rPr>
      <w:rFonts w:ascii="宋体" w:hAnsi="宋体" w:cs="宋体"/>
      <w:kern w:val="0"/>
      <w:sz w:val="24"/>
      <w:szCs w:val="24"/>
    </w:rPr>
  </w:style>
  <w:style w:type="paragraph" w:customStyle="1" w:styleId="zfgkxxinput06">
    <w:name w:val="zfgkxx_input06"/>
    <w:basedOn w:val="Normal"/>
    <w:uiPriority w:val="99"/>
    <w:rsid w:val="002E09A2"/>
    <w:pPr>
      <w:widowControl/>
      <w:ind w:left="75"/>
      <w:jc w:val="left"/>
    </w:pPr>
    <w:rPr>
      <w:rFonts w:ascii="宋体" w:hAnsi="宋体" w:cs="宋体"/>
      <w:kern w:val="0"/>
      <w:sz w:val="24"/>
      <w:szCs w:val="24"/>
    </w:rPr>
  </w:style>
  <w:style w:type="paragraph" w:customStyle="1" w:styleId="zfgkxxinput09">
    <w:name w:val="zfgkxx_input09"/>
    <w:basedOn w:val="Normal"/>
    <w:uiPriority w:val="99"/>
    <w:rsid w:val="002E09A2"/>
    <w:pPr>
      <w:widowControl/>
      <w:ind w:left="75"/>
      <w:jc w:val="left"/>
    </w:pPr>
    <w:rPr>
      <w:rFonts w:ascii="宋体" w:hAnsi="宋体" w:cs="宋体"/>
      <w:kern w:val="0"/>
      <w:sz w:val="24"/>
      <w:szCs w:val="24"/>
    </w:rPr>
  </w:style>
  <w:style w:type="paragraph" w:customStyle="1" w:styleId="zfgkxxjgszyznbg">
    <w:name w:val="zfgkxx_jgszyzn_bg"/>
    <w:basedOn w:val="Normal"/>
    <w:uiPriority w:val="99"/>
    <w:rsid w:val="002E09A2"/>
    <w:pPr>
      <w:widowControl/>
      <w:jc w:val="left"/>
    </w:pPr>
    <w:rPr>
      <w:rFonts w:ascii="宋体" w:hAnsi="宋体" w:cs="宋体"/>
      <w:kern w:val="0"/>
      <w:sz w:val="24"/>
      <w:szCs w:val="24"/>
    </w:rPr>
  </w:style>
  <w:style w:type="paragraph" w:customStyle="1" w:styleId="jgszyznimg">
    <w:name w:val="jgszyzn_img"/>
    <w:basedOn w:val="Normal"/>
    <w:uiPriority w:val="99"/>
    <w:rsid w:val="002E09A2"/>
    <w:pPr>
      <w:widowControl/>
      <w:spacing w:before="180"/>
      <w:jc w:val="left"/>
    </w:pPr>
    <w:rPr>
      <w:rFonts w:ascii="宋体" w:hAnsi="宋体" w:cs="宋体"/>
      <w:kern w:val="0"/>
      <w:sz w:val="24"/>
      <w:szCs w:val="24"/>
    </w:rPr>
  </w:style>
  <w:style w:type="paragraph" w:customStyle="1" w:styleId="jgszyznline">
    <w:name w:val="jgszyzn_line"/>
    <w:basedOn w:val="Normal"/>
    <w:uiPriority w:val="99"/>
    <w:rsid w:val="002E09A2"/>
    <w:pPr>
      <w:widowControl/>
      <w:spacing w:before="300"/>
      <w:ind w:left="75" w:right="75"/>
      <w:jc w:val="left"/>
    </w:pPr>
    <w:rPr>
      <w:rFonts w:ascii="宋体" w:hAnsi="宋体" w:cs="宋体"/>
      <w:kern w:val="0"/>
      <w:sz w:val="24"/>
      <w:szCs w:val="24"/>
    </w:rPr>
  </w:style>
  <w:style w:type="paragraph" w:customStyle="1" w:styleId="jgszyzncont">
    <w:name w:val="jgszyzn_cont"/>
    <w:basedOn w:val="Normal"/>
    <w:uiPriority w:val="99"/>
    <w:rsid w:val="002E09A2"/>
    <w:pPr>
      <w:widowControl/>
      <w:spacing w:before="300"/>
      <w:jc w:val="left"/>
    </w:pPr>
    <w:rPr>
      <w:rFonts w:ascii="宋体" w:hAnsi="宋体" w:cs="宋体"/>
      <w:kern w:val="0"/>
      <w:sz w:val="24"/>
      <w:szCs w:val="24"/>
    </w:rPr>
  </w:style>
  <w:style w:type="paragraph" w:customStyle="1" w:styleId="jgszyznimg01">
    <w:name w:val="jgszyzn_img_01"/>
    <w:basedOn w:val="Normal"/>
    <w:uiPriority w:val="99"/>
    <w:rsid w:val="002E09A2"/>
    <w:pPr>
      <w:widowControl/>
      <w:pBdr>
        <w:top w:val="single" w:sz="6" w:space="2" w:color="D8D8D8"/>
        <w:left w:val="single" w:sz="6" w:space="2" w:color="D8D8D8"/>
        <w:bottom w:val="single" w:sz="6" w:space="2" w:color="D8D8D8"/>
        <w:right w:val="single" w:sz="6" w:space="2" w:color="D8D8D8"/>
      </w:pBdr>
      <w:ind w:left="225"/>
      <w:jc w:val="left"/>
    </w:pPr>
    <w:rPr>
      <w:rFonts w:ascii="宋体" w:hAnsi="宋体" w:cs="宋体"/>
      <w:kern w:val="0"/>
      <w:sz w:val="24"/>
      <w:szCs w:val="24"/>
    </w:rPr>
  </w:style>
  <w:style w:type="paragraph" w:customStyle="1" w:styleId="jgszyznimg02">
    <w:name w:val="jgszyzn_img_02"/>
    <w:basedOn w:val="Normal"/>
    <w:uiPriority w:val="99"/>
    <w:rsid w:val="002E09A2"/>
    <w:pPr>
      <w:widowControl/>
      <w:spacing w:before="75"/>
      <w:jc w:val="center"/>
    </w:pPr>
    <w:rPr>
      <w:rFonts w:ascii="宋体" w:hAnsi="宋体" w:cs="宋体"/>
      <w:b/>
      <w:bCs/>
      <w:kern w:val="0"/>
      <w:sz w:val="18"/>
      <w:szCs w:val="18"/>
    </w:rPr>
  </w:style>
  <w:style w:type="paragraph" w:customStyle="1" w:styleId="centerzhuantierji01">
    <w:name w:val="center_zhuantierji01"/>
    <w:basedOn w:val="Normal"/>
    <w:uiPriority w:val="99"/>
    <w:rsid w:val="002E09A2"/>
    <w:pPr>
      <w:widowControl/>
      <w:jc w:val="left"/>
    </w:pPr>
    <w:rPr>
      <w:rFonts w:ascii="宋体" w:hAnsi="宋体" w:cs="宋体"/>
      <w:kern w:val="0"/>
      <w:sz w:val="24"/>
      <w:szCs w:val="24"/>
    </w:rPr>
  </w:style>
  <w:style w:type="paragraph" w:customStyle="1" w:styleId="zhuantierji01a">
    <w:name w:val="zhuantierji01_a"/>
    <w:basedOn w:val="Normal"/>
    <w:uiPriority w:val="99"/>
    <w:rsid w:val="002E09A2"/>
    <w:pPr>
      <w:widowControl/>
      <w:jc w:val="left"/>
    </w:pPr>
    <w:rPr>
      <w:rFonts w:ascii="宋体" w:hAnsi="宋体" w:cs="宋体"/>
      <w:kern w:val="0"/>
      <w:sz w:val="24"/>
      <w:szCs w:val="24"/>
    </w:rPr>
  </w:style>
  <w:style w:type="paragraph" w:customStyle="1" w:styleId="ztejtop">
    <w:name w:val="ztej_top"/>
    <w:basedOn w:val="Normal"/>
    <w:uiPriority w:val="99"/>
    <w:rsid w:val="002E09A2"/>
    <w:pPr>
      <w:widowControl/>
      <w:jc w:val="left"/>
    </w:pPr>
    <w:rPr>
      <w:rFonts w:ascii="宋体" w:hAnsi="宋体" w:cs="宋体"/>
      <w:kern w:val="0"/>
      <w:sz w:val="24"/>
      <w:szCs w:val="24"/>
    </w:rPr>
  </w:style>
  <w:style w:type="paragraph" w:customStyle="1" w:styleId="ztejmiddle">
    <w:name w:val="ztej_middle"/>
    <w:basedOn w:val="Normal"/>
    <w:uiPriority w:val="99"/>
    <w:rsid w:val="002E09A2"/>
    <w:pPr>
      <w:widowControl/>
      <w:pBdr>
        <w:left w:val="single" w:sz="18" w:space="0" w:color="D9D9D9"/>
        <w:right w:val="single" w:sz="18" w:space="0" w:color="D9D9D9"/>
      </w:pBdr>
      <w:jc w:val="left"/>
    </w:pPr>
    <w:rPr>
      <w:rFonts w:ascii="宋体" w:hAnsi="宋体" w:cs="宋体"/>
      <w:kern w:val="0"/>
      <w:sz w:val="24"/>
      <w:szCs w:val="24"/>
    </w:rPr>
  </w:style>
  <w:style w:type="paragraph" w:customStyle="1" w:styleId="ztejmiddleul">
    <w:name w:val="ztej_middle_ul"/>
    <w:basedOn w:val="Normal"/>
    <w:uiPriority w:val="99"/>
    <w:rsid w:val="002E09A2"/>
    <w:pPr>
      <w:widowControl/>
      <w:jc w:val="left"/>
    </w:pPr>
    <w:rPr>
      <w:rFonts w:ascii="宋体" w:hAnsi="宋体" w:cs="宋体"/>
      <w:kern w:val="0"/>
      <w:sz w:val="24"/>
      <w:szCs w:val="24"/>
    </w:rPr>
  </w:style>
  <w:style w:type="paragraph" w:customStyle="1" w:styleId="ztejbottom">
    <w:name w:val="ztej_bottom"/>
    <w:basedOn w:val="Normal"/>
    <w:uiPriority w:val="99"/>
    <w:rsid w:val="002E09A2"/>
    <w:pPr>
      <w:widowControl/>
      <w:jc w:val="left"/>
    </w:pPr>
    <w:rPr>
      <w:rFonts w:ascii="宋体" w:hAnsi="宋体" w:cs="宋体"/>
      <w:kern w:val="0"/>
      <w:sz w:val="24"/>
      <w:szCs w:val="24"/>
    </w:rPr>
  </w:style>
  <w:style w:type="paragraph" w:customStyle="1" w:styleId="ztejmargin">
    <w:name w:val="ztej_margin"/>
    <w:basedOn w:val="Normal"/>
    <w:uiPriority w:val="99"/>
    <w:rsid w:val="002E09A2"/>
    <w:pPr>
      <w:widowControl/>
      <w:ind w:left="195" w:right="195"/>
      <w:jc w:val="left"/>
    </w:pPr>
    <w:rPr>
      <w:rFonts w:ascii="宋体" w:hAnsi="宋体" w:cs="宋体"/>
      <w:kern w:val="0"/>
      <w:sz w:val="24"/>
      <w:szCs w:val="24"/>
    </w:rPr>
  </w:style>
  <w:style w:type="paragraph" w:customStyle="1" w:styleId="zjtj01">
    <w:name w:val="zjtj_01"/>
    <w:basedOn w:val="Normal"/>
    <w:uiPriority w:val="99"/>
    <w:rsid w:val="002E09A2"/>
    <w:pPr>
      <w:widowControl/>
      <w:jc w:val="left"/>
    </w:pPr>
    <w:rPr>
      <w:rFonts w:ascii="宋体" w:hAnsi="宋体" w:cs="宋体"/>
      <w:kern w:val="0"/>
      <w:sz w:val="24"/>
      <w:szCs w:val="24"/>
    </w:rPr>
  </w:style>
  <w:style w:type="paragraph" w:customStyle="1" w:styleId="zjtj02">
    <w:name w:val="zjtj_02"/>
    <w:basedOn w:val="Normal"/>
    <w:uiPriority w:val="99"/>
    <w:rsid w:val="002E09A2"/>
    <w:pPr>
      <w:widowControl/>
      <w:spacing w:before="150"/>
      <w:jc w:val="left"/>
    </w:pPr>
    <w:rPr>
      <w:rFonts w:ascii="宋体" w:hAnsi="宋体" w:cs="宋体"/>
      <w:kern w:val="0"/>
      <w:sz w:val="24"/>
      <w:szCs w:val="24"/>
    </w:rPr>
  </w:style>
  <w:style w:type="paragraph" w:customStyle="1" w:styleId="zjtj01a">
    <w:name w:val="zjtj_01_a"/>
    <w:basedOn w:val="Normal"/>
    <w:uiPriority w:val="99"/>
    <w:rsid w:val="002E09A2"/>
    <w:pPr>
      <w:widowControl/>
      <w:jc w:val="left"/>
    </w:pPr>
    <w:rPr>
      <w:rFonts w:ascii="宋体" w:hAnsi="宋体" w:cs="宋体"/>
      <w:kern w:val="0"/>
      <w:sz w:val="24"/>
      <w:szCs w:val="24"/>
    </w:rPr>
  </w:style>
  <w:style w:type="paragraph" w:customStyle="1" w:styleId="zjtj01atop">
    <w:name w:val="zjtj_01_a_top"/>
    <w:basedOn w:val="Normal"/>
    <w:uiPriority w:val="99"/>
    <w:rsid w:val="002E09A2"/>
    <w:pPr>
      <w:widowControl/>
      <w:jc w:val="left"/>
    </w:pPr>
    <w:rPr>
      <w:rFonts w:ascii="宋体" w:hAnsi="宋体" w:cs="宋体"/>
      <w:kern w:val="0"/>
      <w:sz w:val="24"/>
      <w:szCs w:val="24"/>
    </w:rPr>
  </w:style>
  <w:style w:type="paragraph" w:customStyle="1" w:styleId="zjtj01abottom">
    <w:name w:val="zjtj_01_a_bottom"/>
    <w:basedOn w:val="Normal"/>
    <w:uiPriority w:val="99"/>
    <w:rsid w:val="002E09A2"/>
    <w:pPr>
      <w:widowControl/>
      <w:jc w:val="left"/>
    </w:pPr>
    <w:rPr>
      <w:rFonts w:ascii="宋体" w:hAnsi="宋体" w:cs="宋体"/>
      <w:kern w:val="0"/>
      <w:sz w:val="24"/>
      <w:szCs w:val="24"/>
    </w:rPr>
  </w:style>
  <w:style w:type="paragraph" w:customStyle="1" w:styleId="zjtj01amiddle">
    <w:name w:val="zjtj_01_a_middle"/>
    <w:basedOn w:val="Normal"/>
    <w:uiPriority w:val="99"/>
    <w:rsid w:val="002E09A2"/>
    <w:pPr>
      <w:widowControl/>
      <w:pBdr>
        <w:left w:val="single" w:sz="18" w:space="0" w:color="0083AA"/>
        <w:right w:val="single" w:sz="18" w:space="0" w:color="0083AA"/>
      </w:pBdr>
      <w:jc w:val="left"/>
    </w:pPr>
    <w:rPr>
      <w:rFonts w:ascii="宋体" w:hAnsi="宋体" w:cs="宋体"/>
      <w:kern w:val="0"/>
      <w:sz w:val="24"/>
      <w:szCs w:val="24"/>
    </w:rPr>
  </w:style>
  <w:style w:type="paragraph" w:customStyle="1" w:styleId="zjtj01aa">
    <w:name w:val="zjtj_01_aa"/>
    <w:basedOn w:val="Normal"/>
    <w:uiPriority w:val="99"/>
    <w:rsid w:val="002E09A2"/>
    <w:pPr>
      <w:widowControl/>
      <w:jc w:val="left"/>
    </w:pPr>
    <w:rPr>
      <w:rFonts w:ascii="宋体" w:hAnsi="宋体" w:cs="宋体"/>
      <w:kern w:val="0"/>
      <w:sz w:val="24"/>
      <w:szCs w:val="24"/>
    </w:rPr>
  </w:style>
  <w:style w:type="paragraph" w:customStyle="1" w:styleId="zjtj01aline">
    <w:name w:val="zjtj_01_a_line"/>
    <w:basedOn w:val="Normal"/>
    <w:uiPriority w:val="99"/>
    <w:rsid w:val="002E09A2"/>
    <w:pPr>
      <w:widowControl/>
      <w:pBdr>
        <w:top w:val="single" w:sz="6" w:space="0" w:color="D8D8D8"/>
        <w:left w:val="single" w:sz="6" w:space="0" w:color="D8D8D8"/>
        <w:bottom w:val="single" w:sz="6" w:space="0" w:color="D8D8D8"/>
        <w:right w:val="single" w:sz="6" w:space="0" w:color="D8D8D8"/>
      </w:pBdr>
      <w:jc w:val="left"/>
    </w:pPr>
    <w:rPr>
      <w:rFonts w:ascii="宋体" w:hAnsi="宋体" w:cs="宋体"/>
      <w:kern w:val="0"/>
      <w:sz w:val="24"/>
      <w:szCs w:val="24"/>
    </w:rPr>
  </w:style>
  <w:style w:type="paragraph" w:customStyle="1" w:styleId="zjtj01aleft">
    <w:name w:val="zjtj_01_a_left"/>
    <w:basedOn w:val="Normal"/>
    <w:uiPriority w:val="99"/>
    <w:rsid w:val="002E09A2"/>
    <w:pPr>
      <w:widowControl/>
      <w:jc w:val="left"/>
    </w:pPr>
    <w:rPr>
      <w:rFonts w:ascii="宋体" w:hAnsi="宋体" w:cs="宋体"/>
      <w:kern w:val="0"/>
      <w:sz w:val="24"/>
      <w:szCs w:val="24"/>
    </w:rPr>
  </w:style>
  <w:style w:type="paragraph" w:customStyle="1" w:styleId="zjtj01bb">
    <w:name w:val="zjtj_01_bb"/>
    <w:basedOn w:val="Normal"/>
    <w:uiPriority w:val="99"/>
    <w:rsid w:val="002E09A2"/>
    <w:pPr>
      <w:widowControl/>
      <w:ind w:left="150"/>
      <w:jc w:val="left"/>
    </w:pPr>
    <w:rPr>
      <w:rFonts w:ascii="宋体" w:hAnsi="宋体" w:cs="宋体"/>
      <w:kern w:val="0"/>
      <w:sz w:val="24"/>
      <w:szCs w:val="24"/>
    </w:rPr>
  </w:style>
  <w:style w:type="paragraph" w:customStyle="1" w:styleId="zjtj01bright">
    <w:name w:val="zjtj_01_b_right"/>
    <w:basedOn w:val="Normal"/>
    <w:uiPriority w:val="99"/>
    <w:rsid w:val="002E09A2"/>
    <w:pPr>
      <w:widowControl/>
      <w:spacing w:after="150"/>
      <w:jc w:val="left"/>
    </w:pPr>
    <w:rPr>
      <w:rFonts w:ascii="宋体" w:hAnsi="宋体" w:cs="宋体"/>
      <w:kern w:val="0"/>
      <w:sz w:val="24"/>
      <w:szCs w:val="24"/>
    </w:rPr>
  </w:style>
  <w:style w:type="paragraph" w:customStyle="1" w:styleId="zjtj01b">
    <w:name w:val="zjtj_01_b"/>
    <w:basedOn w:val="Normal"/>
    <w:uiPriority w:val="99"/>
    <w:rsid w:val="002E09A2"/>
    <w:pPr>
      <w:widowControl/>
      <w:ind w:left="180"/>
      <w:jc w:val="left"/>
    </w:pPr>
    <w:rPr>
      <w:rFonts w:ascii="宋体" w:hAnsi="宋体" w:cs="宋体"/>
      <w:kern w:val="0"/>
      <w:sz w:val="24"/>
      <w:szCs w:val="24"/>
    </w:rPr>
  </w:style>
  <w:style w:type="paragraph" w:customStyle="1" w:styleId="zjtj01btit">
    <w:name w:val="zjtj_01_b_tit"/>
    <w:basedOn w:val="Normal"/>
    <w:uiPriority w:val="99"/>
    <w:rsid w:val="002E09A2"/>
    <w:pPr>
      <w:widowControl/>
      <w:jc w:val="left"/>
    </w:pPr>
    <w:rPr>
      <w:rFonts w:ascii="宋体" w:hAnsi="宋体" w:cs="宋体"/>
      <w:kern w:val="0"/>
      <w:sz w:val="24"/>
      <w:szCs w:val="24"/>
    </w:rPr>
  </w:style>
  <w:style w:type="paragraph" w:customStyle="1" w:styleId="zjtj01box">
    <w:name w:val="zjtj_01_box"/>
    <w:basedOn w:val="Normal"/>
    <w:uiPriority w:val="99"/>
    <w:rsid w:val="002E09A2"/>
    <w:pPr>
      <w:widowControl/>
      <w:jc w:val="left"/>
    </w:pPr>
    <w:rPr>
      <w:rFonts w:ascii="宋体" w:hAnsi="宋体" w:cs="宋体"/>
      <w:kern w:val="0"/>
      <w:sz w:val="24"/>
      <w:szCs w:val="24"/>
    </w:rPr>
  </w:style>
  <w:style w:type="paragraph" w:customStyle="1" w:styleId="zjtj02a">
    <w:name w:val="zjtj_02_a"/>
    <w:basedOn w:val="Normal"/>
    <w:uiPriority w:val="99"/>
    <w:rsid w:val="002E09A2"/>
    <w:pPr>
      <w:widowControl/>
      <w:jc w:val="left"/>
    </w:pPr>
    <w:rPr>
      <w:rFonts w:ascii="宋体" w:hAnsi="宋体" w:cs="宋体"/>
      <w:kern w:val="0"/>
      <w:sz w:val="24"/>
      <w:szCs w:val="24"/>
    </w:rPr>
  </w:style>
  <w:style w:type="paragraph" w:customStyle="1" w:styleId="zjtj02gd">
    <w:name w:val="zjtj_02_gd"/>
    <w:basedOn w:val="Normal"/>
    <w:uiPriority w:val="99"/>
    <w:rsid w:val="002E09A2"/>
    <w:pPr>
      <w:widowControl/>
      <w:jc w:val="left"/>
    </w:pPr>
    <w:rPr>
      <w:rFonts w:ascii="宋体" w:hAnsi="宋体" w:cs="宋体"/>
      <w:kern w:val="0"/>
      <w:sz w:val="24"/>
      <w:szCs w:val="24"/>
    </w:rPr>
  </w:style>
  <w:style w:type="paragraph" w:customStyle="1" w:styleId="zjtj0230">
    <w:name w:val="zjtj_02_30"/>
    <w:basedOn w:val="Normal"/>
    <w:uiPriority w:val="99"/>
    <w:rsid w:val="002E09A2"/>
    <w:pPr>
      <w:widowControl/>
      <w:pBdr>
        <w:bottom w:val="single" w:sz="6" w:space="0" w:color="C2C2C2"/>
      </w:pBdr>
      <w:shd w:val="clear" w:color="auto" w:fill="F3F3F3"/>
      <w:jc w:val="center"/>
    </w:pPr>
    <w:rPr>
      <w:rFonts w:ascii="宋体" w:hAnsi="宋体" w:cs="宋体"/>
      <w:kern w:val="0"/>
      <w:sz w:val="24"/>
      <w:szCs w:val="24"/>
    </w:rPr>
  </w:style>
  <w:style w:type="paragraph" w:customStyle="1" w:styleId="zjtj02ul">
    <w:name w:val="zjtj_02_ul"/>
    <w:basedOn w:val="Normal"/>
    <w:uiPriority w:val="99"/>
    <w:rsid w:val="002E09A2"/>
    <w:pPr>
      <w:widowControl/>
      <w:jc w:val="left"/>
    </w:pPr>
    <w:rPr>
      <w:rFonts w:ascii="宋体" w:hAnsi="宋体" w:cs="宋体"/>
      <w:kern w:val="0"/>
      <w:sz w:val="24"/>
      <w:szCs w:val="24"/>
    </w:rPr>
  </w:style>
  <w:style w:type="paragraph" w:customStyle="1" w:styleId="zjtj02b">
    <w:name w:val="zjtj_02_b"/>
    <w:basedOn w:val="Normal"/>
    <w:uiPriority w:val="99"/>
    <w:rsid w:val="002E09A2"/>
    <w:pPr>
      <w:widowControl/>
      <w:ind w:left="150"/>
      <w:jc w:val="left"/>
    </w:pPr>
    <w:rPr>
      <w:rFonts w:ascii="宋体" w:hAnsi="宋体" w:cs="宋体"/>
      <w:kern w:val="0"/>
      <w:sz w:val="24"/>
      <w:szCs w:val="24"/>
    </w:rPr>
  </w:style>
  <w:style w:type="paragraph" w:customStyle="1" w:styleId="zjtj02gda">
    <w:name w:val="zjtj_02_gda"/>
    <w:basedOn w:val="Normal"/>
    <w:uiPriority w:val="99"/>
    <w:rsid w:val="002E09A2"/>
    <w:pPr>
      <w:widowControl/>
      <w:jc w:val="left"/>
    </w:pPr>
    <w:rPr>
      <w:rFonts w:ascii="宋体" w:hAnsi="宋体" w:cs="宋体"/>
      <w:kern w:val="0"/>
      <w:sz w:val="24"/>
      <w:szCs w:val="24"/>
    </w:rPr>
  </w:style>
  <w:style w:type="paragraph" w:customStyle="1" w:styleId="zjtjb30">
    <w:name w:val="zjtj_b_30"/>
    <w:basedOn w:val="Normal"/>
    <w:uiPriority w:val="99"/>
    <w:rsid w:val="002E09A2"/>
    <w:pPr>
      <w:widowControl/>
      <w:pBdr>
        <w:bottom w:val="single" w:sz="6" w:space="2" w:color="C2C2C2"/>
      </w:pBdr>
      <w:shd w:val="clear" w:color="auto" w:fill="F3F3F3"/>
      <w:jc w:val="left"/>
    </w:pPr>
    <w:rPr>
      <w:rFonts w:ascii="宋体" w:hAnsi="宋体" w:cs="宋体"/>
      <w:kern w:val="0"/>
      <w:sz w:val="24"/>
      <w:szCs w:val="24"/>
    </w:rPr>
  </w:style>
  <w:style w:type="paragraph" w:customStyle="1" w:styleId="zjtj02bcont">
    <w:name w:val="zjtj_02_b_cont"/>
    <w:basedOn w:val="Normal"/>
    <w:uiPriority w:val="99"/>
    <w:rsid w:val="002E09A2"/>
    <w:pPr>
      <w:widowControl/>
      <w:jc w:val="left"/>
    </w:pPr>
    <w:rPr>
      <w:rFonts w:ascii="宋体" w:hAnsi="宋体" w:cs="宋体"/>
      <w:kern w:val="0"/>
      <w:sz w:val="24"/>
      <w:szCs w:val="24"/>
    </w:rPr>
  </w:style>
  <w:style w:type="paragraph" w:customStyle="1" w:styleId="zjtjbcontleft">
    <w:name w:val="zjtj_b_cont_left"/>
    <w:basedOn w:val="Normal"/>
    <w:uiPriority w:val="99"/>
    <w:rsid w:val="002E09A2"/>
    <w:pPr>
      <w:widowControl/>
      <w:jc w:val="left"/>
    </w:pPr>
    <w:rPr>
      <w:rFonts w:ascii="宋体" w:hAnsi="宋体" w:cs="宋体"/>
      <w:kern w:val="0"/>
      <w:sz w:val="24"/>
      <w:szCs w:val="24"/>
    </w:rPr>
  </w:style>
  <w:style w:type="paragraph" w:customStyle="1" w:styleId="zjtjbcontright">
    <w:name w:val="zjtj_b_cont_right"/>
    <w:basedOn w:val="Normal"/>
    <w:uiPriority w:val="99"/>
    <w:rsid w:val="002E09A2"/>
    <w:pPr>
      <w:widowControl/>
      <w:pBdr>
        <w:left w:val="single" w:sz="6" w:space="0" w:color="C2C2C2"/>
      </w:pBdr>
      <w:ind w:left="150"/>
      <w:jc w:val="left"/>
    </w:pPr>
    <w:rPr>
      <w:rFonts w:ascii="宋体" w:hAnsi="宋体" w:cs="宋体"/>
      <w:kern w:val="0"/>
      <w:sz w:val="24"/>
      <w:szCs w:val="24"/>
    </w:rPr>
  </w:style>
  <w:style w:type="paragraph" w:customStyle="1" w:styleId="zjtj02ula">
    <w:name w:val="zjtj_02_ula"/>
    <w:basedOn w:val="Normal"/>
    <w:uiPriority w:val="99"/>
    <w:rsid w:val="002E09A2"/>
    <w:pPr>
      <w:widowControl/>
      <w:jc w:val="left"/>
    </w:pPr>
    <w:rPr>
      <w:rFonts w:ascii="宋体" w:hAnsi="宋体" w:cs="宋体"/>
      <w:kern w:val="0"/>
      <w:sz w:val="24"/>
      <w:szCs w:val="24"/>
    </w:rPr>
  </w:style>
  <w:style w:type="paragraph" w:customStyle="1" w:styleId="zjtjbcontrightdm">
    <w:name w:val="zjtj_b_cont_right_dm"/>
    <w:basedOn w:val="Normal"/>
    <w:uiPriority w:val="99"/>
    <w:rsid w:val="002E09A2"/>
    <w:pPr>
      <w:widowControl/>
      <w:pBdr>
        <w:top w:val="single" w:sz="18" w:space="0" w:color="1C7ABF"/>
        <w:bottom w:val="single" w:sz="6" w:space="0" w:color="C2C2C2"/>
      </w:pBdr>
      <w:shd w:val="clear" w:color="auto" w:fill="F3F3F3"/>
      <w:spacing w:line="450" w:lineRule="atLeast"/>
      <w:jc w:val="left"/>
    </w:pPr>
    <w:rPr>
      <w:rFonts w:ascii="宋体" w:hAnsi="宋体" w:cs="宋体"/>
      <w:b/>
      <w:bCs/>
      <w:color w:val="0879DC"/>
      <w:kern w:val="0"/>
      <w:sz w:val="24"/>
      <w:szCs w:val="24"/>
    </w:rPr>
  </w:style>
  <w:style w:type="paragraph" w:customStyle="1" w:styleId="zjtjbcontrightye">
    <w:name w:val="zjtj_b_cont_right_ye"/>
    <w:basedOn w:val="Normal"/>
    <w:uiPriority w:val="99"/>
    <w:rsid w:val="002E09A2"/>
    <w:pPr>
      <w:widowControl/>
      <w:jc w:val="center"/>
    </w:pPr>
    <w:rPr>
      <w:rFonts w:ascii="宋体" w:hAnsi="宋体" w:cs="宋体"/>
      <w:kern w:val="0"/>
      <w:sz w:val="24"/>
      <w:szCs w:val="24"/>
    </w:rPr>
  </w:style>
  <w:style w:type="paragraph" w:customStyle="1" w:styleId="imgnewleft">
    <w:name w:val="img_new_left"/>
    <w:basedOn w:val="Normal"/>
    <w:uiPriority w:val="99"/>
    <w:rsid w:val="002E09A2"/>
    <w:pPr>
      <w:widowControl/>
      <w:ind w:left="300"/>
      <w:jc w:val="left"/>
    </w:pPr>
    <w:rPr>
      <w:rFonts w:ascii="宋体" w:hAnsi="宋体" w:cs="宋体"/>
      <w:kern w:val="0"/>
      <w:sz w:val="24"/>
      <w:szCs w:val="24"/>
    </w:rPr>
  </w:style>
  <w:style w:type="paragraph" w:customStyle="1" w:styleId="imgnewright">
    <w:name w:val="img_new_right"/>
    <w:basedOn w:val="Normal"/>
    <w:uiPriority w:val="99"/>
    <w:rsid w:val="002E09A2"/>
    <w:pPr>
      <w:widowControl/>
      <w:ind w:right="300"/>
      <w:jc w:val="left"/>
    </w:pPr>
    <w:rPr>
      <w:rFonts w:ascii="宋体" w:hAnsi="宋体" w:cs="宋体"/>
      <w:kern w:val="0"/>
      <w:sz w:val="24"/>
      <w:szCs w:val="24"/>
    </w:rPr>
  </w:style>
  <w:style w:type="paragraph" w:customStyle="1" w:styleId="imgmidd">
    <w:name w:val="img_midd"/>
    <w:basedOn w:val="Normal"/>
    <w:uiPriority w:val="99"/>
    <w:rsid w:val="002E09A2"/>
    <w:pPr>
      <w:widowControl/>
      <w:ind w:left="120"/>
      <w:jc w:val="left"/>
    </w:pPr>
    <w:rPr>
      <w:rFonts w:ascii="宋体" w:hAnsi="宋体" w:cs="宋体"/>
      <w:kern w:val="0"/>
      <w:sz w:val="24"/>
      <w:szCs w:val="24"/>
    </w:rPr>
  </w:style>
  <w:style w:type="paragraph" w:customStyle="1" w:styleId="imgmiddul">
    <w:name w:val="img_midd_ul"/>
    <w:basedOn w:val="Normal"/>
    <w:uiPriority w:val="99"/>
    <w:rsid w:val="002E09A2"/>
    <w:pPr>
      <w:widowControl/>
      <w:spacing w:before="225"/>
      <w:ind w:left="75" w:right="75"/>
      <w:jc w:val="left"/>
    </w:pPr>
    <w:rPr>
      <w:rFonts w:ascii="宋体" w:hAnsi="宋体" w:cs="宋体"/>
      <w:kern w:val="0"/>
      <w:sz w:val="24"/>
      <w:szCs w:val="24"/>
    </w:rPr>
  </w:style>
  <w:style w:type="paragraph" w:customStyle="1" w:styleId="imgline">
    <w:name w:val="img_line"/>
    <w:basedOn w:val="Normal"/>
    <w:uiPriority w:val="99"/>
    <w:rsid w:val="002E09A2"/>
    <w:pPr>
      <w:widowControl/>
      <w:pBdr>
        <w:left w:val="single" w:sz="6" w:space="0" w:color="DDDDDD"/>
      </w:pBdr>
      <w:spacing w:before="225"/>
      <w:jc w:val="left"/>
    </w:pPr>
    <w:rPr>
      <w:rFonts w:ascii="宋体" w:hAnsi="宋体" w:cs="宋体"/>
      <w:kern w:val="0"/>
      <w:sz w:val="24"/>
      <w:szCs w:val="24"/>
    </w:rPr>
  </w:style>
  <w:style w:type="paragraph" w:customStyle="1" w:styleId="centerhot">
    <w:name w:val="center_hot"/>
    <w:basedOn w:val="Normal"/>
    <w:uiPriority w:val="99"/>
    <w:rsid w:val="002E09A2"/>
    <w:pPr>
      <w:widowControl/>
      <w:pBdr>
        <w:top w:val="single" w:sz="6" w:space="0" w:color="C6CED1"/>
        <w:left w:val="single" w:sz="6" w:space="0" w:color="C6CED1"/>
        <w:bottom w:val="single" w:sz="6" w:space="0" w:color="C6CED1"/>
        <w:right w:val="single" w:sz="6" w:space="0" w:color="C6CED1"/>
      </w:pBdr>
      <w:spacing w:before="150"/>
      <w:jc w:val="left"/>
    </w:pPr>
    <w:rPr>
      <w:rFonts w:ascii="宋体" w:hAnsi="宋体" w:cs="宋体"/>
      <w:kern w:val="0"/>
      <w:sz w:val="24"/>
      <w:szCs w:val="24"/>
    </w:rPr>
  </w:style>
  <w:style w:type="paragraph" w:customStyle="1" w:styleId="centerhref">
    <w:name w:val="center_href"/>
    <w:basedOn w:val="Normal"/>
    <w:uiPriority w:val="99"/>
    <w:rsid w:val="002E09A2"/>
    <w:pPr>
      <w:widowControl/>
      <w:pBdr>
        <w:top w:val="single" w:sz="6" w:space="0" w:color="C6CED1"/>
        <w:left w:val="single" w:sz="6" w:space="0" w:color="C6CED1"/>
        <w:bottom w:val="single" w:sz="6" w:space="0" w:color="C6CED1"/>
        <w:right w:val="single" w:sz="6" w:space="0" w:color="C6CED1"/>
      </w:pBdr>
      <w:spacing w:before="150"/>
      <w:jc w:val="left"/>
    </w:pPr>
    <w:rPr>
      <w:rFonts w:ascii="宋体" w:hAnsi="宋体" w:cs="宋体"/>
      <w:kern w:val="0"/>
      <w:sz w:val="24"/>
      <w:szCs w:val="24"/>
    </w:rPr>
  </w:style>
  <w:style w:type="paragraph" w:customStyle="1" w:styleId="centerhotztej">
    <w:name w:val="center_hot_ztej"/>
    <w:basedOn w:val="Normal"/>
    <w:uiPriority w:val="99"/>
    <w:rsid w:val="002E09A2"/>
    <w:pPr>
      <w:widowControl/>
      <w:pBdr>
        <w:top w:val="single" w:sz="12" w:space="8" w:color="4BB7D8"/>
        <w:left w:val="single" w:sz="12" w:space="0" w:color="4BB7D8"/>
        <w:bottom w:val="single" w:sz="12" w:space="8" w:color="4BB7D8"/>
        <w:right w:val="single" w:sz="12" w:space="0" w:color="4BB7D8"/>
      </w:pBdr>
      <w:jc w:val="left"/>
    </w:pPr>
    <w:rPr>
      <w:rFonts w:ascii="宋体" w:hAnsi="宋体" w:cs="宋体"/>
      <w:kern w:val="0"/>
      <w:sz w:val="24"/>
      <w:szCs w:val="24"/>
    </w:rPr>
  </w:style>
  <w:style w:type="paragraph" w:customStyle="1" w:styleId="centerhotztejtit1">
    <w:name w:val="center_hot_ztej_tit1"/>
    <w:basedOn w:val="Normal"/>
    <w:uiPriority w:val="99"/>
    <w:rsid w:val="002E09A2"/>
    <w:pPr>
      <w:widowControl/>
      <w:jc w:val="left"/>
    </w:pPr>
    <w:rPr>
      <w:rFonts w:ascii="宋体" w:hAnsi="宋体" w:cs="宋体"/>
      <w:kern w:val="0"/>
      <w:sz w:val="24"/>
      <w:szCs w:val="24"/>
    </w:rPr>
  </w:style>
  <w:style w:type="paragraph" w:customStyle="1" w:styleId="ztejtitimg">
    <w:name w:val="ztej_titimg"/>
    <w:basedOn w:val="Normal"/>
    <w:uiPriority w:val="99"/>
    <w:rsid w:val="002E09A2"/>
    <w:pPr>
      <w:widowControl/>
      <w:spacing w:before="375"/>
      <w:jc w:val="left"/>
    </w:pPr>
    <w:rPr>
      <w:rFonts w:ascii="宋体" w:hAnsi="宋体" w:cs="宋体"/>
      <w:kern w:val="0"/>
      <w:sz w:val="24"/>
      <w:szCs w:val="24"/>
    </w:rPr>
  </w:style>
  <w:style w:type="paragraph" w:customStyle="1" w:styleId="centerhottit">
    <w:name w:val="center_hot_tit"/>
    <w:basedOn w:val="Normal"/>
    <w:uiPriority w:val="99"/>
    <w:rsid w:val="002E09A2"/>
    <w:pPr>
      <w:widowControl/>
      <w:pBdr>
        <w:bottom w:val="single" w:sz="12" w:space="0" w:color="656766"/>
      </w:pBdr>
      <w:jc w:val="left"/>
    </w:pPr>
    <w:rPr>
      <w:rFonts w:ascii="宋体" w:hAnsi="宋体" w:cs="宋体"/>
      <w:kern w:val="0"/>
      <w:sz w:val="24"/>
      <w:szCs w:val="24"/>
    </w:rPr>
  </w:style>
  <w:style w:type="paragraph" w:customStyle="1" w:styleId="centerhreftit">
    <w:name w:val="center_href_tit"/>
    <w:basedOn w:val="Normal"/>
    <w:uiPriority w:val="99"/>
    <w:rsid w:val="002E09A2"/>
    <w:pPr>
      <w:widowControl/>
      <w:jc w:val="left"/>
    </w:pPr>
    <w:rPr>
      <w:rFonts w:ascii="宋体" w:hAnsi="宋体" w:cs="宋体"/>
      <w:kern w:val="0"/>
      <w:sz w:val="24"/>
      <w:szCs w:val="24"/>
    </w:rPr>
  </w:style>
  <w:style w:type="paragraph" w:customStyle="1" w:styleId="hotleft">
    <w:name w:val="hot_left"/>
    <w:basedOn w:val="Normal"/>
    <w:uiPriority w:val="99"/>
    <w:rsid w:val="002E09A2"/>
    <w:pPr>
      <w:widowControl/>
      <w:spacing w:before="750"/>
      <w:ind w:left="150"/>
      <w:jc w:val="left"/>
    </w:pPr>
    <w:rPr>
      <w:rFonts w:ascii="宋体" w:hAnsi="宋体" w:cs="宋体"/>
      <w:kern w:val="0"/>
      <w:sz w:val="24"/>
      <w:szCs w:val="24"/>
    </w:rPr>
  </w:style>
  <w:style w:type="paragraph" w:customStyle="1" w:styleId="hotright">
    <w:name w:val="hot_right"/>
    <w:basedOn w:val="Normal"/>
    <w:uiPriority w:val="99"/>
    <w:rsid w:val="002E09A2"/>
    <w:pPr>
      <w:widowControl/>
      <w:spacing w:before="750"/>
      <w:ind w:left="150"/>
      <w:jc w:val="left"/>
    </w:pPr>
    <w:rPr>
      <w:rFonts w:ascii="宋体" w:hAnsi="宋体" w:cs="宋体"/>
      <w:kern w:val="0"/>
      <w:sz w:val="24"/>
      <w:szCs w:val="24"/>
    </w:rPr>
  </w:style>
  <w:style w:type="paragraph" w:customStyle="1" w:styleId="hotmidd">
    <w:name w:val="hot_midd"/>
    <w:basedOn w:val="Normal"/>
    <w:uiPriority w:val="99"/>
    <w:rsid w:val="002E09A2"/>
    <w:pPr>
      <w:widowControl/>
      <w:jc w:val="left"/>
    </w:pPr>
    <w:rPr>
      <w:rFonts w:ascii="宋体" w:hAnsi="宋体" w:cs="宋体"/>
      <w:kern w:val="0"/>
      <w:sz w:val="24"/>
      <w:szCs w:val="24"/>
    </w:rPr>
  </w:style>
  <w:style w:type="paragraph" w:customStyle="1" w:styleId="hotmiddul">
    <w:name w:val="hot_midd_ul"/>
    <w:basedOn w:val="Normal"/>
    <w:uiPriority w:val="99"/>
    <w:rsid w:val="002E09A2"/>
    <w:pPr>
      <w:widowControl/>
      <w:ind w:left="75"/>
      <w:jc w:val="left"/>
    </w:pPr>
    <w:rPr>
      <w:rFonts w:ascii="宋体" w:hAnsi="宋体" w:cs="宋体"/>
      <w:kern w:val="0"/>
      <w:sz w:val="24"/>
      <w:szCs w:val="24"/>
    </w:rPr>
  </w:style>
  <w:style w:type="paragraph" w:customStyle="1" w:styleId="hotmiddulli">
    <w:name w:val="hot_midd_ul_li"/>
    <w:basedOn w:val="Normal"/>
    <w:uiPriority w:val="99"/>
    <w:rsid w:val="002E09A2"/>
    <w:pPr>
      <w:widowControl/>
      <w:ind w:left="90"/>
      <w:jc w:val="left"/>
    </w:pPr>
    <w:rPr>
      <w:rFonts w:ascii="宋体" w:hAnsi="宋体" w:cs="宋体"/>
      <w:color w:val="666666"/>
      <w:kern w:val="0"/>
      <w:sz w:val="24"/>
      <w:szCs w:val="24"/>
    </w:rPr>
  </w:style>
  <w:style w:type="paragraph" w:customStyle="1" w:styleId="hotmiddulfont">
    <w:name w:val="hot_midd_ul_font"/>
    <w:basedOn w:val="Normal"/>
    <w:uiPriority w:val="99"/>
    <w:rsid w:val="002E09A2"/>
    <w:pPr>
      <w:widowControl/>
      <w:ind w:left="90"/>
      <w:jc w:val="left"/>
    </w:pPr>
    <w:rPr>
      <w:rFonts w:ascii="宋体" w:hAnsi="宋体" w:cs="宋体"/>
      <w:kern w:val="0"/>
      <w:sz w:val="24"/>
      <w:szCs w:val="24"/>
    </w:rPr>
  </w:style>
  <w:style w:type="paragraph" w:customStyle="1" w:styleId="hotline">
    <w:name w:val="hot_line"/>
    <w:basedOn w:val="Normal"/>
    <w:uiPriority w:val="99"/>
    <w:rsid w:val="002E09A2"/>
    <w:pPr>
      <w:widowControl/>
      <w:spacing w:before="180"/>
      <w:ind w:left="75" w:right="75"/>
      <w:jc w:val="left"/>
    </w:pPr>
    <w:rPr>
      <w:rFonts w:ascii="宋体" w:hAnsi="宋体" w:cs="宋体"/>
      <w:kern w:val="0"/>
      <w:sz w:val="24"/>
      <w:szCs w:val="24"/>
    </w:rPr>
  </w:style>
  <w:style w:type="paragraph" w:customStyle="1" w:styleId="centerhreftita">
    <w:name w:val="center_href_tita"/>
    <w:basedOn w:val="Normal"/>
    <w:uiPriority w:val="99"/>
    <w:rsid w:val="002E09A2"/>
    <w:pPr>
      <w:widowControl/>
      <w:spacing w:line="420" w:lineRule="atLeast"/>
      <w:jc w:val="left"/>
    </w:pPr>
    <w:rPr>
      <w:rFonts w:ascii="宋体" w:hAnsi="宋体" w:cs="宋体"/>
      <w:b/>
      <w:bCs/>
      <w:color w:val="FFFFFF"/>
      <w:kern w:val="0"/>
      <w:sz w:val="24"/>
      <w:szCs w:val="24"/>
    </w:rPr>
  </w:style>
  <w:style w:type="paragraph" w:customStyle="1" w:styleId="hrefa">
    <w:name w:val="href_a"/>
    <w:basedOn w:val="Normal"/>
    <w:uiPriority w:val="99"/>
    <w:rsid w:val="002E09A2"/>
    <w:pPr>
      <w:widowControl/>
      <w:jc w:val="left"/>
    </w:pPr>
    <w:rPr>
      <w:rFonts w:ascii="宋体" w:hAnsi="宋体" w:cs="宋体"/>
      <w:kern w:val="0"/>
      <w:sz w:val="24"/>
      <w:szCs w:val="24"/>
    </w:rPr>
  </w:style>
  <w:style w:type="paragraph" w:customStyle="1" w:styleId="bottom">
    <w:name w:val="bottom"/>
    <w:basedOn w:val="Normal"/>
    <w:uiPriority w:val="99"/>
    <w:rsid w:val="002E09A2"/>
    <w:pPr>
      <w:widowControl/>
      <w:jc w:val="left"/>
    </w:pPr>
    <w:rPr>
      <w:rFonts w:ascii="宋体" w:hAnsi="宋体" w:cs="宋体"/>
      <w:kern w:val="0"/>
      <w:sz w:val="24"/>
      <w:szCs w:val="24"/>
    </w:rPr>
  </w:style>
  <w:style w:type="paragraph" w:customStyle="1" w:styleId="bottom01">
    <w:name w:val="bottom01"/>
    <w:basedOn w:val="Normal"/>
    <w:uiPriority w:val="99"/>
    <w:rsid w:val="002E09A2"/>
    <w:pPr>
      <w:widowControl/>
      <w:shd w:val="clear" w:color="auto" w:fill="ECECEC"/>
      <w:jc w:val="left"/>
    </w:pPr>
    <w:rPr>
      <w:rFonts w:ascii="宋体" w:hAnsi="宋体" w:cs="宋体"/>
      <w:kern w:val="0"/>
      <w:sz w:val="24"/>
      <w:szCs w:val="24"/>
    </w:rPr>
  </w:style>
  <w:style w:type="paragraph" w:customStyle="1" w:styleId="bottom02">
    <w:name w:val="bottom02"/>
    <w:basedOn w:val="Normal"/>
    <w:uiPriority w:val="99"/>
    <w:rsid w:val="002E09A2"/>
    <w:pPr>
      <w:widowControl/>
      <w:shd w:val="clear" w:color="auto" w:fill="1E67A7"/>
      <w:jc w:val="left"/>
    </w:pPr>
    <w:rPr>
      <w:rFonts w:ascii="宋体" w:hAnsi="宋体" w:cs="宋体"/>
      <w:kern w:val="0"/>
      <w:sz w:val="24"/>
      <w:szCs w:val="24"/>
    </w:rPr>
  </w:style>
  <w:style w:type="paragraph" w:customStyle="1" w:styleId="bottom01a">
    <w:name w:val="bottom01_a"/>
    <w:basedOn w:val="Normal"/>
    <w:uiPriority w:val="99"/>
    <w:rsid w:val="002E09A2"/>
    <w:pPr>
      <w:widowControl/>
      <w:spacing w:before="450" w:line="375" w:lineRule="atLeast"/>
      <w:ind w:left="300"/>
      <w:jc w:val="center"/>
    </w:pPr>
    <w:rPr>
      <w:rFonts w:ascii="宋体" w:hAnsi="宋体" w:cs="宋体"/>
      <w:color w:val="6C6C6C"/>
      <w:kern w:val="0"/>
      <w:sz w:val="24"/>
      <w:szCs w:val="24"/>
    </w:rPr>
  </w:style>
  <w:style w:type="paragraph" w:customStyle="1" w:styleId="bottom01b">
    <w:name w:val="bottom01_b"/>
    <w:basedOn w:val="Normal"/>
    <w:uiPriority w:val="99"/>
    <w:rsid w:val="002E09A2"/>
    <w:pPr>
      <w:widowControl/>
      <w:spacing w:before="750" w:line="375" w:lineRule="atLeast"/>
      <w:ind w:left="300" w:right="300"/>
      <w:jc w:val="center"/>
    </w:pPr>
    <w:rPr>
      <w:rFonts w:ascii="宋体" w:hAnsi="宋体" w:cs="宋体"/>
      <w:color w:val="6C6C6C"/>
      <w:kern w:val="0"/>
      <w:sz w:val="24"/>
      <w:szCs w:val="24"/>
    </w:rPr>
  </w:style>
  <w:style w:type="paragraph" w:customStyle="1" w:styleId="bottominput">
    <w:name w:val="bottom_input"/>
    <w:basedOn w:val="Normal"/>
    <w:uiPriority w:val="99"/>
    <w:rsid w:val="002E09A2"/>
    <w:pPr>
      <w:widowControl/>
      <w:jc w:val="left"/>
    </w:pPr>
    <w:rPr>
      <w:rFonts w:ascii="宋体" w:hAnsi="宋体" w:cs="宋体"/>
      <w:kern w:val="0"/>
      <w:sz w:val="24"/>
      <w:szCs w:val="24"/>
    </w:rPr>
  </w:style>
  <w:style w:type="paragraph" w:customStyle="1" w:styleId="bottomsearch">
    <w:name w:val="bottom_search"/>
    <w:basedOn w:val="Normal"/>
    <w:uiPriority w:val="99"/>
    <w:rsid w:val="002E09A2"/>
    <w:pPr>
      <w:widowControl/>
      <w:pBdr>
        <w:top w:val="single" w:sz="6" w:space="0" w:color="CCCCCC"/>
        <w:left w:val="single" w:sz="6" w:space="0" w:color="CCCCCC"/>
        <w:bottom w:val="single" w:sz="6" w:space="0" w:color="CCCCCC"/>
        <w:right w:val="single" w:sz="6" w:space="0" w:color="CCCCCC"/>
      </w:pBdr>
      <w:shd w:val="clear" w:color="auto" w:fill="FFFFFF"/>
      <w:spacing w:line="405" w:lineRule="atLeast"/>
      <w:jc w:val="left"/>
    </w:pPr>
    <w:rPr>
      <w:rFonts w:ascii="宋体" w:hAnsi="宋体" w:cs="宋体"/>
      <w:b/>
      <w:bCs/>
      <w:kern w:val="0"/>
      <w:sz w:val="24"/>
      <w:szCs w:val="24"/>
    </w:rPr>
  </w:style>
  <w:style w:type="paragraph" w:customStyle="1" w:styleId="bottom01search">
    <w:name w:val="bottom01_search"/>
    <w:basedOn w:val="Normal"/>
    <w:uiPriority w:val="99"/>
    <w:rsid w:val="002E09A2"/>
    <w:pPr>
      <w:widowControl/>
      <w:pBdr>
        <w:top w:val="single" w:sz="6" w:space="0" w:color="CCCCCC"/>
        <w:left w:val="single" w:sz="6" w:space="0" w:color="CCCCCC"/>
        <w:bottom w:val="single" w:sz="6" w:space="0" w:color="CCCCCC"/>
        <w:right w:val="single" w:sz="6" w:space="0" w:color="CCCCCC"/>
      </w:pBdr>
      <w:spacing w:line="375" w:lineRule="atLeast"/>
      <w:jc w:val="left"/>
    </w:pPr>
    <w:rPr>
      <w:rFonts w:ascii="宋体" w:hAnsi="宋体" w:cs="宋体"/>
      <w:kern w:val="0"/>
      <w:sz w:val="24"/>
      <w:szCs w:val="24"/>
    </w:rPr>
  </w:style>
  <w:style w:type="paragraph" w:customStyle="1" w:styleId="bottom02font">
    <w:name w:val="bottom02_font"/>
    <w:basedOn w:val="Normal"/>
    <w:uiPriority w:val="99"/>
    <w:rsid w:val="002E09A2"/>
    <w:pPr>
      <w:widowControl/>
      <w:spacing w:before="225" w:line="330" w:lineRule="atLeast"/>
      <w:jc w:val="center"/>
    </w:pPr>
    <w:rPr>
      <w:rFonts w:ascii="宋体" w:hAnsi="宋体" w:cs="宋体"/>
      <w:color w:val="FFFFFF"/>
      <w:kern w:val="0"/>
      <w:sz w:val="24"/>
      <w:szCs w:val="24"/>
    </w:rPr>
  </w:style>
  <w:style w:type="paragraph" w:customStyle="1" w:styleId="centerhome">
    <w:name w:val="center_home"/>
    <w:basedOn w:val="Normal"/>
    <w:uiPriority w:val="99"/>
    <w:rsid w:val="002E09A2"/>
    <w:pPr>
      <w:widowControl/>
      <w:jc w:val="left"/>
    </w:pPr>
    <w:rPr>
      <w:rFonts w:ascii="宋体" w:hAnsi="宋体" w:cs="宋体"/>
      <w:kern w:val="0"/>
      <w:sz w:val="24"/>
      <w:szCs w:val="24"/>
    </w:rPr>
  </w:style>
  <w:style w:type="paragraph" w:customStyle="1" w:styleId="hometit01">
    <w:name w:val="home_tit01"/>
    <w:basedOn w:val="Normal"/>
    <w:uiPriority w:val="99"/>
    <w:rsid w:val="002E09A2"/>
    <w:pPr>
      <w:widowControl/>
      <w:spacing w:before="15"/>
      <w:ind w:left="120"/>
      <w:jc w:val="left"/>
    </w:pPr>
    <w:rPr>
      <w:rFonts w:ascii="宋体" w:hAnsi="宋体" w:cs="宋体"/>
      <w:kern w:val="0"/>
      <w:sz w:val="18"/>
      <w:szCs w:val="18"/>
    </w:rPr>
  </w:style>
  <w:style w:type="paragraph" w:customStyle="1" w:styleId="homemargin10">
    <w:name w:val="home_margin10"/>
    <w:basedOn w:val="Normal"/>
    <w:uiPriority w:val="99"/>
    <w:rsid w:val="002E09A2"/>
    <w:pPr>
      <w:widowControl/>
      <w:shd w:val="clear" w:color="auto" w:fill="F2F2F2"/>
      <w:jc w:val="left"/>
    </w:pPr>
    <w:rPr>
      <w:rFonts w:ascii="宋体" w:hAnsi="宋体" w:cs="宋体"/>
      <w:kern w:val="0"/>
      <w:sz w:val="24"/>
      <w:szCs w:val="24"/>
    </w:rPr>
  </w:style>
  <w:style w:type="paragraph" w:customStyle="1" w:styleId="homea">
    <w:name w:val="home_a"/>
    <w:basedOn w:val="Normal"/>
    <w:uiPriority w:val="99"/>
    <w:rsid w:val="002E09A2"/>
    <w:pPr>
      <w:widowControl/>
      <w:spacing w:before="300"/>
      <w:jc w:val="left"/>
    </w:pPr>
    <w:rPr>
      <w:rFonts w:ascii="宋体" w:hAnsi="宋体" w:cs="宋体"/>
      <w:kern w:val="0"/>
      <w:sz w:val="24"/>
      <w:szCs w:val="24"/>
    </w:rPr>
  </w:style>
  <w:style w:type="paragraph" w:customStyle="1" w:styleId="homeb">
    <w:name w:val="home_b"/>
    <w:basedOn w:val="Normal"/>
    <w:uiPriority w:val="99"/>
    <w:rsid w:val="002E09A2"/>
    <w:pPr>
      <w:widowControl/>
      <w:spacing w:before="150"/>
      <w:jc w:val="left"/>
    </w:pPr>
    <w:rPr>
      <w:rFonts w:ascii="宋体" w:hAnsi="宋体" w:cs="宋体"/>
      <w:kern w:val="0"/>
      <w:sz w:val="24"/>
      <w:szCs w:val="24"/>
    </w:rPr>
  </w:style>
  <w:style w:type="paragraph" w:customStyle="1" w:styleId="homec">
    <w:name w:val="home_c"/>
    <w:basedOn w:val="Normal"/>
    <w:uiPriority w:val="99"/>
    <w:rsid w:val="002E09A2"/>
    <w:pPr>
      <w:widowControl/>
      <w:pBdr>
        <w:top w:val="single" w:sz="6" w:space="0" w:color="C7CED1"/>
        <w:left w:val="single" w:sz="6" w:space="0" w:color="C7CED1"/>
        <w:bottom w:val="single" w:sz="6" w:space="0" w:color="C7CED1"/>
        <w:right w:val="single" w:sz="6" w:space="0" w:color="C7CED1"/>
      </w:pBdr>
      <w:shd w:val="clear" w:color="auto" w:fill="FFFFFF"/>
      <w:spacing w:before="150"/>
      <w:jc w:val="left"/>
    </w:pPr>
    <w:rPr>
      <w:rFonts w:ascii="宋体" w:hAnsi="宋体" w:cs="宋体"/>
      <w:kern w:val="0"/>
      <w:sz w:val="24"/>
      <w:szCs w:val="24"/>
    </w:rPr>
  </w:style>
  <w:style w:type="paragraph" w:customStyle="1" w:styleId="homed">
    <w:name w:val="home_d"/>
    <w:basedOn w:val="Normal"/>
    <w:uiPriority w:val="99"/>
    <w:rsid w:val="002E09A2"/>
    <w:pPr>
      <w:widowControl/>
      <w:spacing w:before="150"/>
      <w:jc w:val="left"/>
    </w:pPr>
    <w:rPr>
      <w:rFonts w:ascii="宋体" w:hAnsi="宋体" w:cs="宋体"/>
      <w:kern w:val="0"/>
      <w:sz w:val="24"/>
      <w:szCs w:val="24"/>
    </w:rPr>
  </w:style>
  <w:style w:type="paragraph" w:customStyle="1" w:styleId="homec01">
    <w:name w:val="home_c01"/>
    <w:basedOn w:val="Normal"/>
    <w:uiPriority w:val="99"/>
    <w:rsid w:val="002E09A2"/>
    <w:pPr>
      <w:widowControl/>
      <w:jc w:val="left"/>
    </w:pPr>
    <w:rPr>
      <w:rFonts w:ascii="宋体" w:hAnsi="宋体" w:cs="宋体"/>
      <w:kern w:val="0"/>
      <w:sz w:val="24"/>
      <w:szCs w:val="24"/>
    </w:rPr>
  </w:style>
  <w:style w:type="paragraph" w:customStyle="1" w:styleId="homec01tit">
    <w:name w:val="home_c01_tit"/>
    <w:basedOn w:val="Normal"/>
    <w:uiPriority w:val="99"/>
    <w:rsid w:val="002E09A2"/>
    <w:pPr>
      <w:widowControl/>
      <w:jc w:val="left"/>
    </w:pPr>
    <w:rPr>
      <w:rFonts w:ascii="宋体" w:hAnsi="宋体" w:cs="宋体"/>
      <w:kern w:val="0"/>
      <w:sz w:val="24"/>
      <w:szCs w:val="24"/>
    </w:rPr>
  </w:style>
  <w:style w:type="paragraph" w:customStyle="1" w:styleId="homec01cont">
    <w:name w:val="home_c01_cont"/>
    <w:basedOn w:val="Normal"/>
    <w:uiPriority w:val="99"/>
    <w:rsid w:val="002E09A2"/>
    <w:pPr>
      <w:widowControl/>
      <w:pBdr>
        <w:bottom w:val="single" w:sz="12" w:space="5" w:color="656766"/>
      </w:pBdr>
      <w:ind w:left="375"/>
      <w:jc w:val="left"/>
    </w:pPr>
    <w:rPr>
      <w:rFonts w:ascii="宋体" w:hAnsi="宋体" w:cs="宋体"/>
      <w:kern w:val="0"/>
      <w:sz w:val="24"/>
      <w:szCs w:val="24"/>
    </w:rPr>
  </w:style>
  <w:style w:type="paragraph" w:customStyle="1" w:styleId="homec02">
    <w:name w:val="home_c02"/>
    <w:basedOn w:val="Normal"/>
    <w:uiPriority w:val="99"/>
    <w:rsid w:val="002E09A2"/>
    <w:pPr>
      <w:widowControl/>
      <w:ind w:left="375"/>
      <w:jc w:val="left"/>
    </w:pPr>
    <w:rPr>
      <w:rFonts w:ascii="宋体" w:hAnsi="宋体" w:cs="宋体"/>
      <w:kern w:val="0"/>
      <w:sz w:val="24"/>
      <w:szCs w:val="24"/>
    </w:rPr>
  </w:style>
  <w:style w:type="paragraph" w:customStyle="1" w:styleId="homec03">
    <w:name w:val="home_c03"/>
    <w:basedOn w:val="Normal"/>
    <w:uiPriority w:val="99"/>
    <w:rsid w:val="002E09A2"/>
    <w:pPr>
      <w:widowControl/>
      <w:ind w:left="450"/>
      <w:jc w:val="left"/>
    </w:pPr>
    <w:rPr>
      <w:rFonts w:ascii="宋体" w:hAnsi="宋体" w:cs="宋体"/>
      <w:kern w:val="0"/>
      <w:sz w:val="24"/>
      <w:szCs w:val="24"/>
    </w:rPr>
  </w:style>
  <w:style w:type="paragraph" w:customStyle="1" w:styleId="homec02img">
    <w:name w:val="home_c02_img"/>
    <w:basedOn w:val="Normal"/>
    <w:uiPriority w:val="99"/>
    <w:rsid w:val="002E09A2"/>
    <w:pPr>
      <w:widowControl/>
      <w:spacing w:before="150" w:after="150"/>
      <w:jc w:val="left"/>
    </w:pPr>
    <w:rPr>
      <w:rFonts w:ascii="宋体" w:hAnsi="宋体" w:cs="宋体"/>
      <w:kern w:val="0"/>
      <w:sz w:val="24"/>
      <w:szCs w:val="24"/>
    </w:rPr>
  </w:style>
  <w:style w:type="paragraph" w:customStyle="1" w:styleId="homec02123">
    <w:name w:val="home_c02_123"/>
    <w:basedOn w:val="Normal"/>
    <w:uiPriority w:val="99"/>
    <w:rsid w:val="002E09A2"/>
    <w:pPr>
      <w:widowControl/>
      <w:ind w:right="75"/>
      <w:jc w:val="right"/>
    </w:pPr>
    <w:rPr>
      <w:rFonts w:ascii="宋体" w:hAnsi="宋体" w:cs="宋体"/>
      <w:kern w:val="0"/>
      <w:sz w:val="24"/>
      <w:szCs w:val="24"/>
    </w:rPr>
  </w:style>
  <w:style w:type="paragraph" w:customStyle="1" w:styleId="homec03tit">
    <w:name w:val="home_c03_tit"/>
    <w:basedOn w:val="Normal"/>
    <w:uiPriority w:val="99"/>
    <w:rsid w:val="002E09A2"/>
    <w:pPr>
      <w:widowControl/>
      <w:spacing w:before="75" w:line="570" w:lineRule="atLeast"/>
      <w:jc w:val="left"/>
    </w:pPr>
    <w:rPr>
      <w:rFonts w:ascii="宋体" w:hAnsi="宋体" w:cs="宋体"/>
      <w:kern w:val="0"/>
      <w:sz w:val="24"/>
      <w:szCs w:val="24"/>
    </w:rPr>
  </w:style>
  <w:style w:type="paragraph" w:customStyle="1" w:styleId="homezxfb">
    <w:name w:val="home_zxfb"/>
    <w:basedOn w:val="Normal"/>
    <w:uiPriority w:val="99"/>
    <w:rsid w:val="002E09A2"/>
    <w:pPr>
      <w:widowControl/>
      <w:spacing w:before="150"/>
      <w:jc w:val="left"/>
    </w:pPr>
    <w:rPr>
      <w:rFonts w:ascii="宋体" w:hAnsi="宋体" w:cs="宋体"/>
      <w:kern w:val="0"/>
      <w:sz w:val="24"/>
      <w:szCs w:val="24"/>
    </w:rPr>
  </w:style>
  <w:style w:type="paragraph" w:customStyle="1" w:styleId="homebtit">
    <w:name w:val="home_b_tit"/>
    <w:basedOn w:val="Normal"/>
    <w:uiPriority w:val="99"/>
    <w:rsid w:val="002E09A2"/>
    <w:pPr>
      <w:widowControl/>
      <w:jc w:val="left"/>
    </w:pPr>
    <w:rPr>
      <w:rFonts w:ascii="宋体" w:hAnsi="宋体" w:cs="宋体"/>
      <w:kern w:val="0"/>
      <w:sz w:val="24"/>
      <w:szCs w:val="24"/>
    </w:rPr>
  </w:style>
  <w:style w:type="paragraph" w:customStyle="1" w:styleId="homebtita">
    <w:name w:val="home_b_tita"/>
    <w:basedOn w:val="Normal"/>
    <w:uiPriority w:val="99"/>
    <w:rsid w:val="002E09A2"/>
    <w:pPr>
      <w:widowControl/>
      <w:pBdr>
        <w:bottom w:val="single" w:sz="12" w:space="0" w:color="A3B6CA"/>
      </w:pBdr>
      <w:jc w:val="left"/>
    </w:pPr>
    <w:rPr>
      <w:rFonts w:ascii="宋体" w:hAnsi="宋体" w:cs="宋体"/>
      <w:kern w:val="0"/>
      <w:sz w:val="24"/>
      <w:szCs w:val="24"/>
    </w:rPr>
  </w:style>
  <w:style w:type="paragraph" w:customStyle="1" w:styleId="homea01">
    <w:name w:val="home_a_01"/>
    <w:basedOn w:val="Normal"/>
    <w:uiPriority w:val="99"/>
    <w:rsid w:val="002E09A2"/>
    <w:pPr>
      <w:widowControl/>
      <w:pBdr>
        <w:top w:val="single" w:sz="6" w:space="0" w:color="C2C2C2"/>
        <w:left w:val="single" w:sz="6" w:space="0" w:color="C2C2C2"/>
        <w:bottom w:val="single" w:sz="6" w:space="0" w:color="C2C2C2"/>
        <w:right w:val="single" w:sz="6" w:space="0" w:color="C2C2C2"/>
      </w:pBdr>
      <w:shd w:val="clear" w:color="auto" w:fill="FFFFFF"/>
      <w:ind w:right="150"/>
      <w:jc w:val="left"/>
    </w:pPr>
    <w:rPr>
      <w:rFonts w:ascii="宋体" w:hAnsi="宋体" w:cs="宋体"/>
      <w:kern w:val="0"/>
      <w:sz w:val="24"/>
      <w:szCs w:val="24"/>
    </w:rPr>
  </w:style>
  <w:style w:type="paragraph" w:customStyle="1" w:styleId="homea01tit">
    <w:name w:val="home_a_01_tit"/>
    <w:basedOn w:val="Normal"/>
    <w:uiPriority w:val="99"/>
    <w:rsid w:val="002E09A2"/>
    <w:pPr>
      <w:widowControl/>
      <w:jc w:val="left"/>
    </w:pPr>
    <w:rPr>
      <w:rFonts w:ascii="宋体" w:hAnsi="宋体" w:cs="宋体"/>
      <w:kern w:val="0"/>
      <w:sz w:val="24"/>
      <w:szCs w:val="24"/>
    </w:rPr>
  </w:style>
  <w:style w:type="paragraph" w:customStyle="1" w:styleId="homebzfxx">
    <w:name w:val="home_b_zfxx"/>
    <w:basedOn w:val="Normal"/>
    <w:uiPriority w:val="99"/>
    <w:rsid w:val="002E09A2"/>
    <w:pPr>
      <w:widowControl/>
      <w:pBdr>
        <w:top w:val="single" w:sz="6" w:space="0" w:color="C7CED1"/>
        <w:left w:val="single" w:sz="6" w:space="0" w:color="C7CED1"/>
        <w:bottom w:val="single" w:sz="6" w:space="0" w:color="C7CED1"/>
        <w:right w:val="single" w:sz="6" w:space="0" w:color="C7CED1"/>
      </w:pBdr>
      <w:shd w:val="clear" w:color="auto" w:fill="E4E7E9"/>
      <w:ind w:right="150"/>
      <w:jc w:val="left"/>
    </w:pPr>
    <w:rPr>
      <w:rFonts w:ascii="宋体" w:hAnsi="宋体" w:cs="宋体"/>
      <w:kern w:val="0"/>
      <w:sz w:val="24"/>
      <w:szCs w:val="24"/>
    </w:rPr>
  </w:style>
  <w:style w:type="paragraph" w:customStyle="1" w:styleId="homedwsbs">
    <w:name w:val="home_d_wsbs"/>
    <w:basedOn w:val="Normal"/>
    <w:uiPriority w:val="99"/>
    <w:rsid w:val="002E09A2"/>
    <w:pPr>
      <w:widowControl/>
      <w:pBdr>
        <w:top w:val="single" w:sz="6" w:space="0" w:color="C7CED1"/>
        <w:left w:val="single" w:sz="6" w:space="0" w:color="C7CED1"/>
        <w:bottom w:val="single" w:sz="6" w:space="0" w:color="C7CED1"/>
        <w:right w:val="single" w:sz="6" w:space="0" w:color="C7CED1"/>
      </w:pBdr>
      <w:shd w:val="clear" w:color="auto" w:fill="FFFFFF"/>
      <w:ind w:right="150"/>
      <w:jc w:val="left"/>
    </w:pPr>
    <w:rPr>
      <w:rFonts w:ascii="宋体" w:hAnsi="宋体" w:cs="宋体"/>
      <w:kern w:val="0"/>
      <w:sz w:val="24"/>
      <w:szCs w:val="24"/>
    </w:rPr>
  </w:style>
  <w:style w:type="paragraph" w:customStyle="1" w:styleId="homezfxxtit">
    <w:name w:val="home_zfxx_tit"/>
    <w:basedOn w:val="Normal"/>
    <w:uiPriority w:val="99"/>
    <w:rsid w:val="002E09A2"/>
    <w:pPr>
      <w:widowControl/>
      <w:jc w:val="left"/>
    </w:pPr>
    <w:rPr>
      <w:rFonts w:ascii="宋体" w:hAnsi="宋体" w:cs="宋体"/>
      <w:kern w:val="0"/>
      <w:sz w:val="24"/>
      <w:szCs w:val="24"/>
    </w:rPr>
  </w:style>
  <w:style w:type="paragraph" w:customStyle="1" w:styleId="homezfxxcont">
    <w:name w:val="home_zfxx_cont"/>
    <w:basedOn w:val="Normal"/>
    <w:uiPriority w:val="99"/>
    <w:rsid w:val="002E09A2"/>
    <w:pPr>
      <w:widowControl/>
      <w:spacing w:before="225"/>
      <w:jc w:val="left"/>
    </w:pPr>
    <w:rPr>
      <w:rFonts w:ascii="宋体" w:hAnsi="宋体" w:cs="宋体"/>
      <w:kern w:val="0"/>
      <w:sz w:val="24"/>
      <w:szCs w:val="24"/>
    </w:rPr>
  </w:style>
  <w:style w:type="paragraph" w:customStyle="1" w:styleId="sub01">
    <w:name w:val="sub01"/>
    <w:basedOn w:val="Normal"/>
    <w:uiPriority w:val="99"/>
    <w:rsid w:val="002E09A2"/>
    <w:pPr>
      <w:widowControl/>
      <w:spacing w:before="75" w:line="360" w:lineRule="atLeast"/>
      <w:ind w:left="150"/>
      <w:jc w:val="center"/>
    </w:pPr>
    <w:rPr>
      <w:rFonts w:ascii="宋体" w:hAnsi="宋体" w:cs="宋体"/>
      <w:kern w:val="0"/>
      <w:sz w:val="24"/>
      <w:szCs w:val="24"/>
    </w:rPr>
  </w:style>
  <w:style w:type="paragraph" w:customStyle="1" w:styleId="sub02">
    <w:name w:val="sub02"/>
    <w:basedOn w:val="Normal"/>
    <w:uiPriority w:val="99"/>
    <w:rsid w:val="002E09A2"/>
    <w:pPr>
      <w:widowControl/>
      <w:spacing w:before="75" w:line="360" w:lineRule="atLeast"/>
      <w:ind w:left="150"/>
      <w:jc w:val="center"/>
    </w:pPr>
    <w:rPr>
      <w:rFonts w:ascii="宋体" w:hAnsi="宋体" w:cs="宋体"/>
      <w:kern w:val="0"/>
      <w:sz w:val="24"/>
      <w:szCs w:val="24"/>
    </w:rPr>
  </w:style>
  <w:style w:type="paragraph" w:customStyle="1" w:styleId="sub03">
    <w:name w:val="sub03"/>
    <w:basedOn w:val="Normal"/>
    <w:uiPriority w:val="99"/>
    <w:rsid w:val="002E09A2"/>
    <w:pPr>
      <w:widowControl/>
      <w:spacing w:before="75" w:line="360" w:lineRule="atLeast"/>
      <w:ind w:left="150"/>
      <w:jc w:val="center"/>
    </w:pPr>
    <w:rPr>
      <w:rFonts w:ascii="宋体" w:hAnsi="宋体" w:cs="宋体"/>
      <w:kern w:val="0"/>
      <w:sz w:val="24"/>
      <w:szCs w:val="24"/>
    </w:rPr>
  </w:style>
  <w:style w:type="paragraph" w:customStyle="1" w:styleId="homezfxxa">
    <w:name w:val="home_zfxx_a"/>
    <w:basedOn w:val="Normal"/>
    <w:uiPriority w:val="99"/>
    <w:rsid w:val="002E09A2"/>
    <w:pPr>
      <w:widowControl/>
      <w:shd w:val="clear" w:color="auto" w:fill="FFFFFF"/>
      <w:spacing w:before="180" w:line="675" w:lineRule="atLeast"/>
      <w:jc w:val="center"/>
    </w:pPr>
    <w:rPr>
      <w:rFonts w:ascii="宋体" w:hAnsi="宋体" w:cs="宋体"/>
      <w:b/>
      <w:bCs/>
      <w:color w:val="357CB8"/>
      <w:kern w:val="0"/>
      <w:sz w:val="24"/>
      <w:szCs w:val="24"/>
    </w:rPr>
  </w:style>
  <w:style w:type="paragraph" w:customStyle="1" w:styleId="homeb01">
    <w:name w:val="home_b_01"/>
    <w:basedOn w:val="Normal"/>
    <w:uiPriority w:val="99"/>
    <w:rsid w:val="002E09A2"/>
    <w:pPr>
      <w:widowControl/>
      <w:shd w:val="clear" w:color="auto" w:fill="FFFFFF"/>
      <w:jc w:val="left"/>
    </w:pPr>
    <w:rPr>
      <w:rFonts w:ascii="宋体" w:hAnsi="宋体" w:cs="宋体"/>
      <w:kern w:val="0"/>
      <w:sz w:val="24"/>
      <w:szCs w:val="24"/>
    </w:rPr>
  </w:style>
  <w:style w:type="paragraph" w:customStyle="1" w:styleId="homeb02">
    <w:name w:val="home_b_02"/>
    <w:basedOn w:val="Normal"/>
    <w:uiPriority w:val="99"/>
    <w:rsid w:val="002E09A2"/>
    <w:pPr>
      <w:widowControl/>
      <w:shd w:val="clear" w:color="auto" w:fill="FFFFFF"/>
      <w:jc w:val="left"/>
    </w:pPr>
    <w:rPr>
      <w:rFonts w:ascii="宋体" w:hAnsi="宋体" w:cs="宋体"/>
      <w:kern w:val="0"/>
      <w:sz w:val="24"/>
      <w:szCs w:val="24"/>
    </w:rPr>
  </w:style>
  <w:style w:type="paragraph" w:customStyle="1" w:styleId="homebzt">
    <w:name w:val="home_b_zt"/>
    <w:basedOn w:val="Normal"/>
    <w:uiPriority w:val="99"/>
    <w:rsid w:val="002E09A2"/>
    <w:pPr>
      <w:widowControl/>
      <w:jc w:val="left"/>
    </w:pPr>
    <w:rPr>
      <w:rFonts w:ascii="宋体" w:hAnsi="宋体" w:cs="宋体"/>
      <w:b/>
      <w:bCs/>
      <w:color w:val="4D7BA7"/>
      <w:kern w:val="0"/>
      <w:sz w:val="24"/>
      <w:szCs w:val="24"/>
    </w:rPr>
  </w:style>
  <w:style w:type="paragraph" w:customStyle="1" w:styleId="sub04">
    <w:name w:val="sub04"/>
    <w:basedOn w:val="Normal"/>
    <w:uiPriority w:val="99"/>
    <w:rsid w:val="002E09A2"/>
    <w:pPr>
      <w:widowControl/>
      <w:spacing w:before="225" w:line="600" w:lineRule="atLeast"/>
      <w:jc w:val="left"/>
    </w:pPr>
    <w:rPr>
      <w:rFonts w:ascii="宋体" w:hAnsi="宋体" w:cs="宋体"/>
      <w:color w:val="333333"/>
      <w:kern w:val="0"/>
      <w:szCs w:val="21"/>
    </w:rPr>
  </w:style>
  <w:style w:type="paragraph" w:customStyle="1" w:styleId="sub06">
    <w:name w:val="sub06"/>
    <w:basedOn w:val="Normal"/>
    <w:uiPriority w:val="99"/>
    <w:rsid w:val="002E09A2"/>
    <w:pPr>
      <w:widowControl/>
      <w:spacing w:before="225" w:line="600" w:lineRule="atLeast"/>
      <w:jc w:val="left"/>
    </w:pPr>
    <w:rPr>
      <w:rFonts w:ascii="宋体" w:hAnsi="宋体" w:cs="宋体"/>
      <w:color w:val="333333"/>
      <w:kern w:val="0"/>
      <w:szCs w:val="21"/>
    </w:rPr>
  </w:style>
  <w:style w:type="paragraph" w:customStyle="1" w:styleId="sub05">
    <w:name w:val="sub05"/>
    <w:basedOn w:val="Normal"/>
    <w:uiPriority w:val="99"/>
    <w:rsid w:val="002E09A2"/>
    <w:pPr>
      <w:widowControl/>
      <w:spacing w:before="225" w:line="600" w:lineRule="atLeast"/>
      <w:ind w:left="90"/>
      <w:jc w:val="left"/>
    </w:pPr>
    <w:rPr>
      <w:rFonts w:ascii="宋体" w:hAnsi="宋体" w:cs="宋体"/>
      <w:color w:val="333333"/>
      <w:kern w:val="0"/>
      <w:szCs w:val="21"/>
    </w:rPr>
  </w:style>
  <w:style w:type="paragraph" w:customStyle="1" w:styleId="sub07">
    <w:name w:val="sub07"/>
    <w:basedOn w:val="Normal"/>
    <w:uiPriority w:val="99"/>
    <w:rsid w:val="002E09A2"/>
    <w:pPr>
      <w:widowControl/>
      <w:spacing w:before="225" w:line="600" w:lineRule="atLeast"/>
      <w:ind w:left="90"/>
      <w:jc w:val="left"/>
    </w:pPr>
    <w:rPr>
      <w:rFonts w:ascii="宋体" w:hAnsi="宋体" w:cs="宋体"/>
      <w:color w:val="333333"/>
      <w:kern w:val="0"/>
      <w:szCs w:val="21"/>
    </w:rPr>
  </w:style>
  <w:style w:type="paragraph" w:customStyle="1" w:styleId="homedwsbscont">
    <w:name w:val="home_d_wsbs_cont"/>
    <w:basedOn w:val="Normal"/>
    <w:uiPriority w:val="99"/>
    <w:rsid w:val="002E09A2"/>
    <w:pPr>
      <w:widowControl/>
      <w:ind w:left="75"/>
      <w:jc w:val="left"/>
    </w:pPr>
    <w:rPr>
      <w:rFonts w:ascii="宋体" w:hAnsi="宋体" w:cs="宋体"/>
      <w:kern w:val="0"/>
      <w:sz w:val="24"/>
      <w:szCs w:val="24"/>
    </w:rPr>
  </w:style>
  <w:style w:type="paragraph" w:customStyle="1" w:styleId="wsbs01">
    <w:name w:val="wsbs_01"/>
    <w:basedOn w:val="Normal"/>
    <w:uiPriority w:val="99"/>
    <w:rsid w:val="002E09A2"/>
    <w:pPr>
      <w:widowControl/>
      <w:spacing w:before="120" w:line="675" w:lineRule="atLeast"/>
      <w:ind w:left="75"/>
      <w:jc w:val="left"/>
    </w:pPr>
    <w:rPr>
      <w:rFonts w:ascii="宋体" w:hAnsi="宋体" w:cs="宋体"/>
      <w:kern w:val="0"/>
      <w:szCs w:val="21"/>
    </w:rPr>
  </w:style>
  <w:style w:type="paragraph" w:customStyle="1" w:styleId="wsbs02">
    <w:name w:val="wsbs_02"/>
    <w:basedOn w:val="Normal"/>
    <w:uiPriority w:val="99"/>
    <w:rsid w:val="002E09A2"/>
    <w:pPr>
      <w:widowControl/>
      <w:spacing w:before="120" w:line="675" w:lineRule="atLeast"/>
      <w:ind w:left="75"/>
      <w:jc w:val="left"/>
    </w:pPr>
    <w:rPr>
      <w:rFonts w:ascii="宋体" w:hAnsi="宋体" w:cs="宋体"/>
      <w:kern w:val="0"/>
      <w:szCs w:val="21"/>
    </w:rPr>
  </w:style>
  <w:style w:type="paragraph" w:customStyle="1" w:styleId="wsbs03">
    <w:name w:val="wsbs_03"/>
    <w:basedOn w:val="Normal"/>
    <w:uiPriority w:val="99"/>
    <w:rsid w:val="002E09A2"/>
    <w:pPr>
      <w:widowControl/>
      <w:spacing w:before="120" w:line="675" w:lineRule="atLeast"/>
      <w:ind w:left="75"/>
      <w:jc w:val="left"/>
    </w:pPr>
    <w:rPr>
      <w:rFonts w:ascii="宋体" w:hAnsi="宋体" w:cs="宋体"/>
      <w:kern w:val="0"/>
      <w:szCs w:val="21"/>
    </w:rPr>
  </w:style>
  <w:style w:type="paragraph" w:customStyle="1" w:styleId="wsbs04">
    <w:name w:val="wsbs_04"/>
    <w:basedOn w:val="Normal"/>
    <w:uiPriority w:val="99"/>
    <w:rsid w:val="002E09A2"/>
    <w:pPr>
      <w:widowControl/>
      <w:spacing w:before="120" w:line="675" w:lineRule="atLeast"/>
      <w:ind w:left="75"/>
      <w:jc w:val="left"/>
    </w:pPr>
    <w:rPr>
      <w:rFonts w:ascii="宋体" w:hAnsi="宋体" w:cs="宋体"/>
      <w:kern w:val="0"/>
      <w:szCs w:val="21"/>
    </w:rPr>
  </w:style>
  <w:style w:type="paragraph" w:customStyle="1" w:styleId="wsbs05">
    <w:name w:val="wsbs_05"/>
    <w:basedOn w:val="Normal"/>
    <w:uiPriority w:val="99"/>
    <w:rsid w:val="002E09A2"/>
    <w:pPr>
      <w:widowControl/>
      <w:spacing w:before="120" w:line="675" w:lineRule="atLeast"/>
      <w:ind w:left="75"/>
      <w:jc w:val="left"/>
    </w:pPr>
    <w:rPr>
      <w:rFonts w:ascii="宋体" w:hAnsi="宋体" w:cs="宋体"/>
      <w:kern w:val="0"/>
      <w:szCs w:val="21"/>
    </w:rPr>
  </w:style>
  <w:style w:type="paragraph" w:customStyle="1" w:styleId="homedcyhd">
    <w:name w:val="home_d_cyhd"/>
    <w:basedOn w:val="Normal"/>
    <w:uiPriority w:val="99"/>
    <w:rsid w:val="002E09A2"/>
    <w:pPr>
      <w:widowControl/>
      <w:pBdr>
        <w:top w:val="single" w:sz="6" w:space="0" w:color="C7CED1"/>
        <w:left w:val="single" w:sz="6" w:space="0" w:color="C7CED1"/>
        <w:bottom w:val="single" w:sz="6" w:space="0" w:color="C7CED1"/>
        <w:right w:val="single" w:sz="6" w:space="0" w:color="C7CED1"/>
      </w:pBdr>
      <w:jc w:val="left"/>
    </w:pPr>
    <w:rPr>
      <w:rFonts w:ascii="宋体" w:hAnsi="宋体" w:cs="宋体"/>
      <w:kern w:val="0"/>
      <w:sz w:val="24"/>
      <w:szCs w:val="24"/>
    </w:rPr>
  </w:style>
  <w:style w:type="paragraph" w:customStyle="1" w:styleId="homedcyhdcont">
    <w:name w:val="home_d_cyhd_cont"/>
    <w:basedOn w:val="Normal"/>
    <w:uiPriority w:val="99"/>
    <w:rsid w:val="002E09A2"/>
    <w:pPr>
      <w:widowControl/>
      <w:shd w:val="clear" w:color="auto" w:fill="FFFFFF"/>
      <w:jc w:val="left"/>
    </w:pPr>
    <w:rPr>
      <w:rFonts w:ascii="宋体" w:hAnsi="宋体" w:cs="宋体"/>
      <w:kern w:val="0"/>
      <w:sz w:val="24"/>
      <w:szCs w:val="24"/>
    </w:rPr>
  </w:style>
  <w:style w:type="paragraph" w:customStyle="1" w:styleId="cyhd01">
    <w:name w:val="cyhd_01"/>
    <w:basedOn w:val="Normal"/>
    <w:uiPriority w:val="99"/>
    <w:rsid w:val="002E09A2"/>
    <w:pPr>
      <w:widowControl/>
      <w:shd w:val="clear" w:color="auto" w:fill="E0E0E0"/>
      <w:ind w:right="150"/>
      <w:jc w:val="left"/>
    </w:pPr>
    <w:rPr>
      <w:rFonts w:ascii="宋体" w:hAnsi="宋体" w:cs="宋体"/>
      <w:kern w:val="0"/>
      <w:sz w:val="24"/>
      <w:szCs w:val="24"/>
    </w:rPr>
  </w:style>
  <w:style w:type="paragraph" w:customStyle="1" w:styleId="cyhd01a">
    <w:name w:val="cyhd_01a"/>
    <w:basedOn w:val="Normal"/>
    <w:uiPriority w:val="99"/>
    <w:rsid w:val="002E09A2"/>
    <w:pPr>
      <w:widowControl/>
      <w:spacing w:before="75"/>
      <w:ind w:left="120"/>
      <w:jc w:val="left"/>
    </w:pPr>
    <w:rPr>
      <w:rFonts w:ascii="宋体" w:hAnsi="宋体" w:cs="宋体"/>
      <w:kern w:val="0"/>
      <w:sz w:val="24"/>
      <w:szCs w:val="24"/>
    </w:rPr>
  </w:style>
  <w:style w:type="paragraph" w:customStyle="1" w:styleId="cyhd01b">
    <w:name w:val="cyhd_01b"/>
    <w:basedOn w:val="Normal"/>
    <w:uiPriority w:val="99"/>
    <w:rsid w:val="002E09A2"/>
    <w:pPr>
      <w:widowControl/>
      <w:spacing w:before="75"/>
      <w:jc w:val="left"/>
    </w:pPr>
    <w:rPr>
      <w:rFonts w:ascii="宋体" w:hAnsi="宋体" w:cs="宋体"/>
      <w:kern w:val="0"/>
      <w:sz w:val="24"/>
      <w:szCs w:val="24"/>
    </w:rPr>
  </w:style>
  <w:style w:type="paragraph" w:customStyle="1" w:styleId="cyhd01ba">
    <w:name w:val="cyhd_01ba"/>
    <w:basedOn w:val="Normal"/>
    <w:uiPriority w:val="99"/>
    <w:rsid w:val="002E09A2"/>
    <w:pPr>
      <w:widowControl/>
      <w:ind w:left="150"/>
      <w:jc w:val="left"/>
    </w:pPr>
    <w:rPr>
      <w:rFonts w:ascii="宋体" w:hAnsi="宋体" w:cs="宋体"/>
      <w:kern w:val="0"/>
      <w:sz w:val="24"/>
      <w:szCs w:val="24"/>
    </w:rPr>
  </w:style>
  <w:style w:type="paragraph" w:customStyle="1" w:styleId="cyhd02">
    <w:name w:val="cyhd_02"/>
    <w:basedOn w:val="Normal"/>
    <w:uiPriority w:val="99"/>
    <w:rsid w:val="002E09A2"/>
    <w:pPr>
      <w:widowControl/>
      <w:jc w:val="left"/>
    </w:pPr>
    <w:rPr>
      <w:rFonts w:ascii="宋体" w:hAnsi="宋体" w:cs="宋体"/>
      <w:kern w:val="0"/>
      <w:sz w:val="24"/>
      <w:szCs w:val="24"/>
    </w:rPr>
  </w:style>
  <w:style w:type="paragraph" w:customStyle="1" w:styleId="cyhd02a">
    <w:name w:val="cyhd_02_a"/>
    <w:basedOn w:val="Normal"/>
    <w:uiPriority w:val="99"/>
    <w:rsid w:val="002E09A2"/>
    <w:pPr>
      <w:widowControl/>
      <w:jc w:val="left"/>
    </w:pPr>
    <w:rPr>
      <w:rFonts w:ascii="宋体" w:hAnsi="宋体" w:cs="宋体"/>
      <w:kern w:val="0"/>
      <w:sz w:val="24"/>
      <w:szCs w:val="24"/>
    </w:rPr>
  </w:style>
  <w:style w:type="paragraph" w:customStyle="1" w:styleId="cyhd02b">
    <w:name w:val="cyhd_02_b"/>
    <w:basedOn w:val="Normal"/>
    <w:uiPriority w:val="99"/>
    <w:rsid w:val="002E09A2"/>
    <w:pPr>
      <w:widowControl/>
      <w:jc w:val="left"/>
    </w:pPr>
    <w:rPr>
      <w:rFonts w:ascii="宋体" w:hAnsi="宋体" w:cs="宋体"/>
      <w:kern w:val="0"/>
      <w:sz w:val="24"/>
      <w:szCs w:val="24"/>
    </w:rPr>
  </w:style>
  <w:style w:type="paragraph" w:customStyle="1" w:styleId="cyhd02c">
    <w:name w:val="cyhd_02_c"/>
    <w:basedOn w:val="Normal"/>
    <w:uiPriority w:val="99"/>
    <w:rsid w:val="002E09A2"/>
    <w:pPr>
      <w:widowControl/>
      <w:jc w:val="left"/>
    </w:pPr>
    <w:rPr>
      <w:rFonts w:ascii="宋体" w:hAnsi="宋体" w:cs="宋体"/>
      <w:kern w:val="0"/>
      <w:sz w:val="24"/>
      <w:szCs w:val="24"/>
    </w:rPr>
  </w:style>
  <w:style w:type="paragraph" w:customStyle="1" w:styleId="cyhd02d">
    <w:name w:val="cyhd_02_d"/>
    <w:basedOn w:val="Normal"/>
    <w:uiPriority w:val="99"/>
    <w:rsid w:val="002E09A2"/>
    <w:pPr>
      <w:widowControl/>
      <w:jc w:val="left"/>
    </w:pPr>
    <w:rPr>
      <w:rFonts w:ascii="宋体" w:hAnsi="宋体" w:cs="宋体"/>
      <w:kern w:val="0"/>
      <w:sz w:val="24"/>
      <w:szCs w:val="24"/>
    </w:rPr>
  </w:style>
  <w:style w:type="paragraph" w:customStyle="1" w:styleId="shujucont">
    <w:name w:val="shuju_cont"/>
    <w:basedOn w:val="Normal"/>
    <w:uiPriority w:val="99"/>
    <w:rsid w:val="002E09A2"/>
    <w:pPr>
      <w:widowControl/>
      <w:jc w:val="left"/>
    </w:pPr>
    <w:rPr>
      <w:rFonts w:ascii="宋体" w:hAnsi="宋体" w:cs="宋体"/>
      <w:kern w:val="0"/>
      <w:sz w:val="24"/>
      <w:szCs w:val="24"/>
    </w:rPr>
  </w:style>
  <w:style w:type="paragraph" w:customStyle="1" w:styleId="delborder">
    <w:name w:val="del_border"/>
    <w:basedOn w:val="Normal"/>
    <w:uiPriority w:val="99"/>
    <w:rsid w:val="002E09A2"/>
    <w:pPr>
      <w:widowControl/>
      <w:jc w:val="left"/>
    </w:pPr>
    <w:rPr>
      <w:rFonts w:ascii="宋体" w:hAnsi="宋体" w:cs="宋体"/>
      <w:kern w:val="0"/>
      <w:sz w:val="24"/>
      <w:szCs w:val="24"/>
    </w:rPr>
  </w:style>
  <w:style w:type="paragraph" w:customStyle="1" w:styleId="delpadding">
    <w:name w:val="del_padding"/>
    <w:basedOn w:val="Normal"/>
    <w:uiPriority w:val="99"/>
    <w:rsid w:val="002E09A2"/>
    <w:pPr>
      <w:widowControl/>
      <w:jc w:val="left"/>
    </w:pPr>
    <w:rPr>
      <w:rFonts w:ascii="宋体" w:hAnsi="宋体" w:cs="宋体"/>
      <w:kern w:val="0"/>
      <w:sz w:val="24"/>
      <w:szCs w:val="24"/>
    </w:rPr>
  </w:style>
  <w:style w:type="paragraph" w:customStyle="1" w:styleId="topmargin">
    <w:name w:val="top_margin"/>
    <w:basedOn w:val="Normal"/>
    <w:uiPriority w:val="99"/>
    <w:rsid w:val="002E09A2"/>
    <w:pPr>
      <w:widowControl/>
      <w:spacing w:before="150"/>
      <w:jc w:val="left"/>
    </w:pPr>
    <w:rPr>
      <w:rFonts w:ascii="宋体" w:hAnsi="宋体" w:cs="宋体"/>
      <w:kern w:val="0"/>
      <w:sz w:val="24"/>
      <w:szCs w:val="24"/>
    </w:rPr>
  </w:style>
  <w:style w:type="paragraph" w:customStyle="1" w:styleId="centerform">
    <w:name w:val="center_form"/>
    <w:basedOn w:val="Normal"/>
    <w:uiPriority w:val="99"/>
    <w:rsid w:val="002E09A2"/>
    <w:pPr>
      <w:widowControl/>
      <w:spacing w:after="150"/>
      <w:jc w:val="left"/>
    </w:pPr>
    <w:rPr>
      <w:rFonts w:ascii="宋体" w:hAnsi="宋体" w:cs="宋体"/>
      <w:kern w:val="0"/>
      <w:sz w:val="24"/>
      <w:szCs w:val="24"/>
    </w:rPr>
  </w:style>
  <w:style w:type="paragraph" w:customStyle="1" w:styleId="formp">
    <w:name w:val="form_p"/>
    <w:basedOn w:val="Normal"/>
    <w:uiPriority w:val="99"/>
    <w:rsid w:val="002E09A2"/>
    <w:pPr>
      <w:widowControl/>
      <w:spacing w:line="330" w:lineRule="atLeast"/>
      <w:jc w:val="left"/>
    </w:pPr>
    <w:rPr>
      <w:rFonts w:ascii="宋体" w:hAnsi="宋体" w:cs="宋体"/>
      <w:kern w:val="0"/>
      <w:sz w:val="24"/>
      <w:szCs w:val="24"/>
    </w:rPr>
  </w:style>
  <w:style w:type="paragraph" w:customStyle="1" w:styleId="wsbs06">
    <w:name w:val="wsbs_06"/>
    <w:basedOn w:val="Normal"/>
    <w:uiPriority w:val="99"/>
    <w:rsid w:val="002E09A2"/>
    <w:pPr>
      <w:widowControl/>
      <w:spacing w:before="120" w:line="675" w:lineRule="atLeast"/>
      <w:ind w:left="120"/>
      <w:jc w:val="left"/>
    </w:pPr>
    <w:rPr>
      <w:rFonts w:ascii="宋体" w:hAnsi="宋体" w:cs="宋体"/>
      <w:kern w:val="0"/>
      <w:szCs w:val="21"/>
    </w:rPr>
  </w:style>
  <w:style w:type="paragraph" w:customStyle="1" w:styleId="tjjtjzxwenz">
    <w:name w:val="tjj_tjzx_wenz"/>
    <w:basedOn w:val="Normal"/>
    <w:uiPriority w:val="99"/>
    <w:rsid w:val="002E09A2"/>
    <w:pPr>
      <w:widowControl/>
      <w:spacing w:line="330" w:lineRule="atLeast"/>
      <w:ind w:firstLine="300"/>
      <w:jc w:val="left"/>
    </w:pPr>
    <w:rPr>
      <w:rFonts w:ascii="宋体" w:hAnsi="宋体" w:cs="宋体"/>
      <w:kern w:val="0"/>
      <w:sz w:val="24"/>
      <w:szCs w:val="24"/>
    </w:rPr>
  </w:style>
  <w:style w:type="paragraph" w:customStyle="1" w:styleId="lastaclass">
    <w:name w:val="lastaclass"/>
    <w:basedOn w:val="Normal"/>
    <w:uiPriority w:val="99"/>
    <w:rsid w:val="002E09A2"/>
    <w:pPr>
      <w:widowControl/>
      <w:jc w:val="left"/>
    </w:pPr>
    <w:rPr>
      <w:rFonts w:ascii="宋体" w:hAnsi="宋体" w:cs="宋体"/>
      <w:color w:val="A50404"/>
      <w:kern w:val="0"/>
      <w:szCs w:val="21"/>
    </w:rPr>
  </w:style>
  <w:style w:type="paragraph" w:customStyle="1" w:styleId="one1">
    <w:name w:val="one1"/>
    <w:basedOn w:val="Normal"/>
    <w:uiPriority w:val="99"/>
    <w:rsid w:val="002E09A2"/>
    <w:pPr>
      <w:widowControl/>
      <w:jc w:val="left"/>
    </w:pPr>
    <w:rPr>
      <w:rFonts w:ascii="宋体" w:hAnsi="宋体" w:cs="宋体"/>
      <w:kern w:val="0"/>
      <w:sz w:val="24"/>
      <w:szCs w:val="24"/>
    </w:rPr>
  </w:style>
  <w:style w:type="paragraph" w:customStyle="1" w:styleId="one2">
    <w:name w:val="one2"/>
    <w:basedOn w:val="Normal"/>
    <w:uiPriority w:val="99"/>
    <w:rsid w:val="002E09A2"/>
    <w:pPr>
      <w:widowControl/>
      <w:jc w:val="left"/>
    </w:pPr>
    <w:rPr>
      <w:rFonts w:ascii="宋体" w:hAnsi="宋体" w:cs="宋体"/>
      <w:kern w:val="0"/>
      <w:sz w:val="24"/>
      <w:szCs w:val="24"/>
    </w:rPr>
  </w:style>
  <w:style w:type="paragraph" w:customStyle="1" w:styleId="one3">
    <w:name w:val="one3"/>
    <w:basedOn w:val="Normal"/>
    <w:uiPriority w:val="99"/>
    <w:rsid w:val="002E09A2"/>
    <w:pPr>
      <w:widowControl/>
      <w:jc w:val="left"/>
    </w:pPr>
    <w:rPr>
      <w:rFonts w:ascii="宋体" w:hAnsi="宋体" w:cs="宋体"/>
      <w:kern w:val="0"/>
      <w:sz w:val="24"/>
      <w:szCs w:val="24"/>
    </w:rPr>
  </w:style>
  <w:style w:type="paragraph" w:customStyle="1" w:styleId="one4">
    <w:name w:val="one4"/>
    <w:basedOn w:val="Normal"/>
    <w:uiPriority w:val="99"/>
    <w:rsid w:val="002E09A2"/>
    <w:pPr>
      <w:widowControl/>
      <w:jc w:val="left"/>
    </w:pPr>
    <w:rPr>
      <w:rFonts w:ascii="宋体" w:hAnsi="宋体" w:cs="宋体"/>
      <w:kern w:val="0"/>
      <w:sz w:val="24"/>
      <w:szCs w:val="24"/>
    </w:rPr>
  </w:style>
  <w:style w:type="paragraph" w:customStyle="1" w:styleId="one5">
    <w:name w:val="one5"/>
    <w:basedOn w:val="Normal"/>
    <w:uiPriority w:val="99"/>
    <w:rsid w:val="002E09A2"/>
    <w:pPr>
      <w:widowControl/>
      <w:jc w:val="left"/>
    </w:pPr>
    <w:rPr>
      <w:rFonts w:ascii="宋体" w:hAnsi="宋体" w:cs="宋体"/>
      <w:kern w:val="0"/>
      <w:sz w:val="24"/>
      <w:szCs w:val="24"/>
    </w:rPr>
  </w:style>
  <w:style w:type="paragraph" w:customStyle="1" w:styleId="one6">
    <w:name w:val="one6"/>
    <w:basedOn w:val="Normal"/>
    <w:uiPriority w:val="99"/>
    <w:rsid w:val="002E09A2"/>
    <w:pPr>
      <w:widowControl/>
      <w:jc w:val="left"/>
    </w:pPr>
    <w:rPr>
      <w:rFonts w:ascii="宋体" w:hAnsi="宋体" w:cs="宋体"/>
      <w:kern w:val="0"/>
      <w:sz w:val="24"/>
      <w:szCs w:val="24"/>
    </w:rPr>
  </w:style>
  <w:style w:type="paragraph" w:customStyle="1" w:styleId="genduo01">
    <w:name w:val="genduo01"/>
    <w:basedOn w:val="Normal"/>
    <w:uiPriority w:val="99"/>
    <w:rsid w:val="002E09A2"/>
    <w:pPr>
      <w:widowControl/>
      <w:jc w:val="left"/>
    </w:pPr>
    <w:rPr>
      <w:rFonts w:ascii="宋体" w:hAnsi="宋体" w:cs="宋体"/>
      <w:kern w:val="0"/>
      <w:sz w:val="24"/>
      <w:szCs w:val="24"/>
    </w:rPr>
  </w:style>
  <w:style w:type="paragraph" w:customStyle="1" w:styleId="centerullist">
    <w:name w:val="center_ul_list"/>
    <w:basedOn w:val="Normal"/>
    <w:uiPriority w:val="99"/>
    <w:rsid w:val="002E09A2"/>
    <w:pPr>
      <w:widowControl/>
      <w:jc w:val="left"/>
    </w:pPr>
    <w:rPr>
      <w:rFonts w:ascii="宋体" w:hAnsi="宋体" w:cs="宋体"/>
      <w:kern w:val="0"/>
      <w:sz w:val="24"/>
      <w:szCs w:val="24"/>
    </w:rPr>
  </w:style>
  <w:style w:type="paragraph" w:customStyle="1" w:styleId="ye">
    <w:name w:val="ye"/>
    <w:basedOn w:val="Normal"/>
    <w:uiPriority w:val="99"/>
    <w:rsid w:val="002E09A2"/>
    <w:pPr>
      <w:widowControl/>
      <w:jc w:val="left"/>
    </w:pPr>
    <w:rPr>
      <w:rFonts w:ascii="宋体" w:hAnsi="宋体" w:cs="宋体"/>
      <w:kern w:val="0"/>
      <w:sz w:val="24"/>
      <w:szCs w:val="24"/>
    </w:rPr>
  </w:style>
  <w:style w:type="paragraph" w:customStyle="1" w:styleId="xilantit">
    <w:name w:val="xilan_tit"/>
    <w:basedOn w:val="Normal"/>
    <w:uiPriority w:val="99"/>
    <w:rsid w:val="002E09A2"/>
    <w:pPr>
      <w:widowControl/>
      <w:jc w:val="left"/>
    </w:pPr>
    <w:rPr>
      <w:rFonts w:ascii="宋体" w:hAnsi="宋体" w:cs="宋体"/>
      <w:kern w:val="0"/>
      <w:sz w:val="24"/>
      <w:szCs w:val="24"/>
    </w:rPr>
  </w:style>
  <w:style w:type="paragraph" w:customStyle="1" w:styleId="dttit">
    <w:name w:val="dt_tit"/>
    <w:basedOn w:val="Normal"/>
    <w:uiPriority w:val="99"/>
    <w:rsid w:val="002E09A2"/>
    <w:pPr>
      <w:widowControl/>
      <w:jc w:val="left"/>
    </w:pPr>
    <w:rPr>
      <w:rFonts w:ascii="宋体" w:hAnsi="宋体" w:cs="宋体"/>
      <w:kern w:val="0"/>
      <w:sz w:val="24"/>
      <w:szCs w:val="24"/>
    </w:rPr>
  </w:style>
  <w:style w:type="paragraph" w:customStyle="1" w:styleId="dtcont">
    <w:name w:val="dt_cont"/>
    <w:basedOn w:val="Normal"/>
    <w:uiPriority w:val="99"/>
    <w:rsid w:val="002E09A2"/>
    <w:pPr>
      <w:widowControl/>
      <w:jc w:val="left"/>
    </w:pPr>
    <w:rPr>
      <w:rFonts w:ascii="宋体" w:hAnsi="宋体" w:cs="宋体"/>
      <w:kern w:val="0"/>
      <w:sz w:val="24"/>
      <w:szCs w:val="24"/>
    </w:rPr>
  </w:style>
  <w:style w:type="paragraph" w:customStyle="1" w:styleId="newscontl">
    <w:name w:val="news_cont_l"/>
    <w:basedOn w:val="Normal"/>
    <w:uiPriority w:val="99"/>
    <w:rsid w:val="002E09A2"/>
    <w:pPr>
      <w:widowControl/>
      <w:jc w:val="left"/>
    </w:pPr>
    <w:rPr>
      <w:rFonts w:ascii="宋体" w:hAnsi="宋体" w:cs="宋体"/>
      <w:kern w:val="0"/>
      <w:sz w:val="24"/>
      <w:szCs w:val="24"/>
    </w:rPr>
  </w:style>
  <w:style w:type="paragraph" w:customStyle="1" w:styleId="newscontr">
    <w:name w:val="news_cont_r"/>
    <w:basedOn w:val="Normal"/>
    <w:uiPriority w:val="99"/>
    <w:rsid w:val="002E09A2"/>
    <w:pPr>
      <w:widowControl/>
      <w:jc w:val="left"/>
    </w:pPr>
    <w:rPr>
      <w:rFonts w:ascii="宋体" w:hAnsi="宋体" w:cs="宋体"/>
      <w:kern w:val="0"/>
      <w:sz w:val="24"/>
      <w:szCs w:val="24"/>
    </w:rPr>
  </w:style>
  <w:style w:type="paragraph" w:customStyle="1" w:styleId="tjcbvalue">
    <w:name w:val="tjcb_value"/>
    <w:basedOn w:val="Normal"/>
    <w:uiPriority w:val="99"/>
    <w:rsid w:val="002E09A2"/>
    <w:pPr>
      <w:widowControl/>
      <w:jc w:val="left"/>
    </w:pPr>
    <w:rPr>
      <w:rFonts w:ascii="宋体" w:hAnsi="宋体" w:cs="宋体"/>
      <w:kern w:val="0"/>
      <w:sz w:val="24"/>
      <w:szCs w:val="24"/>
    </w:rPr>
  </w:style>
  <w:style w:type="paragraph" w:customStyle="1" w:styleId="tjzsblist02">
    <w:name w:val="tjzsb_list_02"/>
    <w:basedOn w:val="Normal"/>
    <w:uiPriority w:val="99"/>
    <w:rsid w:val="002E09A2"/>
    <w:pPr>
      <w:widowControl/>
      <w:jc w:val="left"/>
    </w:pPr>
    <w:rPr>
      <w:rFonts w:ascii="宋体" w:hAnsi="宋体" w:cs="宋体"/>
      <w:kern w:val="0"/>
      <w:sz w:val="24"/>
      <w:szCs w:val="24"/>
    </w:rPr>
  </w:style>
  <w:style w:type="paragraph" w:customStyle="1" w:styleId="tjzsblist01">
    <w:name w:val="tjzsb_list_01"/>
    <w:basedOn w:val="Normal"/>
    <w:uiPriority w:val="99"/>
    <w:rsid w:val="002E09A2"/>
    <w:pPr>
      <w:widowControl/>
      <w:jc w:val="left"/>
    </w:pPr>
    <w:rPr>
      <w:rFonts w:ascii="宋体" w:hAnsi="宋体" w:cs="宋体"/>
      <w:kern w:val="0"/>
      <w:sz w:val="24"/>
      <w:szCs w:val="24"/>
    </w:rPr>
  </w:style>
  <w:style w:type="paragraph" w:customStyle="1" w:styleId="tjzsblist03">
    <w:name w:val="tjzsb_list_03"/>
    <w:basedOn w:val="Normal"/>
    <w:uiPriority w:val="99"/>
    <w:rsid w:val="002E09A2"/>
    <w:pPr>
      <w:widowControl/>
      <w:jc w:val="left"/>
    </w:pPr>
    <w:rPr>
      <w:rFonts w:ascii="宋体" w:hAnsi="宋体" w:cs="宋体"/>
      <w:kern w:val="0"/>
      <w:sz w:val="24"/>
      <w:szCs w:val="24"/>
    </w:rPr>
  </w:style>
  <w:style w:type="paragraph" w:customStyle="1" w:styleId="tjzxbutton">
    <w:name w:val="tjzx_button"/>
    <w:basedOn w:val="Normal"/>
    <w:uiPriority w:val="99"/>
    <w:rsid w:val="002E09A2"/>
    <w:pPr>
      <w:widowControl/>
      <w:jc w:val="left"/>
    </w:pPr>
    <w:rPr>
      <w:rFonts w:ascii="宋体" w:hAnsi="宋体" w:cs="宋体"/>
      <w:kern w:val="0"/>
      <w:sz w:val="24"/>
      <w:szCs w:val="24"/>
    </w:rPr>
  </w:style>
  <w:style w:type="paragraph" w:customStyle="1" w:styleId="zjtj01bul">
    <w:name w:val="zjtj_01_b_ul"/>
    <w:basedOn w:val="Normal"/>
    <w:uiPriority w:val="99"/>
    <w:rsid w:val="002E09A2"/>
    <w:pPr>
      <w:widowControl/>
      <w:jc w:val="left"/>
    </w:pPr>
    <w:rPr>
      <w:rFonts w:ascii="宋体" w:hAnsi="宋体" w:cs="宋体"/>
      <w:kern w:val="0"/>
      <w:sz w:val="24"/>
      <w:szCs w:val="24"/>
    </w:rPr>
  </w:style>
  <w:style w:type="paragraph" w:customStyle="1" w:styleId="sfhover">
    <w:name w:val="sfhover"/>
    <w:basedOn w:val="Normal"/>
    <w:uiPriority w:val="99"/>
    <w:rsid w:val="002E09A2"/>
    <w:pPr>
      <w:widowControl/>
      <w:jc w:val="left"/>
    </w:pPr>
    <w:rPr>
      <w:rFonts w:ascii="宋体" w:hAnsi="宋体" w:cs="宋体"/>
      <w:kern w:val="0"/>
      <w:sz w:val="24"/>
      <w:szCs w:val="24"/>
    </w:rPr>
  </w:style>
  <w:style w:type="paragraph" w:customStyle="1" w:styleId="one11">
    <w:name w:val="one11"/>
    <w:basedOn w:val="Normal"/>
    <w:uiPriority w:val="99"/>
    <w:rsid w:val="002E09A2"/>
    <w:pPr>
      <w:widowControl/>
      <w:jc w:val="left"/>
    </w:pPr>
    <w:rPr>
      <w:rFonts w:ascii="宋体" w:hAnsi="宋体" w:cs="宋体"/>
      <w:vanish/>
      <w:kern w:val="0"/>
      <w:sz w:val="24"/>
      <w:szCs w:val="24"/>
    </w:rPr>
  </w:style>
  <w:style w:type="paragraph" w:customStyle="1" w:styleId="one21">
    <w:name w:val="one21"/>
    <w:basedOn w:val="Normal"/>
    <w:uiPriority w:val="99"/>
    <w:rsid w:val="002E09A2"/>
    <w:pPr>
      <w:widowControl/>
      <w:jc w:val="left"/>
    </w:pPr>
    <w:rPr>
      <w:rFonts w:ascii="宋体" w:hAnsi="宋体" w:cs="宋体"/>
      <w:vanish/>
      <w:kern w:val="0"/>
      <w:sz w:val="24"/>
      <w:szCs w:val="24"/>
    </w:rPr>
  </w:style>
  <w:style w:type="paragraph" w:customStyle="1" w:styleId="one31">
    <w:name w:val="one31"/>
    <w:basedOn w:val="Normal"/>
    <w:uiPriority w:val="99"/>
    <w:rsid w:val="002E09A2"/>
    <w:pPr>
      <w:widowControl/>
      <w:jc w:val="left"/>
    </w:pPr>
    <w:rPr>
      <w:rFonts w:ascii="宋体" w:hAnsi="宋体" w:cs="宋体"/>
      <w:vanish/>
      <w:kern w:val="0"/>
      <w:sz w:val="24"/>
      <w:szCs w:val="24"/>
    </w:rPr>
  </w:style>
  <w:style w:type="paragraph" w:customStyle="1" w:styleId="one41">
    <w:name w:val="one41"/>
    <w:basedOn w:val="Normal"/>
    <w:uiPriority w:val="99"/>
    <w:rsid w:val="002E09A2"/>
    <w:pPr>
      <w:widowControl/>
      <w:jc w:val="left"/>
    </w:pPr>
    <w:rPr>
      <w:rFonts w:ascii="宋体" w:hAnsi="宋体" w:cs="宋体"/>
      <w:vanish/>
      <w:kern w:val="0"/>
      <w:sz w:val="24"/>
      <w:szCs w:val="24"/>
    </w:rPr>
  </w:style>
  <w:style w:type="paragraph" w:customStyle="1" w:styleId="one51">
    <w:name w:val="one51"/>
    <w:basedOn w:val="Normal"/>
    <w:uiPriority w:val="99"/>
    <w:rsid w:val="002E09A2"/>
    <w:pPr>
      <w:widowControl/>
      <w:jc w:val="left"/>
    </w:pPr>
    <w:rPr>
      <w:rFonts w:ascii="宋体" w:hAnsi="宋体" w:cs="宋体"/>
      <w:vanish/>
      <w:kern w:val="0"/>
      <w:sz w:val="24"/>
      <w:szCs w:val="24"/>
    </w:rPr>
  </w:style>
  <w:style w:type="paragraph" w:customStyle="1" w:styleId="one61">
    <w:name w:val="one61"/>
    <w:basedOn w:val="Normal"/>
    <w:uiPriority w:val="99"/>
    <w:rsid w:val="002E09A2"/>
    <w:pPr>
      <w:widowControl/>
      <w:jc w:val="left"/>
    </w:pPr>
    <w:rPr>
      <w:rFonts w:ascii="宋体" w:hAnsi="宋体" w:cs="宋体"/>
      <w:vanish/>
      <w:kern w:val="0"/>
      <w:sz w:val="24"/>
      <w:szCs w:val="24"/>
    </w:rPr>
  </w:style>
  <w:style w:type="paragraph" w:customStyle="1" w:styleId="sfhover1">
    <w:name w:val="sfhover1"/>
    <w:basedOn w:val="Normal"/>
    <w:uiPriority w:val="99"/>
    <w:rsid w:val="002E09A2"/>
    <w:pPr>
      <w:widowControl/>
      <w:jc w:val="left"/>
    </w:pPr>
    <w:rPr>
      <w:rFonts w:ascii="宋体" w:hAnsi="宋体" w:cs="宋体"/>
      <w:kern w:val="0"/>
      <w:sz w:val="24"/>
      <w:szCs w:val="24"/>
    </w:rPr>
  </w:style>
  <w:style w:type="paragraph" w:customStyle="1" w:styleId="genduo011">
    <w:name w:val="genduo011"/>
    <w:basedOn w:val="Normal"/>
    <w:uiPriority w:val="99"/>
    <w:rsid w:val="002E09A2"/>
    <w:pPr>
      <w:widowControl/>
      <w:ind w:right="300"/>
      <w:jc w:val="left"/>
    </w:pPr>
    <w:rPr>
      <w:rFonts w:ascii="宋体" w:hAnsi="宋体" w:cs="宋体"/>
      <w:color w:val="555555"/>
      <w:kern w:val="0"/>
      <w:sz w:val="18"/>
      <w:szCs w:val="18"/>
    </w:rPr>
  </w:style>
  <w:style w:type="paragraph" w:customStyle="1" w:styleId="centerullist1">
    <w:name w:val="center_ul_list1"/>
    <w:basedOn w:val="Normal"/>
    <w:uiPriority w:val="99"/>
    <w:rsid w:val="002E09A2"/>
    <w:pPr>
      <w:widowControl/>
      <w:pBdr>
        <w:top w:val="single" w:sz="18" w:space="4" w:color="4175CC"/>
      </w:pBdr>
      <w:jc w:val="left"/>
    </w:pPr>
    <w:rPr>
      <w:rFonts w:ascii="宋体" w:hAnsi="宋体" w:cs="宋体"/>
      <w:kern w:val="0"/>
      <w:sz w:val="24"/>
      <w:szCs w:val="24"/>
    </w:rPr>
  </w:style>
  <w:style w:type="paragraph" w:customStyle="1" w:styleId="ye1">
    <w:name w:val="ye1"/>
    <w:basedOn w:val="Normal"/>
    <w:uiPriority w:val="99"/>
    <w:rsid w:val="002E09A2"/>
    <w:pPr>
      <w:widowControl/>
      <w:pBdr>
        <w:top w:val="single" w:sz="6" w:space="0" w:color="94BFD2"/>
        <w:left w:val="single" w:sz="6" w:space="0" w:color="94BFD2"/>
        <w:bottom w:val="single" w:sz="6" w:space="0" w:color="94BFD2"/>
        <w:right w:val="single" w:sz="6" w:space="0" w:color="94BFD2"/>
      </w:pBdr>
      <w:shd w:val="clear" w:color="auto" w:fill="CAE5F6"/>
      <w:ind w:left="150"/>
      <w:jc w:val="left"/>
    </w:pPr>
    <w:rPr>
      <w:rFonts w:ascii="宋体" w:hAnsi="宋体" w:cs="宋体"/>
      <w:kern w:val="0"/>
      <w:sz w:val="24"/>
      <w:szCs w:val="24"/>
    </w:rPr>
  </w:style>
  <w:style w:type="paragraph" w:customStyle="1" w:styleId="xilantit1">
    <w:name w:val="xilan_tit1"/>
    <w:basedOn w:val="Normal"/>
    <w:uiPriority w:val="99"/>
    <w:rsid w:val="002E09A2"/>
    <w:pPr>
      <w:widowControl/>
      <w:spacing w:before="600"/>
      <w:jc w:val="center"/>
    </w:pPr>
    <w:rPr>
      <w:rFonts w:ascii="黑体" w:eastAsia="黑体" w:hAnsi="黑体" w:cs="宋体"/>
      <w:b/>
      <w:bCs/>
      <w:color w:val="1F5781"/>
      <w:kern w:val="0"/>
      <w:sz w:val="39"/>
      <w:szCs w:val="39"/>
    </w:rPr>
  </w:style>
  <w:style w:type="paragraph" w:customStyle="1" w:styleId="dttit1">
    <w:name w:val="dt_tit1"/>
    <w:basedOn w:val="Normal"/>
    <w:uiPriority w:val="99"/>
    <w:rsid w:val="002E09A2"/>
    <w:pPr>
      <w:widowControl/>
      <w:jc w:val="left"/>
    </w:pPr>
    <w:rPr>
      <w:rFonts w:ascii="宋体" w:hAnsi="宋体" w:cs="宋体"/>
      <w:b/>
      <w:bCs/>
      <w:kern w:val="0"/>
      <w:szCs w:val="21"/>
    </w:rPr>
  </w:style>
  <w:style w:type="paragraph" w:customStyle="1" w:styleId="dtcont1">
    <w:name w:val="dt_cont1"/>
    <w:basedOn w:val="Normal"/>
    <w:uiPriority w:val="99"/>
    <w:rsid w:val="002E09A2"/>
    <w:pPr>
      <w:widowControl/>
      <w:spacing w:before="150" w:line="330" w:lineRule="atLeast"/>
      <w:jc w:val="left"/>
    </w:pPr>
    <w:rPr>
      <w:rFonts w:ascii="宋体" w:hAnsi="宋体" w:cs="宋体"/>
      <w:color w:val="436981"/>
      <w:kern w:val="0"/>
      <w:sz w:val="18"/>
      <w:szCs w:val="18"/>
    </w:rPr>
  </w:style>
  <w:style w:type="paragraph" w:customStyle="1" w:styleId="newscontl1">
    <w:name w:val="news_cont_l1"/>
    <w:basedOn w:val="Normal"/>
    <w:uiPriority w:val="99"/>
    <w:rsid w:val="002E09A2"/>
    <w:pPr>
      <w:widowControl/>
      <w:jc w:val="left"/>
    </w:pPr>
    <w:rPr>
      <w:rFonts w:ascii="宋体" w:hAnsi="宋体" w:cs="宋体"/>
      <w:kern w:val="0"/>
      <w:sz w:val="24"/>
      <w:szCs w:val="24"/>
    </w:rPr>
  </w:style>
  <w:style w:type="paragraph" w:customStyle="1" w:styleId="newscontr1">
    <w:name w:val="news_cont_r1"/>
    <w:basedOn w:val="Normal"/>
    <w:uiPriority w:val="99"/>
    <w:rsid w:val="002E09A2"/>
    <w:pPr>
      <w:widowControl/>
      <w:jc w:val="left"/>
    </w:pPr>
    <w:rPr>
      <w:rFonts w:ascii="宋体" w:hAnsi="宋体" w:cs="宋体"/>
      <w:kern w:val="0"/>
      <w:sz w:val="24"/>
      <w:szCs w:val="24"/>
    </w:rPr>
  </w:style>
  <w:style w:type="paragraph" w:customStyle="1" w:styleId="gongbaocont1">
    <w:name w:val="gongbao_cont1"/>
    <w:basedOn w:val="Normal"/>
    <w:uiPriority w:val="99"/>
    <w:rsid w:val="002E09A2"/>
    <w:pPr>
      <w:widowControl/>
      <w:spacing w:before="135"/>
      <w:jc w:val="left"/>
    </w:pPr>
    <w:rPr>
      <w:rFonts w:ascii="宋体" w:hAnsi="宋体" w:cs="宋体"/>
      <w:kern w:val="0"/>
      <w:sz w:val="24"/>
      <w:szCs w:val="24"/>
    </w:rPr>
  </w:style>
  <w:style w:type="paragraph" w:customStyle="1" w:styleId="tjcbvalue1">
    <w:name w:val="tjcb_value1"/>
    <w:basedOn w:val="Normal"/>
    <w:uiPriority w:val="99"/>
    <w:rsid w:val="002E09A2"/>
    <w:pPr>
      <w:widowControl/>
      <w:spacing w:line="270" w:lineRule="atLeast"/>
      <w:jc w:val="left"/>
    </w:pPr>
    <w:rPr>
      <w:rFonts w:ascii="宋体" w:hAnsi="宋体" w:cs="宋体"/>
      <w:color w:val="08A0B8"/>
      <w:kern w:val="0"/>
      <w:sz w:val="18"/>
      <w:szCs w:val="18"/>
    </w:rPr>
  </w:style>
  <w:style w:type="paragraph" w:customStyle="1" w:styleId="tjzsblist021">
    <w:name w:val="tjzsb_list_021"/>
    <w:basedOn w:val="Normal"/>
    <w:uiPriority w:val="99"/>
    <w:rsid w:val="002E09A2"/>
    <w:pPr>
      <w:widowControl/>
      <w:spacing w:before="75"/>
      <w:jc w:val="left"/>
    </w:pPr>
    <w:rPr>
      <w:rFonts w:ascii="宋体" w:hAnsi="宋体" w:cs="宋体"/>
      <w:kern w:val="0"/>
      <w:sz w:val="24"/>
      <w:szCs w:val="24"/>
    </w:rPr>
  </w:style>
  <w:style w:type="paragraph" w:customStyle="1" w:styleId="tjzsblist011">
    <w:name w:val="tjzsb_list_011"/>
    <w:basedOn w:val="Normal"/>
    <w:uiPriority w:val="99"/>
    <w:rsid w:val="002E09A2"/>
    <w:pPr>
      <w:widowControl/>
      <w:spacing w:before="330" w:after="225"/>
      <w:ind w:left="195"/>
      <w:jc w:val="left"/>
    </w:pPr>
    <w:rPr>
      <w:rFonts w:ascii="宋体" w:hAnsi="宋体" w:cs="宋体"/>
      <w:kern w:val="0"/>
      <w:sz w:val="24"/>
      <w:szCs w:val="24"/>
    </w:rPr>
  </w:style>
  <w:style w:type="paragraph" w:customStyle="1" w:styleId="tjzsblist031">
    <w:name w:val="tjzsb_list_031"/>
    <w:basedOn w:val="Normal"/>
    <w:uiPriority w:val="99"/>
    <w:rsid w:val="002E09A2"/>
    <w:pPr>
      <w:widowControl/>
      <w:spacing w:before="150" w:after="225"/>
      <w:ind w:left="120"/>
      <w:jc w:val="left"/>
    </w:pPr>
    <w:rPr>
      <w:rFonts w:ascii="宋体" w:hAnsi="宋体" w:cs="宋体"/>
      <w:kern w:val="0"/>
      <w:sz w:val="24"/>
      <w:szCs w:val="24"/>
    </w:rPr>
  </w:style>
  <w:style w:type="paragraph" w:customStyle="1" w:styleId="tjzxbutton1">
    <w:name w:val="tjzx_button1"/>
    <w:basedOn w:val="Normal"/>
    <w:uiPriority w:val="99"/>
    <w:rsid w:val="002E09A2"/>
    <w:pPr>
      <w:widowControl/>
      <w:jc w:val="center"/>
    </w:pPr>
    <w:rPr>
      <w:rFonts w:ascii="宋体" w:hAnsi="宋体" w:cs="宋体"/>
      <w:b/>
      <w:bCs/>
      <w:color w:val="2C7FC1"/>
      <w:kern w:val="0"/>
      <w:sz w:val="24"/>
      <w:szCs w:val="24"/>
    </w:rPr>
  </w:style>
  <w:style w:type="paragraph" w:customStyle="1" w:styleId="zjtj01bul1">
    <w:name w:val="zjtj_01_b_ul1"/>
    <w:basedOn w:val="Normal"/>
    <w:uiPriority w:val="99"/>
    <w:rsid w:val="002E09A2"/>
    <w:pPr>
      <w:widowControl/>
      <w:jc w:val="left"/>
    </w:pPr>
    <w:rPr>
      <w:rFonts w:ascii="宋体" w:hAnsi="宋体" w:cs="宋体"/>
      <w:kern w:val="0"/>
      <w:sz w:val="24"/>
      <w:szCs w:val="24"/>
    </w:rPr>
  </w:style>
  <w:style w:type="character" w:styleId="EndnoteReference">
    <w:name w:val="endnote reference"/>
    <w:basedOn w:val="DefaultParagraphFont"/>
    <w:uiPriority w:val="99"/>
    <w:semiHidden/>
    <w:rsid w:val="002E09A2"/>
    <w:rPr>
      <w:rFonts w:cs="Times New Roman"/>
    </w:rPr>
  </w:style>
  <w:style w:type="paragraph" w:customStyle="1" w:styleId="xl31">
    <w:name w:val="xl31"/>
    <w:basedOn w:val="Normal"/>
    <w:uiPriority w:val="99"/>
    <w:rsid w:val="002E09A2"/>
    <w:pPr>
      <w:widowControl/>
      <w:jc w:val="left"/>
    </w:pPr>
    <w:rPr>
      <w:rFonts w:ascii="宋体" w:hAnsi="宋体" w:cs="宋体"/>
      <w:kern w:val="0"/>
      <w:sz w:val="24"/>
      <w:szCs w:val="24"/>
    </w:rPr>
  </w:style>
  <w:style w:type="paragraph" w:styleId="BodyText">
    <w:name w:val="Body Text"/>
    <w:basedOn w:val="Normal"/>
    <w:link w:val="BodyTextChar"/>
    <w:uiPriority w:val="99"/>
    <w:semiHidden/>
    <w:rsid w:val="002E09A2"/>
    <w:pPr>
      <w:widowControl/>
      <w:spacing w:after="120"/>
      <w:jc w:val="left"/>
    </w:pPr>
    <w:rPr>
      <w:rFonts w:ascii="宋体" w:hAnsi="宋体" w:cs="宋体"/>
      <w:kern w:val="0"/>
      <w:sz w:val="24"/>
      <w:szCs w:val="24"/>
    </w:rPr>
  </w:style>
  <w:style w:type="character" w:customStyle="1" w:styleId="BodyTextChar">
    <w:name w:val="Body Text Char"/>
    <w:basedOn w:val="DefaultParagraphFont"/>
    <w:link w:val="BodyText"/>
    <w:uiPriority w:val="99"/>
    <w:semiHidden/>
    <w:locked/>
    <w:rsid w:val="002E09A2"/>
    <w:rPr>
      <w:rFonts w:ascii="宋体" w:eastAsia="宋体" w:hAnsi="宋体" w:cs="宋体"/>
      <w:kern w:val="0"/>
      <w:sz w:val="24"/>
      <w:szCs w:val="24"/>
    </w:rPr>
  </w:style>
  <w:style w:type="paragraph" w:styleId="BodyTextFirstIndent">
    <w:name w:val="Body Text First Indent"/>
    <w:basedOn w:val="Normal"/>
    <w:link w:val="BodyTextFirstIndentChar"/>
    <w:uiPriority w:val="99"/>
    <w:rsid w:val="002E09A2"/>
    <w:pPr>
      <w:widowControl/>
      <w:jc w:val="left"/>
    </w:pPr>
    <w:rPr>
      <w:rFonts w:ascii="宋体" w:hAnsi="宋体" w:cs="宋体"/>
      <w:kern w:val="0"/>
      <w:sz w:val="24"/>
      <w:szCs w:val="24"/>
    </w:rPr>
  </w:style>
  <w:style w:type="character" w:customStyle="1" w:styleId="BodyTextFirstIndentChar">
    <w:name w:val="Body Text First Indent Char"/>
    <w:basedOn w:val="BodyTextChar"/>
    <w:link w:val="BodyTextFirstIndent"/>
    <w:uiPriority w:val="99"/>
    <w:locked/>
    <w:rsid w:val="002E09A2"/>
  </w:style>
  <w:style w:type="paragraph" w:customStyle="1" w:styleId="a0">
    <w:name w:val="a0"/>
    <w:basedOn w:val="Normal"/>
    <w:uiPriority w:val="99"/>
    <w:rsid w:val="002E09A2"/>
    <w:pPr>
      <w:widowControl/>
      <w:jc w:val="left"/>
    </w:pPr>
    <w:rPr>
      <w:rFonts w:ascii="宋体" w:hAnsi="宋体" w:cs="宋体"/>
      <w:kern w:val="0"/>
      <w:sz w:val="24"/>
      <w:szCs w:val="24"/>
    </w:rPr>
  </w:style>
  <w:style w:type="paragraph" w:styleId="BalloonText">
    <w:name w:val="Balloon Text"/>
    <w:basedOn w:val="Normal"/>
    <w:link w:val="BalloonTextChar"/>
    <w:uiPriority w:val="99"/>
    <w:semiHidden/>
    <w:rsid w:val="002E09A2"/>
    <w:rPr>
      <w:sz w:val="18"/>
      <w:szCs w:val="18"/>
    </w:rPr>
  </w:style>
  <w:style w:type="character" w:customStyle="1" w:styleId="BalloonTextChar">
    <w:name w:val="Balloon Text Char"/>
    <w:basedOn w:val="DefaultParagraphFont"/>
    <w:link w:val="BalloonText"/>
    <w:uiPriority w:val="99"/>
    <w:semiHidden/>
    <w:locked/>
    <w:rsid w:val="002E09A2"/>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202058383">
      <w:marLeft w:val="0"/>
      <w:marRight w:val="0"/>
      <w:marTop w:val="0"/>
      <w:marBottom w:val="0"/>
      <w:divBdr>
        <w:top w:val="none" w:sz="0" w:space="0" w:color="auto"/>
        <w:left w:val="none" w:sz="0" w:space="0" w:color="auto"/>
        <w:bottom w:val="none" w:sz="0" w:space="0" w:color="auto"/>
        <w:right w:val="none" w:sz="0" w:space="0" w:color="auto"/>
      </w:divBdr>
      <w:divsChild>
        <w:div w:id="202058387">
          <w:marLeft w:val="0"/>
          <w:marRight w:val="0"/>
          <w:marTop w:val="0"/>
          <w:marBottom w:val="0"/>
          <w:divBdr>
            <w:top w:val="none" w:sz="0" w:space="0" w:color="auto"/>
            <w:left w:val="none" w:sz="0" w:space="0" w:color="auto"/>
            <w:bottom w:val="none" w:sz="0" w:space="0" w:color="auto"/>
            <w:right w:val="none" w:sz="0" w:space="0" w:color="auto"/>
          </w:divBdr>
          <w:divsChild>
            <w:div w:id="202058381">
              <w:marLeft w:val="0"/>
              <w:marRight w:val="0"/>
              <w:marTop w:val="0"/>
              <w:marBottom w:val="0"/>
              <w:divBdr>
                <w:top w:val="none" w:sz="0" w:space="0" w:color="auto"/>
                <w:left w:val="none" w:sz="0" w:space="0" w:color="auto"/>
                <w:bottom w:val="none" w:sz="0" w:space="0" w:color="auto"/>
                <w:right w:val="none" w:sz="0" w:space="0" w:color="auto"/>
              </w:divBdr>
              <w:divsChild>
                <w:div w:id="202058385">
                  <w:marLeft w:val="0"/>
                  <w:marRight w:val="0"/>
                  <w:marTop w:val="150"/>
                  <w:marBottom w:val="0"/>
                  <w:divBdr>
                    <w:top w:val="none" w:sz="0" w:space="0" w:color="auto"/>
                    <w:left w:val="none" w:sz="0" w:space="0" w:color="auto"/>
                    <w:bottom w:val="none" w:sz="0" w:space="0" w:color="auto"/>
                    <w:right w:val="none" w:sz="0" w:space="0" w:color="auto"/>
                  </w:divBdr>
                  <w:divsChild>
                    <w:div w:id="202058380">
                      <w:marLeft w:val="0"/>
                      <w:marRight w:val="0"/>
                      <w:marTop w:val="375"/>
                      <w:marBottom w:val="0"/>
                      <w:divBdr>
                        <w:top w:val="none" w:sz="0" w:space="0" w:color="auto"/>
                        <w:left w:val="none" w:sz="0" w:space="0" w:color="auto"/>
                        <w:bottom w:val="none" w:sz="0" w:space="0" w:color="auto"/>
                        <w:right w:val="none" w:sz="0" w:space="0" w:color="auto"/>
                      </w:divBdr>
                      <w:divsChild>
                        <w:div w:id="202058384">
                          <w:marLeft w:val="0"/>
                          <w:marRight w:val="0"/>
                          <w:marTop w:val="0"/>
                          <w:marBottom w:val="0"/>
                          <w:divBdr>
                            <w:top w:val="none" w:sz="0" w:space="0" w:color="auto"/>
                            <w:left w:val="none" w:sz="0" w:space="0" w:color="auto"/>
                            <w:bottom w:val="none" w:sz="0" w:space="0" w:color="auto"/>
                            <w:right w:val="none" w:sz="0" w:space="0" w:color="auto"/>
                          </w:divBdr>
                          <w:divsChild>
                            <w:div w:id="202058382">
                              <w:marLeft w:val="0"/>
                              <w:marRight w:val="0"/>
                              <w:marTop w:val="0"/>
                              <w:marBottom w:val="0"/>
                              <w:divBdr>
                                <w:top w:val="none" w:sz="0" w:space="0" w:color="auto"/>
                                <w:left w:val="none" w:sz="0" w:space="0" w:color="auto"/>
                                <w:bottom w:val="none" w:sz="0" w:space="0" w:color="auto"/>
                                <w:right w:val="none" w:sz="0" w:space="0" w:color="auto"/>
                              </w:divBdr>
                              <w:divsChild>
                                <w:div w:id="202058386">
                                  <w:marLeft w:val="0"/>
                                  <w:marRight w:val="0"/>
                                  <w:marTop w:val="0"/>
                                  <w:marBottom w:val="0"/>
                                  <w:divBdr>
                                    <w:top w:val="none" w:sz="0" w:space="0" w:color="auto"/>
                                    <w:left w:val="none" w:sz="0" w:space="0" w:color="auto"/>
                                    <w:bottom w:val="single" w:sz="8" w:space="1"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image" Target="media/image20.png"/><Relationship Id="rId28"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26</Pages>
  <Words>3093</Words>
  <Characters>17631</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wj</cp:lastModifiedBy>
  <cp:revision>14</cp:revision>
  <dcterms:created xsi:type="dcterms:W3CDTF">2016-03-08T02:28:00Z</dcterms:created>
  <dcterms:modified xsi:type="dcterms:W3CDTF">2016-09-05T09:01:00Z</dcterms:modified>
</cp:coreProperties>
</file>