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p>
    <w:p>
      <w:pPr>
        <w:pStyle w:val="2"/>
        <w:ind w:firstLine="420"/>
        <w:rPr>
          <w:rFonts w:hint="eastAsia"/>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中共北京市丰台区委统一战线工作部</w:t>
      </w:r>
    </w:p>
    <w:p>
      <w:pPr>
        <w:jc w:val="center"/>
        <w:rPr>
          <w:rFonts w:ascii="黑体" w:eastAsia="黑体"/>
          <w:sz w:val="52"/>
          <w:szCs w:val="52"/>
        </w:rPr>
      </w:pPr>
      <w:r>
        <w:rPr>
          <w:rFonts w:hint="eastAsia" w:ascii="黑体" w:eastAsia="黑体"/>
          <w:sz w:val="72"/>
          <w:szCs w:val="72"/>
        </w:rPr>
        <w:t>2022年度部门决算（草案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pStyle w:val="2"/>
        <w:ind w:firstLine="1040"/>
        <w:rPr>
          <w:rFonts w:ascii="黑体" w:eastAsia="黑体"/>
          <w:sz w:val="52"/>
          <w:szCs w:val="52"/>
        </w:rPr>
      </w:pPr>
    </w:p>
    <w:p>
      <w:pPr>
        <w:pStyle w:val="2"/>
        <w:ind w:firstLine="1040"/>
        <w:rPr>
          <w:rFonts w:ascii="黑体" w:eastAsia="黑体"/>
          <w:sz w:val="52"/>
          <w:szCs w:val="52"/>
        </w:rPr>
      </w:pPr>
    </w:p>
    <w:p>
      <w:pPr>
        <w:jc w:val="center"/>
        <w:rPr>
          <w:rFonts w:ascii="黑体" w:eastAsia="黑体"/>
          <w:sz w:val="52"/>
          <w:szCs w:val="52"/>
        </w:rPr>
      </w:pPr>
    </w:p>
    <w:p>
      <w:pPr>
        <w:spacing w:line="500" w:lineRule="exact"/>
        <w:ind w:firstLine="645"/>
        <w:jc w:val="center"/>
        <w:rPr>
          <w:rFonts w:hint="eastAsia"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both"/>
        <w:rPr>
          <w:rFonts w:hint="eastAsia" w:ascii="宋体" w:hAnsi="宋体" w:cs="宋体"/>
          <w:bCs/>
          <w:spacing w:val="40"/>
          <w:kern w:val="0"/>
          <w:sz w:val="32"/>
          <w:szCs w:val="32"/>
        </w:rPr>
      </w:pPr>
      <w:r>
        <w:rPr>
          <w:rFonts w:hint="eastAsia" w:ascii="宋体" w:hAnsi="宋体" w:cs="宋体"/>
          <w:bCs/>
          <w:spacing w:val="40"/>
          <w:kern w:val="0"/>
          <w:sz w:val="32"/>
          <w:szCs w:val="32"/>
        </w:rPr>
        <w:t>第一部分 2022年度部门决算报表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hint="eastAsia" w:eastAsia="仿宋_GB231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lang w:eastAsia="zh-CN"/>
        </w:rPr>
      </w:pPr>
      <w:r>
        <w:rPr>
          <w:rFonts w:hint="eastAsia" w:ascii="仿宋_GB2312" w:hAnsi="仿宋" w:eastAsia="仿宋_GB2312" w:cs="宋体"/>
          <w:bCs/>
          <w:spacing w:val="40"/>
          <w:kern w:val="0"/>
          <w:sz w:val="32"/>
          <w:szCs w:val="32"/>
          <w:lang w:eastAsia="zh-CN"/>
        </w:rPr>
        <w:t>十三、政府购买服务决算情况表</w:t>
      </w:r>
    </w:p>
    <w:p>
      <w:pPr>
        <w:tabs>
          <w:tab w:val="center" w:pos="6979"/>
        </w:tabs>
        <w:spacing w:beforeLines="50"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2022年度部门决算说明</w:t>
      </w:r>
    </w:p>
    <w:p>
      <w:pPr>
        <w:tabs>
          <w:tab w:val="center" w:pos="6979"/>
        </w:tabs>
        <w:spacing w:beforeLines="50"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2022年度</w:t>
      </w:r>
      <w:r>
        <w:rPr>
          <w:rFonts w:hint="eastAsia" w:ascii="宋体" w:hAnsi="宋体" w:cs="宋体"/>
          <w:spacing w:val="40"/>
          <w:kern w:val="0"/>
          <w:sz w:val="32"/>
          <w:szCs w:val="32"/>
        </w:rPr>
        <w:t>其他重要事项的情况说明</w:t>
      </w:r>
    </w:p>
    <w:p>
      <w:pPr>
        <w:tabs>
          <w:tab w:val="center" w:pos="6979"/>
        </w:tabs>
        <w:spacing w:beforeLines="50"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2022年度部门绩效评价情况</w:t>
      </w:r>
    </w:p>
    <w:p>
      <w:pPr>
        <w:tabs>
          <w:tab w:val="center" w:pos="6979"/>
        </w:tabs>
        <w:spacing w:beforeLines="50" w:afterLines="50"/>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2022年度部门决算报表</w:t>
      </w:r>
    </w:p>
    <w:p>
      <w:pPr>
        <w:tabs>
          <w:tab w:val="center" w:pos="6979"/>
        </w:tabs>
        <w:spacing w:line="580" w:lineRule="exact"/>
        <w:ind w:firstLine="560" w:firstLineChars="200"/>
        <w:rPr>
          <w:rFonts w:hint="eastAsia" w:ascii="仿宋_GB2312" w:hAnsi="宋体" w:eastAsia="仿宋_GB2312" w:cs="宋体"/>
          <w:bCs/>
          <w:spacing w:val="40"/>
          <w:kern w:val="0"/>
          <w:sz w:val="32"/>
          <w:szCs w:val="32"/>
        </w:rPr>
      </w:pPr>
      <w:r>
        <w:rPr>
          <w:rFonts w:hint="eastAsia" w:ascii="仿宋_GB2312" w:eastAsia="仿宋_GB2312"/>
          <w:kern w:val="0"/>
          <w:sz w:val="28"/>
          <w:szCs w:val="28"/>
        </w:rPr>
        <w:t>中共北京市丰台区委统一战线工作部2022年度部门决算报表详见附件</w:t>
      </w:r>
      <w:r>
        <w:rPr>
          <w:rFonts w:hint="eastAsia" w:ascii="仿宋_GB2312" w:hAnsi="宋体" w:eastAsia="仿宋_GB2312" w:cs="宋体"/>
          <w:bCs/>
          <w:spacing w:val="40"/>
          <w:kern w:val="0"/>
          <w:sz w:val="32"/>
          <w:szCs w:val="32"/>
        </w:rPr>
        <w:t>。</w:t>
      </w:r>
    </w:p>
    <w:p>
      <w:pPr>
        <w:tabs>
          <w:tab w:val="center" w:pos="6979"/>
        </w:tabs>
        <w:spacing w:beforeLines="50"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2022年度部门决算说明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一、单位基本情况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宋体" w:eastAsia="仿宋_GB2312" w:cs="宋体"/>
          <w:spacing w:val="15"/>
          <w:kern w:val="0"/>
          <w:sz w:val="28"/>
          <w:szCs w:val="28"/>
        </w:rPr>
      </w:pPr>
      <w:r>
        <w:rPr>
          <w:rFonts w:hint="eastAsia" w:ascii="仿宋_GB2312" w:eastAsia="仿宋_GB2312"/>
          <w:sz w:val="28"/>
          <w:szCs w:val="28"/>
        </w:rPr>
        <w:t>（一）</w:t>
      </w:r>
      <w:r>
        <w:rPr>
          <w:rFonts w:hint="eastAsia" w:ascii="仿宋_GB2312" w:hAnsi="宋体" w:eastAsia="仿宋_GB2312" w:cs="宋体"/>
          <w:spacing w:val="15"/>
          <w:kern w:val="0"/>
          <w:sz w:val="28"/>
          <w:szCs w:val="28"/>
        </w:rPr>
        <w:t>中共北京市丰台区委统一战线工作部职能主要为：1.贯彻落实加强党对统一战线工作的集中统一领导的要求，发挥区委在统战工作方面的参谋机构、组织协调机构、具体执行机构、督促检查机构作用，了解情况、掌握政策、协调关系、安排人事、增进共识、加强团结，协调统一战线各方面关系，组织和落实区委关于统一战线工作决策部署，巩固壮大最广泛的统一战线。2.贯彻落实党的统一战线工作方针政策，调查研究全区统一战线工作并将调研成果推动落实，向区委报告统一战线工作情况并提出建议，统筹协调和指导各部门各单位统一战线工作。3.负责发现、培养本区党外代表人士，负责党外人士的政治安排，会同有关部门做好安排党外人士担任政府和司法机关领导职务的工作，反映和协调解决党外代表人士工作生活中的实际困难。4.贯彻落实党的宣传工作方针，统筹推进本区统一战线宣传工作，拟订统一战线宣传工作计划和方案并组织实施，研判涉及统一战线的舆情并协调有关部门应对处置。5.负责联系本区各民主党派，通报情况，反映意见，贯彻落实中国共产党领导的多党合作和政治协商制度以及对民主党派的方针政策，支持、帮助民主党派加强自身建设，做好支持民主党派履行职责、发挥作用的工作。6.贯彻落实党的民族工作方针、宗教工作基本方针和政策，协调处理民族宗教工作中的重大问题，联系少数民族和宗教界的代表人士，根据分工做好少数民族干部工作；领导丰台区民族宗教事务办公室依法管理民族事务和宗教行政事务。7.负责联系、培养本区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8.调查研究非公有制经济企业和人士情况并提出政策建议，做好对非公有制经济人士团结、服务、引导、教育工作，促进非公有制经济健康发展和非公有制经济人士健康成长。9.统一领导本区海外统战工作，牵头开展港澳统战工作，开展对台统战工作；贯彻落实党的海外统战工作方针政策，联系香港、澳门、台湾有关团体及代表人士，联系海外社团及代表人士，做好台胞、台属有关工作。10.统一管理侨务工作，贯彻落实党的侨务工作方针政策，负责本区侨情和侨务工作调查研究，管理侨务行政事务，统筹协调有关部门和社会团体涉侨工作，联系海外有关侨团和代表人士，指导推动涉侨宣传工作、文化交流工作等，保护华侨和归侨侨眷的合法权利和利益。11.指导区工商联、区侨联工作；做好丰台区统一战线有关单位和社团的管理工作。12.完成区委交办的其他任务。</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ascii="仿宋_GB2312" w:hAnsi="宋体" w:eastAsia="仿宋_GB2312" w:cs="宋体"/>
          <w:spacing w:val="15"/>
          <w:kern w:val="0"/>
          <w:sz w:val="28"/>
          <w:szCs w:val="28"/>
        </w:rPr>
      </w:pPr>
      <w:r>
        <w:rPr>
          <w:rFonts w:hint="eastAsia" w:ascii="仿宋_GB2312" w:hAnsi="宋体" w:eastAsia="仿宋_GB2312" w:cs="宋体"/>
          <w:spacing w:val="15"/>
          <w:kern w:val="0"/>
          <w:sz w:val="28"/>
          <w:szCs w:val="28"/>
        </w:rPr>
        <w:t>共包含行政单位1个，下设机构：办公室、党派联络科、台办科、新的社会阶层人士工作科、综合联络科；事业单位1个。</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行政编制21人，实有人数17人；事业编制8人，实有人数7人；工勤编制1人，实有人数1人。</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2022年度收、</w:t>
      </w:r>
      <w:r>
        <w:rPr>
          <w:rFonts w:ascii="仿宋_GB2312" w:eastAsia="仿宋_GB2312"/>
          <w:sz w:val="28"/>
          <w:szCs w:val="28"/>
        </w:rPr>
        <w:t>支</w:t>
      </w:r>
      <w:r>
        <w:rPr>
          <w:rFonts w:hint="eastAsia" w:ascii="仿宋_GB2312" w:eastAsia="仿宋_GB2312"/>
          <w:sz w:val="28"/>
          <w:szCs w:val="28"/>
        </w:rPr>
        <w:t>总计1108.35万元，</w:t>
      </w:r>
      <w:r>
        <w:rPr>
          <w:rFonts w:ascii="仿宋_GB2312" w:eastAsia="仿宋_GB2312"/>
          <w:sz w:val="28"/>
          <w:szCs w:val="28"/>
        </w:rPr>
        <w:t>比上年增加</w:t>
      </w:r>
      <w:r>
        <w:rPr>
          <w:rFonts w:hint="eastAsia" w:ascii="仿宋_GB2312" w:eastAsia="仿宋_GB2312"/>
          <w:sz w:val="28"/>
          <w:szCs w:val="28"/>
        </w:rPr>
        <w:t>188.45万元，增长20.49%。</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2022年度本年收入合计1023.52万元，</w:t>
      </w:r>
      <w:r>
        <w:rPr>
          <w:rFonts w:ascii="仿宋_GB2312" w:eastAsia="仿宋_GB2312"/>
          <w:sz w:val="28"/>
          <w:szCs w:val="28"/>
        </w:rPr>
        <w:t>比上年增加</w:t>
      </w:r>
      <w:r>
        <w:rPr>
          <w:rFonts w:hint="eastAsia" w:ascii="仿宋_GB2312" w:eastAsia="仿宋_GB2312"/>
          <w:sz w:val="28"/>
          <w:szCs w:val="28"/>
        </w:rPr>
        <w:t>238.12万元，增长30.32%，其中：财政拨款收入1014.80万元，占收入合计的99.15%；上级补助收入0万元，占收入合计的0%；事业收入0万元，占收入合计的0%；经营收入0万元，占收入合计的0%；附属单位上缴收入0万元，占收入合计的0%；其他收入8.72万元，占收入合计的0.85%。</w:t>
      </w:r>
    </w:p>
    <w:p>
      <w:pPr>
        <w:pStyle w:val="2"/>
        <w:ind w:firstLine="640"/>
        <w:jc w:val="center"/>
        <w:rPr>
          <w:rFonts w:hint="eastAsia" w:ascii="仿宋" w:hAnsi="仿宋" w:eastAsia="仿宋"/>
          <w:color w:val="000000"/>
          <w:sz w:val="32"/>
        </w:rPr>
      </w:pPr>
      <w:r>
        <w:rPr>
          <w:rFonts w:hint="eastAsia" w:ascii="仿宋" w:hAnsi="仿宋" w:eastAsia="仿宋"/>
          <w:color w:val="000000"/>
          <w:sz w:val="32"/>
        </w:rPr>
        <w:t>图1：收入决算</w:t>
      </w:r>
    </w:p>
    <w:p>
      <w:pPr>
        <w:pStyle w:val="2"/>
        <w:ind w:firstLine="640"/>
        <w:jc w:val="center"/>
        <w:rPr>
          <w:rFonts w:hint="eastAsia" w:ascii="仿宋" w:hAnsi="仿宋" w:eastAsia="仿宋"/>
          <w:color w:val="000000"/>
          <w:sz w:val="32"/>
          <w:highlight w:val="yellow"/>
        </w:rPr>
      </w:pPr>
      <w:r>
        <w:rPr>
          <w:rFonts w:ascii="仿宋" w:hAnsi="仿宋" w:eastAsia="仿宋"/>
          <w:color w:val="000000"/>
          <w:sz w:val="32"/>
        </w:rPr>
        <w:drawing>
          <wp:inline distT="0" distB="0" distL="0" distR="0">
            <wp:extent cx="3985260" cy="2317750"/>
            <wp:effectExtent l="10621" t="5143" r="5311"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ind w:firstLine="640"/>
        <w:jc w:val="center"/>
        <w:rPr>
          <w:rFonts w:hint="eastAsia" w:ascii="仿宋" w:hAnsi="仿宋"/>
          <w:color w:val="000000"/>
          <w:sz w:val="32"/>
        </w:rPr>
      </w:pPr>
    </w:p>
    <w:p>
      <w:pPr>
        <w:pStyle w:val="2"/>
        <w:ind w:firstLine="0" w:firstLineChars="0"/>
        <w:rPr>
          <w:rFonts w:hint="eastAsia" w:ascii="仿宋" w:hAnsi="仿宋" w:eastAsia="仿宋"/>
          <w:color w:val="000000"/>
          <w:sz w:val="32"/>
        </w:rPr>
      </w:pPr>
    </w:p>
    <w:p>
      <w:pPr>
        <w:tabs>
          <w:tab w:val="center" w:pos="6979"/>
        </w:tabs>
        <w:spacing w:line="580" w:lineRule="exact"/>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 w:hAnsi="仿宋" w:eastAsia="仿宋"/>
          <w:color w:val="000000"/>
          <w:sz w:val="32"/>
        </w:rPr>
      </w:pPr>
      <w:r>
        <w:rPr>
          <w:rFonts w:hint="eastAsia" w:ascii="仿宋_GB2312" w:eastAsia="仿宋_GB2312"/>
          <w:sz w:val="28"/>
          <w:szCs w:val="28"/>
        </w:rPr>
        <w:t>2022年度本年支出合计1089.48万元，</w:t>
      </w:r>
      <w:r>
        <w:rPr>
          <w:rFonts w:ascii="仿宋_GB2312" w:eastAsia="仿宋_GB2312"/>
          <w:sz w:val="28"/>
          <w:szCs w:val="28"/>
        </w:rPr>
        <w:t>比上年增加</w:t>
      </w:r>
      <w:r>
        <w:rPr>
          <w:rFonts w:hint="eastAsia" w:ascii="仿宋_GB2312" w:eastAsia="仿宋_GB2312"/>
          <w:sz w:val="28"/>
          <w:szCs w:val="28"/>
        </w:rPr>
        <w:t>260.07万元，增长31.36%，其中：基本支出933.16万元，占支出合计的85.65%；项目支出156.32万元，占支出合计的14.35%;上缴上级支出0万元，占支出合计的0%；经营支出0万元，占支出合计的0%；对附属单位补助支出0万元，占支出合计的0%。</w:t>
      </w:r>
    </w:p>
    <w:p>
      <w:pPr>
        <w:tabs>
          <w:tab w:val="center" w:pos="6979"/>
        </w:tabs>
        <w:spacing w:line="580" w:lineRule="exact"/>
        <w:ind w:firstLine="570"/>
        <w:jc w:val="center"/>
      </w:pPr>
      <w:r>
        <w:rPr>
          <w:rFonts w:hint="eastAsia" w:ascii="仿宋" w:hAnsi="仿宋" w:eastAsia="仿宋"/>
          <w:color w:val="000000"/>
          <w:sz w:val="32"/>
        </w:rPr>
        <w:t>图2：基本支出和项目支出情况</w:t>
      </w:r>
    </w:p>
    <w:p>
      <w:pPr>
        <w:widowControl/>
        <w:jc w:val="center"/>
        <w:rPr>
          <w:rFonts w:hint="eastAsia" w:ascii="仿宋" w:hAnsi="仿宋" w:eastAsia="仿宋"/>
          <w:color w:val="000000"/>
          <w:sz w:val="32"/>
        </w:rPr>
      </w:pPr>
      <w:r>
        <w:rPr>
          <w:rFonts w:ascii="宋体" w:hAnsi="宋体" w:cs="宋体"/>
          <w:color w:val="000000"/>
          <w:kern w:val="0"/>
          <w:sz w:val="22"/>
          <w:szCs w:val="22"/>
        </w:rPr>
        <w:drawing>
          <wp:inline distT="0" distB="0" distL="0" distR="0">
            <wp:extent cx="4575175" cy="2747645"/>
            <wp:effectExtent l="12192" t="6096" r="6096" b="0"/>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2022年度财政拨款收、</w:t>
      </w:r>
      <w:r>
        <w:rPr>
          <w:rFonts w:ascii="仿宋_GB2312" w:eastAsia="仿宋_GB2312"/>
          <w:sz w:val="28"/>
          <w:szCs w:val="28"/>
        </w:rPr>
        <w:t>支</w:t>
      </w:r>
      <w:r>
        <w:rPr>
          <w:rFonts w:hint="eastAsia" w:ascii="仿宋_GB2312" w:eastAsia="仿宋_GB2312"/>
          <w:sz w:val="28"/>
          <w:szCs w:val="28"/>
        </w:rPr>
        <w:t>总计1097.64万元，比上年</w:t>
      </w:r>
      <w:r>
        <w:rPr>
          <w:rFonts w:ascii="仿宋_GB2312" w:eastAsia="仿宋_GB2312"/>
          <w:sz w:val="28"/>
          <w:szCs w:val="28"/>
        </w:rPr>
        <w:t>增加</w:t>
      </w:r>
      <w:r>
        <w:rPr>
          <w:rFonts w:hint="eastAsia" w:ascii="仿宋_GB2312" w:eastAsia="仿宋_GB2312"/>
          <w:sz w:val="28"/>
          <w:szCs w:val="28"/>
        </w:rPr>
        <w:t>188.04万元，增长20.67。主要原因：追加挂职干部经费和事业单位人员相关经费。</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2022年度一般公共预算财政拨款支出</w:t>
      </w:r>
      <w:r>
        <w:rPr>
          <w:rFonts w:hint="eastAsia" w:ascii="仿宋_GB2312" w:eastAsia="仿宋_GB2312"/>
          <w:sz w:val="28"/>
          <w:szCs w:val="28"/>
          <w:highlight w:val="none"/>
        </w:rPr>
        <w:t>108</w:t>
      </w:r>
      <w:r>
        <w:rPr>
          <w:rFonts w:hint="eastAsia" w:ascii="仿宋_GB2312" w:eastAsia="仿宋_GB2312"/>
          <w:sz w:val="28"/>
          <w:szCs w:val="28"/>
          <w:highlight w:val="none"/>
          <w:lang w:val="en-US" w:eastAsia="zh-CN"/>
        </w:rPr>
        <w:t>1.32</w:t>
      </w:r>
      <w:r>
        <w:rPr>
          <w:rFonts w:hint="eastAsia" w:ascii="仿宋_GB2312" w:eastAsia="仿宋_GB2312"/>
          <w:sz w:val="28"/>
          <w:szCs w:val="28"/>
          <w:highlight w:val="none"/>
        </w:rPr>
        <w:t>万元，主要用于以下方面（按大类）：一般公共服务支出</w:t>
      </w:r>
      <w:r>
        <w:rPr>
          <w:rFonts w:hint="eastAsia" w:ascii="仿宋_GB2312" w:eastAsia="仿宋_GB2312"/>
          <w:sz w:val="28"/>
          <w:szCs w:val="28"/>
          <w:highlight w:val="none"/>
          <w:lang w:val="en-US" w:eastAsia="zh-CN"/>
        </w:rPr>
        <w:t>837.79</w:t>
      </w:r>
      <w:r>
        <w:rPr>
          <w:rFonts w:hint="eastAsia" w:ascii="仿宋_GB2312" w:eastAsia="仿宋_GB2312"/>
          <w:sz w:val="28"/>
          <w:szCs w:val="28"/>
          <w:highlight w:val="none"/>
        </w:rPr>
        <w:t>万元，</w:t>
      </w:r>
      <w:r>
        <w:rPr>
          <w:rFonts w:hint="eastAsia" w:ascii="仿宋_GB2312" w:eastAsia="仿宋_GB2312"/>
          <w:sz w:val="28"/>
          <w:szCs w:val="28"/>
        </w:rPr>
        <w:t>占本年财政拨款支出77.65%；教育支出0.07万元，占本年财政拨款支出0.01%；社会保障和就业支出105.66万元，占本年财政拨款支出9.69%；住房保障支出137.8</w:t>
      </w:r>
      <w:r>
        <w:rPr>
          <w:rFonts w:hint="eastAsia" w:ascii="仿宋_GB2312" w:eastAsia="仿宋_GB2312"/>
          <w:sz w:val="28"/>
          <w:szCs w:val="28"/>
          <w:lang w:val="en-US" w:eastAsia="zh-CN"/>
        </w:rPr>
        <w:t>0</w:t>
      </w:r>
      <w:r>
        <w:rPr>
          <w:rFonts w:hint="eastAsia" w:ascii="仿宋_GB2312" w:eastAsia="仿宋_GB2312"/>
          <w:sz w:val="28"/>
          <w:szCs w:val="28"/>
        </w:rPr>
        <w:t>万元，占本年财政拨款支出12.65%。</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1、“一般公共服务支出”（类）2022年度决算</w:t>
      </w:r>
      <w:r>
        <w:rPr>
          <w:rFonts w:hint="eastAsia" w:ascii="仿宋_GB2312" w:eastAsia="仿宋_GB2312"/>
          <w:sz w:val="28"/>
          <w:szCs w:val="28"/>
          <w:lang w:val="en-US" w:eastAsia="zh-CN"/>
        </w:rPr>
        <w:t>837.79</w:t>
      </w:r>
      <w:r>
        <w:rPr>
          <w:rFonts w:hint="eastAsia" w:ascii="仿宋_GB2312" w:eastAsia="仿宋_GB2312"/>
          <w:sz w:val="28"/>
          <w:szCs w:val="28"/>
        </w:rPr>
        <w:t>万元，比2022年度年初预算增加</w:t>
      </w:r>
      <w:r>
        <w:rPr>
          <w:rFonts w:hint="eastAsia" w:ascii="仿宋_GB2312" w:eastAsia="仿宋_GB2312"/>
          <w:sz w:val="28"/>
          <w:szCs w:val="28"/>
          <w:lang w:val="en-US" w:eastAsia="zh-CN"/>
        </w:rPr>
        <w:t>142.52</w:t>
      </w:r>
      <w:r>
        <w:rPr>
          <w:rFonts w:hint="eastAsia" w:ascii="仿宋_GB2312" w:eastAsia="仿宋_GB2312"/>
          <w:sz w:val="28"/>
          <w:szCs w:val="28"/>
        </w:rPr>
        <w:t>万元，增长</w:t>
      </w:r>
      <w:r>
        <w:rPr>
          <w:rFonts w:hint="eastAsia" w:ascii="仿宋_GB2312" w:eastAsia="仿宋_GB2312"/>
          <w:sz w:val="28"/>
          <w:szCs w:val="28"/>
          <w:lang w:val="en-US" w:eastAsia="zh-CN"/>
        </w:rPr>
        <w:t>20.50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“港澳台事务”2022年度决算47.59万元，比2022年年初预算减少72.41万元，下降60.34。主要原因：因为疫情原因接待、慰问活动大幅减少。</w:t>
      </w:r>
    </w:p>
    <w:p>
      <w:pPr>
        <w:tabs>
          <w:tab w:val="center" w:pos="6979"/>
        </w:tabs>
        <w:spacing w:line="580" w:lineRule="exact"/>
        <w:ind w:firstLine="570"/>
        <w:rPr>
          <w:rFonts w:hint="eastAsia" w:ascii="仿宋_GB2312" w:eastAsia="仿宋_GB2312"/>
          <w:color w:val="FF0000"/>
          <w:sz w:val="28"/>
          <w:szCs w:val="28"/>
        </w:rPr>
      </w:pPr>
      <w:r>
        <w:rPr>
          <w:rFonts w:hint="eastAsia" w:ascii="仿宋_GB2312" w:eastAsia="仿宋_GB2312"/>
          <w:sz w:val="28"/>
          <w:szCs w:val="28"/>
        </w:rPr>
        <w:t>“组织事务” 2022年度决算8.15万元，比2022年年初预算增加7.67万元，增长1597.92%。主要原因：人员增加，追加了项目经费。</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“统战事务”2022年度决算</w:t>
      </w:r>
      <w:r>
        <w:rPr>
          <w:rFonts w:hint="eastAsia" w:ascii="仿宋_GB2312" w:eastAsia="仿宋_GB2312"/>
          <w:sz w:val="28"/>
          <w:szCs w:val="28"/>
          <w:lang w:val="en-US" w:eastAsia="zh-CN"/>
        </w:rPr>
        <w:t>782.05</w:t>
      </w:r>
      <w:r>
        <w:rPr>
          <w:rFonts w:hint="eastAsia" w:ascii="仿宋_GB2312" w:eastAsia="仿宋_GB2312"/>
          <w:sz w:val="28"/>
          <w:szCs w:val="28"/>
        </w:rPr>
        <w:t>万元，比2022年年初预算增加</w:t>
      </w:r>
      <w:r>
        <w:rPr>
          <w:rFonts w:hint="eastAsia" w:ascii="仿宋_GB2312" w:eastAsia="仿宋_GB2312"/>
          <w:sz w:val="28"/>
          <w:szCs w:val="28"/>
          <w:lang w:val="en-US" w:eastAsia="zh-CN"/>
        </w:rPr>
        <w:t>675.23</w:t>
      </w:r>
      <w:r>
        <w:rPr>
          <w:rFonts w:hint="eastAsia" w:ascii="仿宋_GB2312" w:eastAsia="仿宋_GB2312"/>
          <w:sz w:val="28"/>
          <w:szCs w:val="28"/>
        </w:rPr>
        <w:t>万元，增长</w:t>
      </w:r>
      <w:r>
        <w:rPr>
          <w:rFonts w:hint="eastAsia" w:ascii="仿宋_GB2312" w:eastAsia="仿宋_GB2312"/>
          <w:sz w:val="28"/>
          <w:szCs w:val="28"/>
          <w:lang w:val="en-US" w:eastAsia="zh-CN"/>
        </w:rPr>
        <w:t>632.12</w:t>
      </w:r>
      <w:r>
        <w:rPr>
          <w:rFonts w:hint="eastAsia" w:ascii="仿宋_GB2312" w:eastAsia="仿宋_GB2312"/>
          <w:sz w:val="28"/>
          <w:szCs w:val="28"/>
        </w:rPr>
        <w:t>%。主要原因：人员增加，追加相关经费。</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2、“教育支出”2022年度决算0.07万元，比20</w:t>
      </w:r>
      <w:r>
        <w:rPr>
          <w:rFonts w:ascii="仿宋_GB2312" w:eastAsia="仿宋_GB2312"/>
          <w:sz w:val="28"/>
          <w:szCs w:val="28"/>
        </w:rPr>
        <w:t>2</w:t>
      </w:r>
      <w:r>
        <w:rPr>
          <w:rFonts w:hint="eastAsia" w:ascii="仿宋_GB2312" w:eastAsia="仿宋_GB2312"/>
          <w:sz w:val="28"/>
          <w:szCs w:val="28"/>
        </w:rPr>
        <w:t>2年年初预算减少1.06万元，下降93.81%。其中：</w:t>
      </w:r>
    </w:p>
    <w:p>
      <w:pPr>
        <w:spacing w:line="580" w:lineRule="exact"/>
        <w:ind w:firstLine="560" w:firstLineChars="200"/>
        <w:rPr>
          <w:rFonts w:hint="eastAsia" w:ascii="仿宋_GB2312" w:eastAsia="仿宋_GB2312"/>
          <w:sz w:val="28"/>
          <w:szCs w:val="28"/>
        </w:rPr>
      </w:pPr>
      <w:r>
        <w:rPr>
          <w:rFonts w:hint="eastAsia" w:ascii="仿宋_GB2312" w:eastAsia="仿宋_GB2312"/>
          <w:color w:val="FF0000"/>
          <w:sz w:val="28"/>
          <w:szCs w:val="28"/>
        </w:rPr>
        <w:t xml:space="preserve"> </w:t>
      </w:r>
      <w:r>
        <w:rPr>
          <w:rFonts w:hint="eastAsia" w:ascii="仿宋_GB2312" w:eastAsia="仿宋_GB2312"/>
          <w:sz w:val="28"/>
          <w:szCs w:val="28"/>
        </w:rPr>
        <w:t>“进修及培训”2022年度决算0.07万元，比20</w:t>
      </w:r>
      <w:r>
        <w:rPr>
          <w:rFonts w:ascii="仿宋_GB2312" w:eastAsia="仿宋_GB2312"/>
          <w:sz w:val="28"/>
          <w:szCs w:val="28"/>
        </w:rPr>
        <w:t>2</w:t>
      </w:r>
      <w:r>
        <w:rPr>
          <w:rFonts w:hint="eastAsia" w:ascii="仿宋_GB2312" w:eastAsia="仿宋_GB2312"/>
          <w:sz w:val="28"/>
          <w:szCs w:val="28"/>
        </w:rPr>
        <w:t>2年年初预算减少1.06万元，下降93.81%。主要原因：因疫情原因，减少组织活动和培训。</w:t>
      </w:r>
    </w:p>
    <w:p>
      <w:pPr>
        <w:spacing w:line="580" w:lineRule="exact"/>
        <w:ind w:firstLine="560" w:firstLineChars="200"/>
        <w:rPr>
          <w:rFonts w:hint="eastAsia" w:ascii="仿宋_GB2312" w:eastAsia="仿宋_GB2312"/>
          <w:color w:val="FF0000"/>
          <w:sz w:val="28"/>
          <w:szCs w:val="28"/>
        </w:rPr>
      </w:pPr>
      <w:r>
        <w:rPr>
          <w:rFonts w:hint="eastAsia" w:ascii="仿宋_GB2312" w:eastAsia="仿宋_GB2312"/>
          <w:sz w:val="28"/>
          <w:szCs w:val="28"/>
        </w:rPr>
        <w:t>3、“社会保障和就业支出” 2022年度决算105.66万元，比20</w:t>
      </w:r>
      <w:r>
        <w:rPr>
          <w:rFonts w:ascii="仿宋_GB2312" w:eastAsia="仿宋_GB2312"/>
          <w:sz w:val="28"/>
          <w:szCs w:val="28"/>
        </w:rPr>
        <w:t>2</w:t>
      </w:r>
      <w:r>
        <w:rPr>
          <w:rFonts w:hint="eastAsia" w:ascii="仿宋_GB2312" w:eastAsia="仿宋_GB2312"/>
          <w:sz w:val="28"/>
          <w:szCs w:val="28"/>
        </w:rPr>
        <w:t>2年年初预算增加31.9万元，增加43.25%。其中：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“行政事业单位养老支出”2022年度决算105.66万元，比20</w:t>
      </w:r>
      <w:r>
        <w:rPr>
          <w:rFonts w:ascii="仿宋_GB2312" w:eastAsia="仿宋_GB2312"/>
          <w:sz w:val="28"/>
          <w:szCs w:val="28"/>
        </w:rPr>
        <w:t>2</w:t>
      </w:r>
      <w:r>
        <w:rPr>
          <w:rFonts w:hint="eastAsia" w:ascii="仿宋_GB2312" w:eastAsia="仿宋_GB2312"/>
          <w:sz w:val="28"/>
          <w:szCs w:val="28"/>
        </w:rPr>
        <w:t>2年年初预算增加31.9万元，增加43.25%。主要原因： 增加事业单位，人员调整。</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4、“住房保障支出”2022年度决算137.8万元，比2</w:t>
      </w:r>
      <w:r>
        <w:rPr>
          <w:rFonts w:ascii="仿宋_GB2312" w:eastAsia="仿宋_GB2312"/>
          <w:sz w:val="28"/>
          <w:szCs w:val="28"/>
        </w:rPr>
        <w:t>02</w:t>
      </w:r>
      <w:r>
        <w:rPr>
          <w:rFonts w:hint="eastAsia" w:ascii="仿宋_GB2312" w:eastAsia="仿宋_GB2312"/>
          <w:sz w:val="28"/>
          <w:szCs w:val="28"/>
        </w:rPr>
        <w:t>2年年初预算增加30.65万元，增加28.60%。其中：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“住房改革支出”2022年度决算137.8元，比2</w:t>
      </w:r>
      <w:r>
        <w:rPr>
          <w:rFonts w:ascii="仿宋_GB2312" w:eastAsia="仿宋_GB2312"/>
          <w:sz w:val="28"/>
          <w:szCs w:val="28"/>
        </w:rPr>
        <w:t>02</w:t>
      </w:r>
      <w:r>
        <w:rPr>
          <w:rFonts w:hint="eastAsia" w:ascii="仿宋_GB2312" w:eastAsia="仿宋_GB2312"/>
          <w:sz w:val="28"/>
          <w:szCs w:val="28"/>
        </w:rPr>
        <w:t>2年年初预算减少30.65万元，增加28.60%。主要原因：人员调整。</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spacing w:line="560" w:lineRule="exact"/>
        <w:ind w:firstLine="980" w:firstLineChars="350"/>
        <w:rPr>
          <w:rFonts w:hint="eastAsia" w:ascii="仿宋_GB2312" w:eastAsia="仿宋_GB2312"/>
          <w:sz w:val="28"/>
          <w:szCs w:val="28"/>
        </w:rPr>
      </w:pPr>
      <w:r>
        <w:rPr>
          <w:rFonts w:hint="eastAsia" w:ascii="仿宋_GB2312" w:eastAsia="仿宋_GB2312"/>
          <w:sz w:val="28"/>
          <w:szCs w:val="28"/>
        </w:rPr>
        <w:t>本年度无此项支出。</w:t>
      </w:r>
    </w:p>
    <w:p>
      <w:pPr>
        <w:numPr>
          <w:ilvl w:val="0"/>
          <w:numId w:val="1"/>
        </w:numPr>
        <w:spacing w:line="580" w:lineRule="exact"/>
        <w:ind w:firstLine="548" w:firstLineChars="196"/>
        <w:rPr>
          <w:rFonts w:hint="eastAsia" w:ascii="黑体" w:eastAsia="黑体"/>
          <w:b/>
          <w:sz w:val="28"/>
          <w:szCs w:val="28"/>
        </w:rPr>
      </w:pPr>
      <w:r>
        <w:rPr>
          <w:rFonts w:hint="eastAsia" w:ascii="黑体" w:eastAsia="黑体"/>
          <w:b/>
          <w:sz w:val="28"/>
          <w:szCs w:val="28"/>
        </w:rPr>
        <w:t>国有资本经营预算财政拨款收支情况</w:t>
      </w:r>
    </w:p>
    <w:p>
      <w:pPr>
        <w:spacing w:line="560" w:lineRule="exact"/>
        <w:ind w:firstLine="980" w:firstLineChars="350"/>
        <w:rPr>
          <w:rFonts w:hint="eastAsia" w:ascii="仿宋_GB2312" w:eastAsia="仿宋_GB2312"/>
          <w:sz w:val="28"/>
          <w:szCs w:val="28"/>
        </w:rPr>
      </w:pPr>
      <w:r>
        <w:rPr>
          <w:rFonts w:hint="eastAsia" w:ascii="仿宋_GB2312" w:eastAsia="仿宋_GB2312"/>
          <w:sz w:val="28"/>
          <w:szCs w:val="28"/>
        </w:rPr>
        <w:t>本年度无此项支出。</w:t>
      </w:r>
    </w:p>
    <w:p>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宋体" w:hAnsi="宋体"/>
          <w:b/>
          <w:spacing w:val="40"/>
          <w:sz w:val="32"/>
          <w:szCs w:val="32"/>
        </w:rPr>
      </w:pPr>
      <w:r>
        <w:rPr>
          <w:rFonts w:hint="eastAsia" w:ascii="仿宋_GB2312" w:eastAsia="仿宋_GB2312"/>
          <w:sz w:val="28"/>
          <w:szCs w:val="28"/>
        </w:rPr>
        <w:t>2022年使用一般公共预算财政拨款安排基本支出933.16万元，使用政府性基金财政拨款安排基本支出0万元，其中：（1）工资福利支出包括基本工资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2022年度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rPr>
        <w:t>1</w:t>
      </w:r>
      <w:r>
        <w:rPr>
          <w:rFonts w:hint="eastAsia" w:ascii="仿宋_GB2312" w:eastAsia="仿宋_GB2312"/>
          <w:sz w:val="28"/>
          <w:szCs w:val="28"/>
        </w:rPr>
        <w:t>个行政单位、0个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rPr>
        <w:t>1个</w:t>
      </w:r>
      <w:r>
        <w:rPr>
          <w:rFonts w:hint="eastAsia" w:ascii="仿宋_GB2312" w:eastAsia="仿宋_GB2312"/>
          <w:sz w:val="28"/>
          <w:szCs w:val="28"/>
        </w:rPr>
        <w:t>事业单位。2022年“三公”经费财政拨款决算数0万元，比2022年“三公”经费财政拨款年初预算0万元增加0万元。其中：</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1.因公出国（境）费用。2022年决算数0万元，与2022年年初预算数0万元一致。</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2.公务接待费。2022年决算数0万元，比2022年年初预算数0万元增加0万元。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2022年决算数0万元，比2022年年初预算数0万元增加0万元。其中，公务用车购置费2022年决算数0万元，比2022年年初预算数0万元增加0万元。2022年购置（更新）0辆，车均购置费0万元。公务用车运行维护费2022年决算数0万元，比2022年年初预算数0万元增加0万元。2022年公务用车运行维护费中，公务用车加油0万元，公务用车维修0万元，公务用车保险0万元，公务用车其他支出0万元。2022年公务用车保有量0辆，车均运行维护费0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2022年使用一般公共预算财政拨款安排的基本支出中的日常公用经费支出，合计42.25万元，比上年增加2.76万元，增加原因：人员增加。</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2022年政府采购支出总额9.14万元，其中：政府采购货物支出2.14万元，政府采购工程支出0万元，政府采购服务支出7万元。授予中小企业合同金额8.07万元，占政府采购支出总额的88.29%，其中：授予小微企业合同金额8.07万元，占政府采购支出总额的88.29%。</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37" w:firstLineChars="192"/>
        <w:rPr>
          <w:rFonts w:hint="eastAsia" w:ascii="仿宋_GB2312" w:eastAsia="仿宋_GB2312"/>
          <w:sz w:val="28"/>
          <w:szCs w:val="28"/>
        </w:rPr>
      </w:pPr>
      <w:r>
        <w:rPr>
          <w:rFonts w:hint="eastAsia" w:ascii="仿宋_GB2312" w:eastAsia="仿宋_GB2312"/>
          <w:sz w:val="28"/>
          <w:szCs w:val="28"/>
        </w:rPr>
        <w:t>我单位在区政府办公区办公，国有资产在机关事务管理处统一核算。</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五、</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ascii="黑体" w:eastAsia="黑体"/>
          <w:sz w:val="32"/>
          <w:szCs w:val="32"/>
          <w:highlight w:val="none"/>
        </w:rPr>
      </w:pPr>
      <w:r>
        <w:rPr>
          <w:rFonts w:hint="eastAsia" w:ascii="仿宋_GB2312" w:eastAsia="仿宋_GB2312"/>
          <w:sz w:val="28"/>
          <w:szCs w:val="28"/>
          <w:highlight w:val="none"/>
        </w:rPr>
        <w:t>6.一般公共服务支出</w:t>
      </w:r>
      <w:r>
        <w:rPr>
          <w:rFonts w:hint="eastAsia" w:ascii="仿宋_GB2312" w:eastAsia="仿宋_GB2312"/>
          <w:sz w:val="28"/>
          <w:szCs w:val="28"/>
          <w:highlight w:val="none"/>
          <w:lang w:eastAsia="zh-CN"/>
        </w:rPr>
        <w:t>港澳台</w:t>
      </w:r>
      <w:r>
        <w:rPr>
          <w:rFonts w:hint="eastAsia" w:ascii="仿宋_GB2312" w:eastAsia="仿宋_GB2312"/>
          <w:sz w:val="28"/>
          <w:szCs w:val="28"/>
          <w:highlight w:val="none"/>
        </w:rPr>
        <w:t>事务</w:t>
      </w:r>
      <w:r>
        <w:rPr>
          <w:rFonts w:hint="eastAsia" w:ascii="仿宋_GB2312" w:eastAsia="仿宋_GB2312"/>
          <w:sz w:val="28"/>
          <w:szCs w:val="28"/>
          <w:highlight w:val="none"/>
          <w:lang w:eastAsia="zh-CN"/>
        </w:rPr>
        <w:t>台湾事务</w:t>
      </w:r>
      <w:r>
        <w:rPr>
          <w:rFonts w:hint="eastAsia" w:ascii="仿宋_GB2312" w:eastAsia="仿宋_GB2312"/>
          <w:sz w:val="28"/>
          <w:szCs w:val="28"/>
          <w:highlight w:val="none"/>
        </w:rPr>
        <w:t>：反映</w:t>
      </w:r>
      <w:r>
        <w:rPr>
          <w:rFonts w:hint="eastAsia" w:ascii="仿宋_GB2312" w:eastAsia="仿宋_GB2312"/>
          <w:sz w:val="28"/>
          <w:szCs w:val="28"/>
          <w:highlight w:val="none"/>
          <w:lang w:eastAsia="zh-CN"/>
        </w:rPr>
        <w:t>对台工作的相关</w:t>
      </w:r>
      <w:r>
        <w:rPr>
          <w:rFonts w:hint="eastAsia" w:ascii="仿宋_GB2312" w:eastAsia="仿宋_GB2312"/>
          <w:sz w:val="28"/>
          <w:szCs w:val="28"/>
          <w:highlight w:val="none"/>
        </w:rPr>
        <w:t xml:space="preserve">支出。 </w:t>
      </w:r>
    </w:p>
    <w:p>
      <w:pPr>
        <w:ind w:firstLine="560" w:firstLineChars="200"/>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一般公共服务支出</w:t>
      </w:r>
      <w:r>
        <w:rPr>
          <w:rFonts w:hint="eastAsia" w:ascii="仿宋_GB2312" w:eastAsia="仿宋_GB2312"/>
          <w:sz w:val="28"/>
          <w:szCs w:val="28"/>
          <w:highlight w:val="none"/>
          <w:lang w:eastAsia="zh-CN"/>
        </w:rPr>
        <w:t>组织</w:t>
      </w:r>
      <w:r>
        <w:rPr>
          <w:rFonts w:hint="eastAsia" w:ascii="仿宋_GB2312" w:eastAsia="仿宋_GB2312"/>
          <w:sz w:val="28"/>
          <w:szCs w:val="28"/>
          <w:highlight w:val="none"/>
        </w:rPr>
        <w:t>事务</w:t>
      </w:r>
      <w:r>
        <w:rPr>
          <w:rFonts w:hint="eastAsia" w:ascii="仿宋_GB2312" w:eastAsia="仿宋_GB2312"/>
          <w:sz w:val="28"/>
          <w:szCs w:val="28"/>
          <w:highlight w:val="none"/>
          <w:lang w:eastAsia="zh-CN"/>
        </w:rPr>
        <w:t>一般行政管理事务和其他组织事务支出</w:t>
      </w:r>
      <w:r>
        <w:rPr>
          <w:rFonts w:hint="eastAsia" w:ascii="仿宋_GB2312" w:eastAsia="仿宋_GB2312"/>
          <w:sz w:val="28"/>
          <w:szCs w:val="28"/>
          <w:highlight w:val="none"/>
        </w:rPr>
        <w:t>：反映</w:t>
      </w:r>
      <w:r>
        <w:rPr>
          <w:rFonts w:hint="eastAsia" w:ascii="仿宋_GB2312" w:eastAsia="仿宋_GB2312"/>
          <w:sz w:val="28"/>
          <w:szCs w:val="28"/>
          <w:highlight w:val="none"/>
          <w:lang w:eastAsia="zh-CN"/>
        </w:rPr>
        <w:t>党支部工作的相关</w:t>
      </w:r>
      <w:r>
        <w:rPr>
          <w:rFonts w:hint="eastAsia" w:ascii="仿宋_GB2312" w:eastAsia="仿宋_GB2312"/>
          <w:sz w:val="28"/>
          <w:szCs w:val="28"/>
          <w:highlight w:val="none"/>
        </w:rPr>
        <w:t xml:space="preserve">支出。 </w:t>
      </w:r>
    </w:p>
    <w:p>
      <w:pPr>
        <w:ind w:firstLine="560" w:firstLineChars="200"/>
        <w:rPr>
          <w:rFonts w:ascii="黑体" w:eastAsia="黑体"/>
          <w:sz w:val="32"/>
          <w:szCs w:val="32"/>
          <w:highlight w:val="none"/>
        </w:rPr>
      </w:pP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一般公共服务支出统战事务行政运行</w:t>
      </w:r>
      <w:r>
        <w:rPr>
          <w:rFonts w:hint="eastAsia" w:ascii="仿宋_GB2312" w:eastAsia="仿宋_GB2312"/>
          <w:sz w:val="28"/>
          <w:szCs w:val="28"/>
          <w:highlight w:val="none"/>
          <w:lang w:eastAsia="zh-CN"/>
        </w:rPr>
        <w:t>、一般行政管理事务、事业运行、其他统战事务支出</w:t>
      </w:r>
      <w:r>
        <w:rPr>
          <w:rFonts w:hint="eastAsia" w:ascii="仿宋_GB2312" w:eastAsia="仿宋_GB2312"/>
          <w:sz w:val="28"/>
          <w:szCs w:val="28"/>
          <w:highlight w:val="none"/>
        </w:rPr>
        <w:t>：反映行政单位</w:t>
      </w:r>
      <w:r>
        <w:rPr>
          <w:rFonts w:hint="eastAsia" w:ascii="仿宋_GB2312" w:eastAsia="仿宋_GB2312"/>
          <w:sz w:val="28"/>
          <w:szCs w:val="28"/>
          <w:highlight w:val="none"/>
          <w:lang w:eastAsia="zh-CN"/>
        </w:rPr>
        <w:t>和事业单位</w:t>
      </w:r>
      <w:r>
        <w:rPr>
          <w:rFonts w:hint="eastAsia" w:ascii="仿宋_GB2312" w:eastAsia="仿宋_GB2312"/>
          <w:sz w:val="28"/>
          <w:szCs w:val="28"/>
          <w:highlight w:val="none"/>
        </w:rPr>
        <w:t xml:space="preserve">的基本支出。 </w:t>
      </w:r>
    </w:p>
    <w:p>
      <w:pPr>
        <w:ind w:firstLine="640" w:firstLineChars="200"/>
        <w:jc w:val="center"/>
        <w:rPr>
          <w:rFonts w:hint="eastAsia" w:ascii="黑体" w:eastAsia="黑体"/>
          <w:sz w:val="28"/>
          <w:szCs w:val="28"/>
        </w:rPr>
      </w:pPr>
      <w:r>
        <w:rPr>
          <w:rFonts w:hint="eastAsia" w:ascii="黑体" w:eastAsia="黑体"/>
          <w:sz w:val="32"/>
          <w:szCs w:val="32"/>
        </w:rPr>
        <w:t>第四部分  2022年度部门绩效评价情况</w:t>
      </w:r>
    </w:p>
    <w:p>
      <w:pPr>
        <w:numPr>
          <w:ilvl w:val="0"/>
          <w:numId w:val="2"/>
        </w:numPr>
        <w:spacing w:line="580" w:lineRule="exact"/>
        <w:ind w:firstLine="560" w:firstLineChars="200"/>
        <w:rPr>
          <w:rFonts w:hint="eastAsia" w:ascii="黑体" w:eastAsia="黑体"/>
          <w:sz w:val="28"/>
          <w:szCs w:val="28"/>
        </w:rPr>
      </w:pPr>
      <w:r>
        <w:rPr>
          <w:rFonts w:hint="eastAsia" w:ascii="黑体" w:eastAsia="黑体"/>
          <w:sz w:val="28"/>
          <w:szCs w:val="28"/>
        </w:rPr>
        <w:t>部门整体绩效评价报告</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黑体" w:hAnsi="黑体" w:eastAsia="黑体" w:cs="宋体"/>
          <w:color w:val="000000"/>
          <w:kern w:val="0"/>
          <w:sz w:val="28"/>
          <w:szCs w:val="28"/>
        </w:rPr>
        <w:t>（</w:t>
      </w:r>
      <w:r>
        <w:rPr>
          <w:rFonts w:hint="eastAsia" w:ascii="仿宋_GB2312" w:hAnsi="仿宋_GB2312" w:eastAsia="仿宋_GB2312" w:cs="仿宋_GB2312"/>
          <w:color w:val="000000"/>
          <w:kern w:val="0"/>
          <w:sz w:val="28"/>
          <w:szCs w:val="28"/>
        </w:rPr>
        <w:t>一）部门概况</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1.机构设置及职责工作任务情况</w:t>
      </w:r>
    </w:p>
    <w:p>
      <w:pPr>
        <w:keepNext w:val="0"/>
        <w:keepLines w:val="0"/>
        <w:pageBreakBefore w:val="0"/>
        <w:widowControl w:val="0"/>
        <w:kinsoku/>
        <w:wordWrap/>
        <w:overflowPunct/>
        <w:topLinePunct w:val="0"/>
        <w:autoSpaceDE/>
        <w:autoSpaceDN/>
        <w:bidi w:val="0"/>
        <w:adjustRightInd/>
        <w:snapToGrid/>
        <w:spacing w:line="580" w:lineRule="exact"/>
        <w:ind w:firstLine="1120" w:firstLineChars="400"/>
        <w:textAlignment w:val="auto"/>
        <w:rPr>
          <w:rFonts w:hint="eastAsia" w:ascii="仿宋_GB2312" w:hAnsi="宋体" w:eastAsia="仿宋_GB2312" w:cs="宋体"/>
          <w:spacing w:val="15"/>
          <w:kern w:val="0"/>
          <w:sz w:val="28"/>
          <w:szCs w:val="28"/>
        </w:rPr>
      </w:pPr>
      <w:r>
        <w:rPr>
          <w:rFonts w:hint="eastAsia" w:ascii="仿宋_GB2312" w:eastAsia="仿宋_GB2312"/>
          <w:sz w:val="28"/>
          <w:szCs w:val="28"/>
        </w:rPr>
        <w:t>中共北京市丰台区委统一战线工作部为区委部门，正处级单位，部门职能主要为：</w:t>
      </w:r>
      <w:r>
        <w:rPr>
          <w:rFonts w:hint="eastAsia" w:ascii="仿宋_GB2312" w:hAnsi="宋体" w:eastAsia="仿宋_GB2312" w:cs="宋体"/>
          <w:spacing w:val="15"/>
          <w:kern w:val="0"/>
          <w:sz w:val="28"/>
          <w:szCs w:val="28"/>
        </w:rPr>
        <w:t>1.贯彻落实加强党对统一战线工作的集中统一领导的要求，发挥区委在统战工作方面的参谋机构、组织协调机构、具体执行机构、督促检查机构作用，了解情况、掌握政策、协调关系、安排人事、增进共识、加强团结，协调统一战线各方面关系，组织和落实区委关于统一战线工作决策部署，巩固壮大最广泛的统一战线。2.贯彻落实党的统一战线工作方针政策，调查研究全区统一战线工作并将调研成果推动落实，向区委报告统一战线工作情况并提出建议，统筹协调和指导各部门各单位统一战线工作。3.负责发现、培养本区党外代表人士，负责党外人士的政治安排，会同有关部门做好安排党外人士担任政府和司法机关领导职务的工作，反映和协调解决党外代表人士工作生活中的实际困难。4.贯彻落实党的宣传工作方针，统筹推进本区统一战线宣传工作，拟订统一战线宣传工作计划和方案并组织实施，研判涉及统一战线的舆情并协调有关部门应对处置。5.负责联系本区各民主党派，通报情况，反映意见，贯彻落实中国共产党领导的多党合作和政治协商制度以及对民主党派的方针政策，支持、帮助民主党派加强自身建设，做好支持民主党派履行职责、发挥作用的工作。6.贯彻落实党的民族工作方针、宗教工作基本方针和政策，协调处理民族宗教工作中的重大问题，联系少数民族和宗教界的代表人士，根据分工做好少数民族干部工作；领导丰台区民族宗教事务办公室依法管理民族事务和宗教行政事务。7.负责联系、培养本区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8.调查研究非公有制经济企业和人士情况并提出政策建议，做好对非公有制经济人士团结、服务、引导、教育工作，促进非公有制经济健康发展和非公有制经济人士健康成长。9.统一领导本区海外统战工作，牵头开展港澳统战工作，开展对台统战工作；贯彻落实党的海外统战工作方针政策，联系香港、澳门、台湾有关团体及代表人士，联系海外社团及代表人士，做好台胞、台属有关工作。10.统一管理侨务工作，贯彻落实党的侨务工作方针政策，负责本区侨情和侨务工作调查研究，管理侨务行政事务，统筹协调有关部门和社会团体涉侨工作，联系海外有关侨团和代表人士，指导推动涉侨宣传工作、文化交流工作等，保护华侨和归侨侨眷的合法权利和利益。11.指导区工商联、区侨联工作；做好丰台区统一战线有关单位和社团的管理工作。12.完成区委交办的其他任务。</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ascii="仿宋_GB2312" w:hAnsi="宋体" w:eastAsia="仿宋_GB2312" w:cs="宋体"/>
          <w:spacing w:val="15"/>
          <w:kern w:val="0"/>
          <w:sz w:val="28"/>
          <w:szCs w:val="28"/>
        </w:rPr>
      </w:pPr>
      <w:r>
        <w:rPr>
          <w:rFonts w:hint="eastAsia" w:ascii="仿宋_GB2312" w:hAnsi="宋体" w:eastAsia="仿宋_GB2312" w:cs="宋体"/>
          <w:spacing w:val="15"/>
          <w:kern w:val="0"/>
          <w:sz w:val="28"/>
          <w:szCs w:val="28"/>
        </w:rPr>
        <w:t>下设机构：办公室、党派联络科、港澳台侨科、新的社会阶层人士工作科、综合联络科、统战事务中心。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宋体" w:eastAsia="仿宋_GB2312" w:cs="宋体"/>
          <w:spacing w:val="15"/>
          <w:kern w:val="0"/>
          <w:sz w:val="28"/>
          <w:szCs w:val="28"/>
        </w:rPr>
      </w:pPr>
      <w:r>
        <w:rPr>
          <w:rFonts w:hint="eastAsia" w:ascii="仿宋_GB2312" w:hAnsi="宋体" w:eastAsia="仿宋_GB2312" w:cs="宋体"/>
          <w:spacing w:val="15"/>
          <w:kern w:val="0"/>
          <w:sz w:val="28"/>
          <w:szCs w:val="28"/>
        </w:rPr>
        <w:t>2.部门整体绩效目标设立情况。</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eastAsia" w:ascii="仿宋_GB2312" w:hAnsi="仿宋_GB2312" w:eastAsia="仿宋_GB2312" w:cs="仿宋_GB2312"/>
          <w:sz w:val="28"/>
          <w:szCs w:val="28"/>
        </w:rPr>
      </w:pPr>
      <w:r>
        <w:rPr>
          <w:rFonts w:hint="eastAsia" w:ascii="仿宋_GB2312" w:hAnsi="宋体" w:eastAsia="仿宋_GB2312" w:cs="宋体"/>
          <w:spacing w:val="15"/>
          <w:kern w:val="0"/>
          <w:sz w:val="28"/>
          <w:szCs w:val="28"/>
        </w:rPr>
        <w:t>我单位整体绩效目标根据工作职责及任务目标设立，结合实际情况及三定方案完善了本单位部门整体绩效目标。目标设置合理，符合本单位制定的中长期实施规划。</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（二）当年预算执行情况</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2022年全年预算数</w:t>
      </w:r>
      <w:r>
        <w:rPr>
          <w:rFonts w:hint="eastAsia" w:ascii="仿宋_GB2312" w:hAnsi="仿宋_GB2312" w:eastAsia="仿宋_GB2312" w:cs="仿宋_GB2312"/>
          <w:kern w:val="0"/>
          <w:sz w:val="28"/>
          <w:szCs w:val="28"/>
        </w:rPr>
        <w:t>877.31</w:t>
      </w:r>
      <w:r>
        <w:rPr>
          <w:rFonts w:hint="eastAsia" w:ascii="仿宋_GB2312" w:hAnsi="仿宋_GB2312" w:eastAsia="仿宋_GB2312" w:cs="仿宋_GB2312"/>
          <w:color w:val="000000"/>
          <w:kern w:val="0"/>
          <w:sz w:val="28"/>
          <w:szCs w:val="28"/>
        </w:rPr>
        <w:t>万元，其中，基本支出预算数658.18万元，项目支出预算数</w:t>
      </w:r>
      <w:r>
        <w:rPr>
          <w:rFonts w:hint="eastAsia" w:ascii="仿宋_GB2312" w:hAnsi="仿宋_GB2312" w:eastAsia="仿宋_GB2312" w:cs="仿宋_GB2312"/>
          <w:kern w:val="0"/>
          <w:sz w:val="28"/>
          <w:szCs w:val="28"/>
        </w:rPr>
        <w:t>219.13</w:t>
      </w:r>
      <w:r>
        <w:rPr>
          <w:rFonts w:hint="eastAsia" w:ascii="仿宋_GB2312" w:hAnsi="仿宋_GB2312" w:eastAsia="仿宋_GB2312" w:cs="仿宋_GB2312"/>
          <w:color w:val="000000"/>
          <w:kern w:val="0"/>
          <w:sz w:val="28"/>
          <w:szCs w:val="28"/>
        </w:rPr>
        <w:t>万元，其他支出预算数</w:t>
      </w:r>
      <w:r>
        <w:rPr>
          <w:rFonts w:hint="eastAsia" w:ascii="仿宋_GB2312" w:hAnsi="仿宋_GB2312" w:eastAsia="仿宋_GB2312" w:cs="仿宋_GB2312"/>
          <w:kern w:val="0"/>
          <w:sz w:val="28"/>
          <w:szCs w:val="28"/>
        </w:rPr>
        <w:t>0</w:t>
      </w:r>
      <w:r>
        <w:rPr>
          <w:rFonts w:hint="eastAsia" w:ascii="仿宋_GB2312" w:hAnsi="仿宋_GB2312" w:eastAsia="仿宋_GB2312" w:cs="仿宋_GB2312"/>
          <w:color w:val="000000"/>
          <w:kern w:val="0"/>
          <w:sz w:val="28"/>
          <w:szCs w:val="28"/>
        </w:rPr>
        <w:t>万元。资金总体支出</w:t>
      </w:r>
      <w:r>
        <w:rPr>
          <w:rFonts w:hint="eastAsia" w:ascii="仿宋_GB2312" w:hAnsi="仿宋_GB2312" w:eastAsia="仿宋_GB2312" w:cs="仿宋_GB2312"/>
          <w:kern w:val="0"/>
          <w:sz w:val="28"/>
          <w:szCs w:val="28"/>
        </w:rPr>
        <w:t>1089.48</w:t>
      </w:r>
      <w:r>
        <w:rPr>
          <w:rFonts w:hint="eastAsia" w:ascii="仿宋_GB2312" w:hAnsi="仿宋_GB2312" w:eastAsia="仿宋_GB2312" w:cs="仿宋_GB2312"/>
          <w:color w:val="000000"/>
          <w:kern w:val="0"/>
          <w:sz w:val="28"/>
          <w:szCs w:val="28"/>
        </w:rPr>
        <w:t>万元，其中，基本支出</w:t>
      </w:r>
      <w:r>
        <w:rPr>
          <w:rFonts w:hint="eastAsia" w:ascii="仿宋_GB2312" w:hAnsi="仿宋_GB2312" w:eastAsia="仿宋_GB2312" w:cs="仿宋_GB2312"/>
          <w:kern w:val="0"/>
          <w:sz w:val="28"/>
          <w:szCs w:val="28"/>
        </w:rPr>
        <w:t>933.16</w:t>
      </w:r>
      <w:r>
        <w:rPr>
          <w:rFonts w:hint="eastAsia" w:ascii="仿宋_GB2312" w:hAnsi="仿宋_GB2312" w:eastAsia="仿宋_GB2312" w:cs="仿宋_GB2312"/>
          <w:color w:val="000000"/>
          <w:kern w:val="0"/>
          <w:sz w:val="28"/>
          <w:szCs w:val="28"/>
        </w:rPr>
        <w:t>万元，项目支出</w:t>
      </w:r>
      <w:r>
        <w:rPr>
          <w:rFonts w:hint="eastAsia" w:ascii="仿宋_GB2312" w:hAnsi="仿宋_GB2312" w:eastAsia="仿宋_GB2312" w:cs="仿宋_GB2312"/>
          <w:kern w:val="0"/>
          <w:sz w:val="28"/>
          <w:szCs w:val="28"/>
        </w:rPr>
        <w:t>156.32</w:t>
      </w:r>
      <w:r>
        <w:rPr>
          <w:rFonts w:hint="eastAsia" w:ascii="仿宋_GB2312" w:hAnsi="仿宋_GB2312" w:eastAsia="仿宋_GB2312" w:cs="仿宋_GB2312"/>
          <w:color w:val="000000"/>
          <w:kern w:val="0"/>
          <w:sz w:val="28"/>
          <w:szCs w:val="28"/>
        </w:rPr>
        <w:t>万元，其他支出</w:t>
      </w:r>
      <w:r>
        <w:rPr>
          <w:rFonts w:hint="eastAsia" w:ascii="仿宋_GB2312" w:hAnsi="仿宋_GB2312" w:eastAsia="仿宋_GB2312" w:cs="仿宋_GB2312"/>
          <w:kern w:val="0"/>
          <w:sz w:val="28"/>
          <w:szCs w:val="28"/>
        </w:rPr>
        <w:t>0</w:t>
      </w:r>
      <w:r>
        <w:rPr>
          <w:rFonts w:hint="eastAsia" w:ascii="仿宋_GB2312" w:hAnsi="仿宋_GB2312" w:eastAsia="仿宋_GB2312" w:cs="仿宋_GB2312"/>
          <w:color w:val="000000"/>
          <w:kern w:val="0"/>
          <w:sz w:val="28"/>
          <w:szCs w:val="28"/>
        </w:rPr>
        <w:t>万元。预算执行率为</w:t>
      </w:r>
      <w:r>
        <w:rPr>
          <w:rFonts w:hint="eastAsia" w:ascii="仿宋_GB2312" w:hAnsi="仿宋_GB2312" w:eastAsia="仿宋_GB2312" w:cs="仿宋_GB2312"/>
          <w:kern w:val="0"/>
          <w:sz w:val="28"/>
          <w:szCs w:val="28"/>
        </w:rPr>
        <w:t>124.18%</w:t>
      </w:r>
      <w:r>
        <w:rPr>
          <w:rFonts w:hint="eastAsia" w:ascii="仿宋_GB2312" w:hAnsi="仿宋_GB2312" w:eastAsia="仿宋_GB2312" w:cs="仿宋_GB2312"/>
          <w:color w:val="000000"/>
          <w:kern w:val="0"/>
          <w:sz w:val="28"/>
          <w:szCs w:val="28"/>
        </w:rPr>
        <w:t>。</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（三）整体绩效目标实现情况</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1.产出完成情况分析</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（1）产出数量：春节购买食品对统战成员进行走访慰问；支持各民主党派和统战社团开展日常工作和组织活动；为更好将各级会议精神和工作动态传达给统战成员，定期发布《丰台统战公众号》。</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（2）产出质量：为了及时掌握统战成员思想动态，进一步增强思想政治引领的精准度，定期发布《丰台统战公众号》。</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（3）产出进度：根据实际情况与工作进展，按要求、合同支出。</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（4）产出成本：为实现相关目标的投入控制在预算范围内，支出费用严格控制在财政资金支出标准范围内。                                  </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2.效果实现情况分析</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（1）经济效益：委托第三方定期发布统战信息。</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（2）社会效益：及时掌握统战成员思想动态，进一步增强思想政治引领的精准度。</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（3）环境效益：打造大统战格局。</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（4）可持续性影响：带动更多统战成员，将同心圆画的更大。</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（5）服务对象满意度：</w:t>
      </w:r>
      <w:r>
        <w:rPr>
          <w:rFonts w:hint="eastAsia" w:ascii="仿宋_GB2312" w:eastAsia="仿宋_GB2312"/>
          <w:sz w:val="28"/>
          <w:szCs w:val="28"/>
        </w:rPr>
        <w:t>服务对象满意度综合评定100%。</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（四）预算管理情况分析</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1.财务管理</w:t>
      </w:r>
    </w:p>
    <w:p>
      <w:pPr>
        <w:spacing w:line="60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（1）财务管理制度健全性：</w:t>
      </w:r>
      <w:r>
        <w:rPr>
          <w:rFonts w:hint="eastAsia" w:ascii="仿宋_GB2312" w:eastAsia="仿宋_GB2312"/>
          <w:sz w:val="28"/>
          <w:szCs w:val="28"/>
        </w:rPr>
        <w:t>我单位制定了预算资金</w:t>
      </w:r>
      <w:r>
        <w:rPr>
          <w:rFonts w:ascii="仿宋_GB2312" w:eastAsia="仿宋_GB2312"/>
          <w:sz w:val="28"/>
          <w:szCs w:val="28"/>
        </w:rPr>
        <w:t>管理办法、</w:t>
      </w:r>
      <w:r>
        <w:rPr>
          <w:rFonts w:hint="eastAsia" w:ascii="仿宋_GB2312" w:eastAsia="仿宋_GB2312"/>
          <w:sz w:val="28"/>
          <w:szCs w:val="28"/>
        </w:rPr>
        <w:t>内部财务</w:t>
      </w:r>
      <w:r>
        <w:rPr>
          <w:rFonts w:ascii="仿宋_GB2312" w:eastAsia="仿宋_GB2312"/>
          <w:sz w:val="28"/>
          <w:szCs w:val="28"/>
        </w:rPr>
        <w:t>管理制度</w:t>
      </w:r>
      <w:r>
        <w:rPr>
          <w:rFonts w:hint="eastAsia" w:ascii="仿宋_GB2312" w:eastAsia="仿宋_GB2312"/>
          <w:sz w:val="28"/>
          <w:szCs w:val="28"/>
        </w:rPr>
        <w:t>，并且各类</w:t>
      </w:r>
      <w:r>
        <w:rPr>
          <w:rFonts w:ascii="仿宋_GB2312" w:eastAsia="仿宋_GB2312"/>
          <w:sz w:val="28"/>
          <w:szCs w:val="28"/>
        </w:rPr>
        <w:t>管理制度得到有效执行。</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（2）资金使用合规性和安全性：</w:t>
      </w:r>
      <w:r>
        <w:rPr>
          <w:rFonts w:hint="eastAsia" w:ascii="仿宋_GB2312" w:eastAsia="仿宋_GB2312"/>
          <w:sz w:val="28"/>
          <w:szCs w:val="28"/>
        </w:rPr>
        <w:t>我单位</w:t>
      </w:r>
      <w:r>
        <w:rPr>
          <w:rFonts w:ascii="仿宋_GB2312" w:eastAsia="仿宋_GB2312"/>
          <w:sz w:val="28"/>
          <w:szCs w:val="28"/>
        </w:rPr>
        <w:t>符合国家财经法规和财务管理制度规定以及</w:t>
      </w:r>
      <w:r>
        <w:rPr>
          <w:rFonts w:hint="eastAsia" w:ascii="仿宋_GB2312" w:eastAsia="仿宋_GB2312"/>
          <w:sz w:val="28"/>
          <w:szCs w:val="28"/>
        </w:rPr>
        <w:t>有关</w:t>
      </w:r>
      <w:r>
        <w:rPr>
          <w:rFonts w:ascii="仿宋_GB2312" w:eastAsia="仿宋_GB2312"/>
          <w:sz w:val="28"/>
          <w:szCs w:val="28"/>
        </w:rPr>
        <w:t>专</w:t>
      </w:r>
      <w:r>
        <w:rPr>
          <w:rFonts w:hint="eastAsia" w:ascii="仿宋_GB2312" w:eastAsia="仿宋_GB2312"/>
          <w:sz w:val="28"/>
          <w:szCs w:val="28"/>
        </w:rPr>
        <w:t>项</w:t>
      </w:r>
      <w:r>
        <w:rPr>
          <w:rFonts w:ascii="仿宋_GB2312" w:eastAsia="仿宋_GB2312"/>
          <w:sz w:val="28"/>
          <w:szCs w:val="28"/>
        </w:rPr>
        <w:t>资金</w:t>
      </w:r>
      <w:r>
        <w:rPr>
          <w:rFonts w:hint="eastAsia" w:ascii="仿宋_GB2312" w:eastAsia="仿宋_GB2312"/>
          <w:sz w:val="28"/>
          <w:szCs w:val="28"/>
        </w:rPr>
        <w:t>管理办法的</w:t>
      </w:r>
      <w:r>
        <w:rPr>
          <w:rFonts w:ascii="仿宋_GB2312" w:eastAsia="仿宋_GB2312"/>
          <w:sz w:val="28"/>
          <w:szCs w:val="28"/>
        </w:rPr>
        <w:t>规定、资金的</w:t>
      </w:r>
      <w:r>
        <w:rPr>
          <w:rFonts w:hint="eastAsia" w:ascii="仿宋_GB2312" w:eastAsia="仿宋_GB2312"/>
          <w:sz w:val="28"/>
          <w:szCs w:val="28"/>
        </w:rPr>
        <w:t>使用</w:t>
      </w:r>
      <w:r>
        <w:rPr>
          <w:rFonts w:ascii="仿宋_GB2312" w:eastAsia="仿宋_GB2312"/>
          <w:sz w:val="28"/>
          <w:szCs w:val="28"/>
        </w:rPr>
        <w:t>有完整的审批</w:t>
      </w:r>
      <w:r>
        <w:rPr>
          <w:rFonts w:hint="eastAsia" w:ascii="仿宋_GB2312" w:eastAsia="仿宋_GB2312"/>
          <w:sz w:val="28"/>
          <w:szCs w:val="28"/>
        </w:rPr>
        <w:t>的</w:t>
      </w:r>
      <w:r>
        <w:rPr>
          <w:rFonts w:ascii="仿宋_GB2312" w:eastAsia="仿宋_GB2312"/>
          <w:sz w:val="28"/>
          <w:szCs w:val="28"/>
        </w:rPr>
        <w:t>手续、</w:t>
      </w:r>
      <w:r>
        <w:rPr>
          <w:rFonts w:hint="eastAsia" w:ascii="仿宋_GB2312" w:eastAsia="仿宋_GB2312"/>
          <w:sz w:val="28"/>
          <w:szCs w:val="28"/>
        </w:rPr>
        <w:t>三</w:t>
      </w:r>
      <w:r>
        <w:rPr>
          <w:rFonts w:ascii="仿宋_GB2312" w:eastAsia="仿宋_GB2312"/>
          <w:sz w:val="28"/>
          <w:szCs w:val="28"/>
        </w:rPr>
        <w:t>重</w:t>
      </w:r>
      <w:r>
        <w:rPr>
          <w:rFonts w:hint="eastAsia" w:ascii="仿宋_GB2312" w:eastAsia="仿宋_GB2312"/>
          <w:sz w:val="28"/>
          <w:szCs w:val="28"/>
        </w:rPr>
        <w:t>一大</w:t>
      </w:r>
      <w:r>
        <w:rPr>
          <w:rFonts w:ascii="仿宋_GB2312" w:eastAsia="仿宋_GB2312"/>
          <w:sz w:val="28"/>
          <w:szCs w:val="28"/>
        </w:rPr>
        <w:t>项目</w:t>
      </w:r>
      <w:r>
        <w:rPr>
          <w:rFonts w:hint="eastAsia" w:ascii="仿宋_GB2312" w:eastAsia="仿宋_GB2312"/>
          <w:sz w:val="28"/>
          <w:szCs w:val="28"/>
        </w:rPr>
        <w:t>开支</w:t>
      </w:r>
      <w:r>
        <w:rPr>
          <w:rFonts w:ascii="仿宋_GB2312" w:eastAsia="仿宋_GB2312"/>
          <w:sz w:val="28"/>
          <w:szCs w:val="28"/>
        </w:rPr>
        <w:t>经过</w:t>
      </w:r>
      <w:r>
        <w:rPr>
          <w:rFonts w:hint="eastAsia" w:ascii="仿宋_GB2312" w:eastAsia="仿宋_GB2312"/>
          <w:sz w:val="28"/>
          <w:szCs w:val="28"/>
        </w:rPr>
        <w:t>部务</w:t>
      </w:r>
      <w:r>
        <w:rPr>
          <w:rFonts w:ascii="仿宋_GB2312" w:eastAsia="仿宋_GB2312"/>
          <w:sz w:val="28"/>
          <w:szCs w:val="28"/>
        </w:rPr>
        <w:t>会</w:t>
      </w:r>
      <w:r>
        <w:rPr>
          <w:rFonts w:hint="eastAsia" w:ascii="仿宋_GB2312" w:eastAsia="仿宋_GB2312"/>
          <w:sz w:val="28"/>
          <w:szCs w:val="28"/>
        </w:rPr>
        <w:t>讨论</w:t>
      </w:r>
      <w:r>
        <w:rPr>
          <w:rFonts w:ascii="仿宋_GB2312" w:eastAsia="仿宋_GB2312"/>
          <w:sz w:val="28"/>
          <w:szCs w:val="28"/>
        </w:rPr>
        <w:t>。</w:t>
      </w:r>
    </w:p>
    <w:p>
      <w:pPr>
        <w:spacing w:line="60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（3）会计基础信息完善性：</w:t>
      </w:r>
      <w:r>
        <w:rPr>
          <w:rFonts w:hint="eastAsia" w:ascii="仿宋_GB2312" w:eastAsia="仿宋_GB2312"/>
          <w:sz w:val="28"/>
          <w:szCs w:val="28"/>
        </w:rPr>
        <w:t>我单位</w:t>
      </w:r>
      <w:r>
        <w:rPr>
          <w:rFonts w:ascii="仿宋_GB2312" w:eastAsia="仿宋_GB2312"/>
          <w:sz w:val="28"/>
          <w:szCs w:val="28"/>
        </w:rPr>
        <w:t>为机关事务管理</w:t>
      </w:r>
      <w:r>
        <w:rPr>
          <w:rFonts w:hint="eastAsia" w:ascii="仿宋_GB2312" w:eastAsia="仿宋_GB2312"/>
          <w:sz w:val="28"/>
          <w:szCs w:val="28"/>
        </w:rPr>
        <w:t>服务中心</w:t>
      </w:r>
      <w:r>
        <w:rPr>
          <w:rFonts w:ascii="仿宋_GB2312" w:eastAsia="仿宋_GB2312"/>
          <w:sz w:val="28"/>
          <w:szCs w:val="28"/>
        </w:rPr>
        <w:t>统管</w:t>
      </w:r>
      <w:r>
        <w:rPr>
          <w:rFonts w:hint="eastAsia" w:ascii="仿宋_GB2312" w:eastAsia="仿宋_GB2312"/>
          <w:sz w:val="28"/>
          <w:szCs w:val="28"/>
        </w:rPr>
        <w:t>，</w:t>
      </w:r>
      <w:r>
        <w:rPr>
          <w:rFonts w:ascii="仿宋_GB2312" w:eastAsia="仿宋_GB2312"/>
          <w:sz w:val="28"/>
          <w:szCs w:val="28"/>
        </w:rPr>
        <w:t>基础</w:t>
      </w:r>
      <w:r>
        <w:rPr>
          <w:rFonts w:hint="eastAsia" w:ascii="仿宋_GB2312" w:eastAsia="仿宋_GB2312"/>
          <w:sz w:val="28"/>
          <w:szCs w:val="28"/>
        </w:rPr>
        <w:t>数据信息</w:t>
      </w:r>
      <w:r>
        <w:rPr>
          <w:rFonts w:ascii="仿宋_GB2312" w:eastAsia="仿宋_GB2312"/>
          <w:sz w:val="28"/>
          <w:szCs w:val="28"/>
        </w:rPr>
        <w:t>和会计资料真实</w:t>
      </w:r>
      <w:r>
        <w:rPr>
          <w:rFonts w:hint="eastAsia" w:ascii="仿宋_GB2312" w:eastAsia="仿宋_GB2312"/>
          <w:sz w:val="28"/>
          <w:szCs w:val="28"/>
        </w:rPr>
        <w:t>、</w:t>
      </w:r>
      <w:r>
        <w:rPr>
          <w:rFonts w:ascii="仿宋_GB2312" w:eastAsia="仿宋_GB2312"/>
          <w:sz w:val="28"/>
          <w:szCs w:val="28"/>
        </w:rPr>
        <w:t>完整</w:t>
      </w:r>
      <w:r>
        <w:rPr>
          <w:rFonts w:hint="eastAsia" w:ascii="仿宋_GB2312" w:eastAsia="仿宋_GB2312"/>
          <w:sz w:val="28"/>
          <w:szCs w:val="28"/>
        </w:rPr>
        <w:t>、</w:t>
      </w:r>
      <w:r>
        <w:rPr>
          <w:rFonts w:ascii="仿宋_GB2312" w:eastAsia="仿宋_GB2312"/>
          <w:sz w:val="28"/>
          <w:szCs w:val="28"/>
        </w:rPr>
        <w:t>准确。</w:t>
      </w:r>
    </w:p>
    <w:p>
      <w:pPr>
        <w:spacing w:line="60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2.资产管理：</w:t>
      </w:r>
      <w:r>
        <w:rPr>
          <w:rFonts w:hint="eastAsia" w:ascii="仿宋_GB2312" w:eastAsia="仿宋_GB2312"/>
          <w:sz w:val="28"/>
          <w:szCs w:val="28"/>
        </w:rPr>
        <w:t>我单位固定资产</w:t>
      </w:r>
      <w:r>
        <w:rPr>
          <w:rFonts w:ascii="仿宋_GB2312" w:eastAsia="仿宋_GB2312"/>
          <w:sz w:val="28"/>
          <w:szCs w:val="28"/>
        </w:rPr>
        <w:t>由机关事务管理</w:t>
      </w:r>
      <w:r>
        <w:rPr>
          <w:rFonts w:hint="eastAsia" w:ascii="仿宋_GB2312" w:eastAsia="仿宋_GB2312"/>
          <w:sz w:val="28"/>
          <w:szCs w:val="28"/>
        </w:rPr>
        <w:t>服务中心</w:t>
      </w:r>
      <w:r>
        <w:rPr>
          <w:rFonts w:ascii="仿宋_GB2312" w:eastAsia="仿宋_GB2312"/>
          <w:sz w:val="28"/>
          <w:szCs w:val="28"/>
        </w:rPr>
        <w:t>统管</w:t>
      </w:r>
      <w:r>
        <w:rPr>
          <w:rFonts w:hint="eastAsia" w:ascii="仿宋_GB2312" w:eastAsia="仿宋_GB2312"/>
          <w:sz w:val="28"/>
          <w:szCs w:val="28"/>
        </w:rPr>
        <w:t>，</w:t>
      </w:r>
      <w:r>
        <w:rPr>
          <w:rFonts w:ascii="仿宋_GB2312" w:eastAsia="仿宋_GB2312"/>
          <w:sz w:val="28"/>
          <w:szCs w:val="28"/>
        </w:rPr>
        <w:t>相关资产管理制度得到有效执行。</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3.绩效管理：</w:t>
      </w:r>
      <w:r>
        <w:rPr>
          <w:rFonts w:hint="eastAsia" w:ascii="仿宋_GB2312" w:eastAsia="仿宋_GB2312"/>
          <w:sz w:val="28"/>
          <w:szCs w:val="28"/>
        </w:rPr>
        <w:t>我单位整体支出绩效目标基本完成，为实现相关目标的投入控制在预算范围内，支出费用严格控制在财政资金支出标准范围内。</w:t>
      </w:r>
    </w:p>
    <w:p>
      <w:pPr>
        <w:spacing w:line="580" w:lineRule="exact"/>
        <w:ind w:left="105" w:leftChars="5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4.结转结余率：按照政策，市拨经费可使用两年，确定不会使用到的经费，提交申请由财政局专管员收回资金。</w:t>
      </w:r>
    </w:p>
    <w:p>
      <w:pPr>
        <w:tabs>
          <w:tab w:val="center" w:pos="6979"/>
        </w:tabs>
        <w:spacing w:line="5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5.部门预决算差异率：</w:t>
      </w:r>
      <w:r>
        <w:rPr>
          <w:rFonts w:hint="eastAsia" w:ascii="仿宋_GB2312" w:eastAsia="仿宋_GB2312"/>
          <w:sz w:val="28"/>
          <w:szCs w:val="28"/>
        </w:rPr>
        <w:t>预、决算差异情况，差异主要原因是：追加挂职干部经费和事业单位人员相关经费。</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（五）总体评价结论</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1.评价得分情况：</w:t>
      </w:r>
      <w:r>
        <w:rPr>
          <w:rFonts w:hint="eastAsia" w:ascii="仿宋_GB2312" w:eastAsia="仿宋_GB2312"/>
          <w:sz w:val="28"/>
          <w:szCs w:val="28"/>
        </w:rPr>
        <w:t>经综合评价，部门整体资金使用情况符合各级指标，项目支出符合要求，达到年度指标值，得分90分。</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2.存在的问题及原因分析</w:t>
      </w:r>
    </w:p>
    <w:p>
      <w:pPr>
        <w:ind w:firstLine="560" w:firstLineChars="200"/>
        <w:rPr>
          <w:rFonts w:ascii="仿宋_GB2312" w:eastAsia="仿宋_GB2312"/>
          <w:sz w:val="28"/>
          <w:szCs w:val="28"/>
        </w:rPr>
      </w:pPr>
      <w:r>
        <w:rPr>
          <w:rFonts w:hint="eastAsia" w:ascii="仿宋_GB2312" w:eastAsia="仿宋_GB2312"/>
          <w:sz w:val="28"/>
          <w:szCs w:val="28"/>
        </w:rPr>
        <w:t>（1）预决算差异率大</w:t>
      </w:r>
      <w:r>
        <w:rPr>
          <w:rFonts w:ascii="仿宋_GB2312" w:eastAsia="仿宋_GB2312"/>
          <w:sz w:val="28"/>
          <w:szCs w:val="28"/>
        </w:rPr>
        <w:t>，</w:t>
      </w:r>
      <w:r>
        <w:rPr>
          <w:rFonts w:hint="eastAsia" w:ascii="仿宋_GB2312" w:eastAsia="仿宋_GB2312"/>
          <w:sz w:val="28"/>
          <w:szCs w:val="28"/>
        </w:rPr>
        <w:t>主要原因是</w:t>
      </w:r>
      <w:r>
        <w:rPr>
          <w:rFonts w:ascii="仿宋_GB2312" w:eastAsia="仿宋_GB2312"/>
          <w:sz w:val="28"/>
          <w:szCs w:val="28"/>
        </w:rPr>
        <w:t>项目增加</w:t>
      </w:r>
      <w:r>
        <w:rPr>
          <w:rFonts w:hint="eastAsia" w:ascii="仿宋_GB2312" w:eastAsia="仿宋_GB2312"/>
          <w:sz w:val="28"/>
          <w:szCs w:val="28"/>
        </w:rPr>
        <w:t>。</w:t>
      </w:r>
    </w:p>
    <w:p>
      <w:pPr>
        <w:pStyle w:val="2"/>
        <w:ind w:firstLine="560"/>
        <w:rPr>
          <w:rFonts w:hint="eastAsia" w:eastAsia="仿宋_GB2312"/>
        </w:rPr>
      </w:pPr>
      <w:r>
        <w:rPr>
          <w:rFonts w:hint="eastAsia" w:ascii="仿宋_GB2312" w:eastAsia="仿宋_GB2312"/>
          <w:sz w:val="28"/>
          <w:szCs w:val="28"/>
        </w:rPr>
        <w:t>（2）支出率不高，主要是因为疫情原因，无法开展活动。</w:t>
      </w:r>
    </w:p>
    <w:p>
      <w:pPr>
        <w:pStyle w:val="2"/>
        <w:spacing w:line="58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（六）措施建议：</w:t>
      </w:r>
      <w:r>
        <w:rPr>
          <w:rFonts w:hint="eastAsia" w:ascii="仿宋_GB2312" w:hAnsi="黑体" w:eastAsia="仿宋_GB2312"/>
          <w:sz w:val="28"/>
          <w:szCs w:val="28"/>
        </w:rPr>
        <w:t>进一步加强对绩效评价工作人员的培训。</w:t>
      </w:r>
    </w:p>
    <w:p>
      <w:pPr>
        <w:spacing w:line="580" w:lineRule="exact"/>
        <w:ind w:firstLine="560" w:firstLineChars="200"/>
        <w:rPr>
          <w:rFonts w:hint="eastAsia" w:ascii="黑体" w:eastAsia="黑体"/>
          <w:sz w:val="28"/>
          <w:szCs w:val="28"/>
        </w:rPr>
      </w:pPr>
      <w:r>
        <w:rPr>
          <w:rFonts w:hint="eastAsia" w:ascii="黑体" w:eastAsia="黑体"/>
          <w:sz w:val="28"/>
          <w:szCs w:val="28"/>
        </w:rPr>
        <w:t>二、项目支出绩效评价报告</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（一）基本情况</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1.项目概况。</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（1）项目背景：参照京财党政群【2018】1992号文件要求，按照每人300元标准拨付。</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（2）主要内容及实施情况：用于知联会、新联会、留联会开展工作和活动。</w:t>
      </w:r>
    </w:p>
    <w:p>
      <w:pPr>
        <w:spacing w:line="580" w:lineRule="exact"/>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（3）资金投入和使用情况：4.5万元，支出4.06万元，支出进度90.22%。</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2.项目绩效目标。</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（1）总体目标：通过开展统战社团工作，将统战系统的同心圆画得更大。</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（2）阶段性目标：按照工作计划，新联会增补、留联会筹备。</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（二）绩效评价工作开展情况</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1.绩效评价目的、对象和范围。</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（1）绩效评价目的：科学预算、专款专用、强化监督、增强绩效</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（2）绩效评价对象和范围：知联会、新联会、留联会会员。</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2.绩效评价原则、评价指标体系（附表说明）、评价方法、评价标准等。</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丰台区财政局《丰台区财政支出绩效评价管理暂行办法》，绩效考评工作组结合本次项目的特点及资金使用的具体情况，经研究讨论，以资金使用结果为导向，设定了本次评价指标体系的内容和权重，重点对项目决策、项目管理、项目绩效进行综合评价。</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3.绩效评价工作过程。</w:t>
      </w:r>
    </w:p>
    <w:p>
      <w:pPr>
        <w:spacing w:line="5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（1）前期准备</w:t>
      </w:r>
    </w:p>
    <w:p>
      <w:pPr>
        <w:spacing w:line="5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（2）组织实施</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（三）综合评价情况及评价结论（附相关评分表）</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2022年该项目金额为4.5万元，实际支出4.06万元，2022年资金执行率较好。</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（四）绩效评价指标分析</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1.项目决策情况：较好。</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2.项目过程情况：听取项目实施科室相关人员对有关情况的介绍，核查资料，查阅财务凭证。</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3.项目产出情况：较好。</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4.项目效益情况：较好。</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（五）主要经验及做法、存在的问题及原因分析</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2022年新冠</w:t>
      </w:r>
      <w:bookmarkStart w:id="0" w:name="_GoBack"/>
      <w:bookmarkEnd w:id="0"/>
      <w:r>
        <w:rPr>
          <w:rFonts w:hint="eastAsia" w:ascii="仿宋_GB2312" w:hAnsi="仿宋_GB2312" w:eastAsia="仿宋_GB2312" w:cs="仿宋_GB2312"/>
          <w:sz w:val="28"/>
          <w:szCs w:val="28"/>
          <w:lang w:eastAsia="zh-CN"/>
        </w:rPr>
        <w:t>疫情暴发</w:t>
      </w:r>
      <w:r>
        <w:rPr>
          <w:rFonts w:hint="eastAsia" w:ascii="仿宋_GB2312" w:hAnsi="仿宋_GB2312" w:eastAsia="仿宋_GB2312" w:cs="仿宋_GB2312"/>
          <w:sz w:val="28"/>
          <w:szCs w:val="28"/>
        </w:rPr>
        <w:t>后，积极组织统战社团成员进行抗击疫情活动，线下培训和会议骤减，故支出费用较少。</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（六）有关建议</w:t>
      </w:r>
    </w:p>
    <w:p>
      <w:pPr>
        <w:spacing w:line="580" w:lineRule="exact"/>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w:t>
      </w:r>
    </w:p>
    <w:p>
      <w:pPr>
        <w:numPr>
          <w:ilvl w:val="0"/>
          <w:numId w:val="3"/>
        </w:num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其他需要说明的问题</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无</w:t>
      </w:r>
    </w:p>
    <w:p>
      <w:pPr>
        <w:spacing w:line="580" w:lineRule="exact"/>
        <w:ind w:firstLine="560" w:firstLineChars="200"/>
        <w:rPr>
          <w:rFonts w:hint="eastAsia"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p>
    <w:tbl>
      <w:tblPr>
        <w:tblStyle w:val="9"/>
        <w:tblW w:w="0" w:type="auto"/>
        <w:tblInd w:w="93" w:type="dxa"/>
        <w:tblLayout w:type="autofit"/>
        <w:tblCellMar>
          <w:top w:w="0" w:type="dxa"/>
          <w:left w:w="108" w:type="dxa"/>
          <w:bottom w:w="0" w:type="dxa"/>
          <w:right w:w="108" w:type="dxa"/>
        </w:tblCellMar>
      </w:tblPr>
      <w:tblGrid>
        <w:gridCol w:w="1428"/>
        <w:gridCol w:w="1227"/>
        <w:gridCol w:w="2038"/>
        <w:gridCol w:w="2034"/>
        <w:gridCol w:w="1232"/>
        <w:gridCol w:w="1618"/>
        <w:gridCol w:w="822"/>
        <w:gridCol w:w="1096"/>
        <w:gridCol w:w="3198"/>
      </w:tblGrid>
      <w:tr>
        <w:trPr>
          <w:trHeight w:val="480" w:hRule="atLeast"/>
        </w:trPr>
        <w:tc>
          <w:tcPr>
            <w:tcW w:w="0" w:type="auto"/>
            <w:gridSpan w:val="9"/>
            <w:tcBorders>
              <w:top w:val="nil"/>
              <w:left w:val="nil"/>
              <w:bottom w:val="nil"/>
              <w:right w:val="nil"/>
            </w:tcBorders>
            <w:vAlign w:val="center"/>
          </w:tcPr>
          <w:p>
            <w:pPr>
              <w:widowControl/>
              <w:ind w:firstLine="6120" w:firstLineChars="1700"/>
              <w:jc w:val="both"/>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375" w:hRule="atLeast"/>
        </w:trPr>
        <w:tc>
          <w:tcPr>
            <w:tcW w:w="0" w:type="auto"/>
            <w:gridSpan w:val="9"/>
            <w:tcBorders>
              <w:top w:val="nil"/>
              <w:left w:val="nil"/>
              <w:bottom w:val="nil"/>
              <w:right w:val="nil"/>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 xml:space="preserve">  （ 2022  年度）</w:t>
            </w:r>
          </w:p>
        </w:tc>
      </w:tr>
      <w:tr>
        <w:tblPrEx>
          <w:tblCellMar>
            <w:top w:w="0" w:type="dxa"/>
            <w:left w:w="108" w:type="dxa"/>
            <w:bottom w:w="0" w:type="dxa"/>
            <w:right w:w="108" w:type="dxa"/>
          </w:tblCellMar>
        </w:tblPrEx>
        <w:trPr>
          <w:trHeight w:val="220" w:hRule="atLeast"/>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项目名称</w:t>
            </w:r>
          </w:p>
        </w:tc>
        <w:tc>
          <w:tcPr>
            <w:tcW w:w="0" w:type="auto"/>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统战社团工作经费</w:t>
            </w:r>
          </w:p>
        </w:tc>
      </w:tr>
      <w:tr>
        <w:tblPrEx>
          <w:tblCellMar>
            <w:top w:w="0" w:type="dxa"/>
            <w:left w:w="108" w:type="dxa"/>
            <w:bottom w:w="0" w:type="dxa"/>
            <w:right w:w="108" w:type="dxa"/>
          </w:tblCellMar>
        </w:tblPrEx>
        <w:trPr>
          <w:trHeight w:val="220" w:hRule="atLeast"/>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主管部门</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区委统战部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实施单位</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新的社会阶层人士工作科</w:t>
            </w:r>
          </w:p>
        </w:tc>
      </w:tr>
      <w:tr>
        <w:tblPrEx>
          <w:tblCellMar>
            <w:top w:w="0" w:type="dxa"/>
            <w:left w:w="108" w:type="dxa"/>
            <w:bottom w:w="0" w:type="dxa"/>
            <w:right w:w="108" w:type="dxa"/>
          </w:tblCellMar>
        </w:tblPrEx>
        <w:trPr>
          <w:trHeight w:val="220" w:hRule="atLeast"/>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项目负责人</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张蕊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联系电话</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83656244</w:t>
            </w:r>
          </w:p>
        </w:tc>
      </w:tr>
      <w:tr>
        <w:tblPrEx>
          <w:tblCellMar>
            <w:top w:w="0" w:type="dxa"/>
            <w:left w:w="108" w:type="dxa"/>
            <w:bottom w:w="0" w:type="dxa"/>
            <w:right w:w="108" w:type="dxa"/>
          </w:tblCellMar>
        </w:tblPrEx>
        <w:trPr>
          <w:trHeight w:val="2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项目资金</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（万元）</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年初预算数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全年预算数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全年执行数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分值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执行率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得分</w:t>
            </w:r>
          </w:p>
        </w:tc>
      </w:tr>
      <w:tr>
        <w:tblPrEx>
          <w:tblCellMar>
            <w:top w:w="0" w:type="dxa"/>
            <w:left w:w="108" w:type="dxa"/>
            <w:bottom w:w="0" w:type="dxa"/>
            <w:right w:w="108" w:type="dxa"/>
          </w:tblCellMar>
        </w:tblPrEx>
        <w:trPr>
          <w:trHeight w:val="2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年度资金总额</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4.5</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4.5</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4.06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90.22</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9.02</w:t>
            </w:r>
          </w:p>
        </w:tc>
      </w:tr>
      <w:tr>
        <w:tblPrEx>
          <w:tblCellMar>
            <w:top w:w="0" w:type="dxa"/>
            <w:left w:w="108" w:type="dxa"/>
            <w:bottom w:w="0" w:type="dxa"/>
            <w:right w:w="108" w:type="dxa"/>
          </w:tblCellMar>
        </w:tblPrEx>
        <w:trPr>
          <w:trHeight w:val="2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其中：当年财政拨款</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r>
      <w:tr>
        <w:tblPrEx>
          <w:tblCellMar>
            <w:top w:w="0" w:type="dxa"/>
            <w:left w:w="108" w:type="dxa"/>
            <w:bottom w:w="0" w:type="dxa"/>
            <w:right w:w="108" w:type="dxa"/>
          </w:tblCellMar>
        </w:tblPrEx>
        <w:trPr>
          <w:trHeight w:val="2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r>
      <w:tr>
        <w:tblPrEx>
          <w:tblCellMar>
            <w:top w:w="0" w:type="dxa"/>
            <w:left w:w="108" w:type="dxa"/>
            <w:bottom w:w="0" w:type="dxa"/>
            <w:right w:w="108" w:type="dxa"/>
          </w:tblCellMar>
        </w:tblPrEx>
        <w:trPr>
          <w:trHeight w:val="2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 xml:space="preserve">  其他资金</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r>
      <w:tr>
        <w:tblPrEx>
          <w:tblCellMar>
            <w:top w:w="0" w:type="dxa"/>
            <w:left w:w="108" w:type="dxa"/>
            <w:bottom w:w="0" w:type="dxa"/>
            <w:right w:w="108" w:type="dxa"/>
          </w:tblCellMar>
        </w:tblPrEx>
        <w:trPr>
          <w:trHeight w:val="220"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预期目标</w:t>
            </w:r>
          </w:p>
        </w:tc>
        <w:tc>
          <w:tcPr>
            <w:tcW w:w="0" w:type="auto"/>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实际完成情况</w:t>
            </w:r>
          </w:p>
        </w:tc>
      </w:tr>
      <w:tr>
        <w:tblPrEx>
          <w:tblCellMar>
            <w:top w:w="0" w:type="dxa"/>
            <w:left w:w="108" w:type="dxa"/>
            <w:bottom w:w="0" w:type="dxa"/>
            <w:right w:w="108" w:type="dxa"/>
          </w:tblCellMar>
        </w:tblPrEx>
        <w:trPr>
          <w:trHeight w:val="89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gridSpan w:val="4"/>
            <w:tcBorders>
              <w:top w:val="single" w:color="000000" w:sz="4" w:space="0"/>
              <w:left w:val="single" w:color="000000" w:sz="4" w:space="0"/>
              <w:bottom w:val="single" w:color="000000" w:sz="4" w:space="0"/>
              <w:right w:val="single" w:color="000000" w:sz="4" w:space="0"/>
            </w:tcBorders>
            <w:vAlign w:val="center"/>
          </w:tcPr>
          <w:p>
            <w:pPr>
              <w:spacing w:line="580" w:lineRule="exact"/>
              <w:ind w:firstLine="420" w:firstLineChars="200"/>
              <w:rPr>
                <w:rFonts w:hint="eastAsia" w:ascii="仿宋_GB2312" w:hAnsi="仿宋_GB2312" w:eastAsia="仿宋_GB2312" w:cs="仿宋_GB2312"/>
                <w:sz w:val="28"/>
                <w:szCs w:val="28"/>
              </w:rPr>
            </w:pPr>
            <w:r>
              <w:rPr>
                <w:rFonts w:hint="eastAsia" w:ascii="仿宋_GB2312" w:hAnsi="宋体" w:eastAsia="仿宋_GB2312" w:cs="仿宋_GB2312"/>
                <w:color w:val="000000"/>
                <w:szCs w:val="21"/>
              </w:rPr>
              <w:t>通过开展统战社团工作，将统战系统的同心圆画得更大。</w:t>
            </w:r>
          </w:p>
          <w:p>
            <w:pPr>
              <w:widowControl/>
              <w:jc w:val="left"/>
              <w:textAlignment w:val="center"/>
              <w:rPr>
                <w:rFonts w:hint="eastAsia" w:ascii="仿宋_GB2312" w:hAnsi="宋体" w:eastAsia="仿宋_GB2312" w:cs="仿宋_GB2312"/>
                <w:color w:val="000000"/>
                <w:szCs w:val="21"/>
              </w:rPr>
            </w:pPr>
          </w:p>
        </w:tc>
        <w:tc>
          <w:tcPr>
            <w:tcW w:w="0" w:type="auto"/>
            <w:gridSpan w:val="4"/>
            <w:tcBorders>
              <w:top w:val="single" w:color="000000" w:sz="4" w:space="0"/>
              <w:left w:val="single" w:color="000000" w:sz="4" w:space="0"/>
              <w:bottom w:val="single" w:color="000000" w:sz="4" w:space="0"/>
              <w:right w:val="single" w:color="000000" w:sz="4" w:space="0"/>
            </w:tcBorders>
          </w:tcPr>
          <w:p>
            <w:pPr>
              <w:spacing w:line="580" w:lineRule="exact"/>
              <w:ind w:firstLine="420" w:firstLineChars="200"/>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通过举办各类活动和发放工作手册，将统战系统的同心圆画得更大。</w:t>
            </w:r>
          </w:p>
        </w:tc>
      </w:tr>
      <w:tr>
        <w:tblPrEx>
          <w:tblCellMar>
            <w:top w:w="0" w:type="dxa"/>
            <w:left w:w="108" w:type="dxa"/>
            <w:bottom w:w="0" w:type="dxa"/>
            <w:right w:w="108" w:type="dxa"/>
          </w:tblCellMar>
        </w:tblPrEx>
        <w:trPr>
          <w:trHeight w:val="324"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绩效指标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三级指标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年度指标值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实际完成值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分值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得分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偏差原因分析及改进措施</w:t>
            </w:r>
          </w:p>
        </w:tc>
      </w:tr>
      <w:tr>
        <w:tblPrEx>
          <w:tblCellMar>
            <w:top w:w="0" w:type="dxa"/>
            <w:left w:w="108" w:type="dxa"/>
            <w:bottom w:w="0" w:type="dxa"/>
            <w:right w:w="108"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产出指标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仿宋_GB2312" w:hAnsi="宋体" w:eastAsia="仿宋_GB2312" w:cs="仿宋_GB2312"/>
                <w:color w:val="000000"/>
                <w:kern w:val="0"/>
                <w:szCs w:val="21"/>
              </w:rPr>
              <w:t>每季度开展一次</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4次</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4次</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30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30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质量指标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推动社团工作</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优良中低差</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优</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时效指标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全年</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好坏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r>
      <w:tr>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社会效益指标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将统战成员团结起来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rPr>
            </w:pPr>
            <w:r>
              <w:rPr>
                <w:rFonts w:hint="eastAsia" w:ascii="宋体" w:hAnsi="宋体" w:cs="宋体"/>
                <w:color w:val="000000"/>
                <w:kern w:val="0"/>
                <w:sz w:val="18"/>
                <w:szCs w:val="18"/>
              </w:rPr>
              <w:t>优良中低差</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好</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可持续影响指标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全年</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好坏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r>
      <w:tr>
        <w:trPr>
          <w:trHeight w:val="71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服务对象满意度指标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全年</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好坏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好</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220" w:hRule="atLeast"/>
        </w:trPr>
        <w:tc>
          <w:tcPr>
            <w:tcW w:w="0" w:type="auto"/>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总分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rPr>
              <w:t>100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bl>
    <w:p>
      <w:pPr>
        <w:pStyle w:val="2"/>
        <w:ind w:firstLine="420"/>
      </w:pP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填报注意事项： </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1.得分一档最高不能超过该指标分值上限。 </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 xml:space="preserve">年度指标值（A））/年度指标值（A）*100%。若计算结果在200%-300%（含200%）区间，则按照该指标分值的10%扣分；计算结果在300%-500%（含300%）区间，则按照该指标分值的20%扣分；计算结果高于500%（含500%），则按照该指标分值的30%扣分。 </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3.请在</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偏差原因分析及改进措施</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 xml:space="preserve">中说明偏离目标、不能完成目标的原因及拟采取的措施。 </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4.90（含）-100分为优、80（含）-90分为良、60（含）-80分为中、60分以下为差。  </w:t>
      </w: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7</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lang w:val="en-US" w:eastAsia="zh-CN"/>
      </w:rPr>
      <w:t>15</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E319C"/>
    <w:multiLevelType w:val="singleLevel"/>
    <w:tmpl w:val="A61E319C"/>
    <w:lvl w:ilvl="0" w:tentative="0">
      <w:start w:val="7"/>
      <w:numFmt w:val="chineseCounting"/>
      <w:suff w:val="nothing"/>
      <w:lvlText w:val="（%1）"/>
      <w:lvlJc w:val="left"/>
      <w:rPr>
        <w:rFonts w:hint="eastAsia"/>
      </w:rPr>
    </w:lvl>
  </w:abstractNum>
  <w:abstractNum w:abstractNumId="1">
    <w:nsid w:val="D7FFB472"/>
    <w:multiLevelType w:val="singleLevel"/>
    <w:tmpl w:val="D7FFB472"/>
    <w:lvl w:ilvl="0" w:tentative="0">
      <w:start w:val="1"/>
      <w:numFmt w:val="chineseCounting"/>
      <w:suff w:val="nothing"/>
      <w:lvlText w:val="%1、"/>
      <w:lvlJc w:val="left"/>
      <w:rPr>
        <w:rFonts w:hint="eastAsia"/>
      </w:rPr>
    </w:lvl>
  </w:abstractNum>
  <w:abstractNum w:abstractNumId="2">
    <w:nsid w:val="3203652F"/>
    <w:multiLevelType w:val="singleLevel"/>
    <w:tmpl w:val="3203652F"/>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d8efda64-5435-4528-83b2-a9d1ed7e25c7"/>
  </w:docVars>
  <w:rsids>
    <w:rsidRoot w:val="00172A27"/>
    <w:rsid w:val="00003B03"/>
    <w:rsid w:val="000040E6"/>
    <w:rsid w:val="00011D72"/>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E0B26"/>
    <w:rsid w:val="000E3291"/>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021F3"/>
    <w:rsid w:val="00611BE4"/>
    <w:rsid w:val="0061219B"/>
    <w:rsid w:val="00621419"/>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49BF"/>
    <w:rsid w:val="00704E79"/>
    <w:rsid w:val="00707A26"/>
    <w:rsid w:val="0071120F"/>
    <w:rsid w:val="00716380"/>
    <w:rsid w:val="00722165"/>
    <w:rsid w:val="00724B1C"/>
    <w:rsid w:val="007428F0"/>
    <w:rsid w:val="007512EF"/>
    <w:rsid w:val="007551AC"/>
    <w:rsid w:val="0076101C"/>
    <w:rsid w:val="00763D87"/>
    <w:rsid w:val="00766A4A"/>
    <w:rsid w:val="007670B2"/>
    <w:rsid w:val="00771795"/>
    <w:rsid w:val="00774925"/>
    <w:rsid w:val="0079279F"/>
    <w:rsid w:val="00793E69"/>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D61292"/>
    <w:rsid w:val="029A4EF2"/>
    <w:rsid w:val="03764359"/>
    <w:rsid w:val="054E09BE"/>
    <w:rsid w:val="05967195"/>
    <w:rsid w:val="06CE27EA"/>
    <w:rsid w:val="08AD6946"/>
    <w:rsid w:val="0A0B79C3"/>
    <w:rsid w:val="0A923284"/>
    <w:rsid w:val="0AA11BF7"/>
    <w:rsid w:val="0AC459AA"/>
    <w:rsid w:val="0AF05BE0"/>
    <w:rsid w:val="0EE45912"/>
    <w:rsid w:val="1015163E"/>
    <w:rsid w:val="10FA6CCD"/>
    <w:rsid w:val="124E024F"/>
    <w:rsid w:val="13491142"/>
    <w:rsid w:val="14355F0E"/>
    <w:rsid w:val="150B75ED"/>
    <w:rsid w:val="170A0BE8"/>
    <w:rsid w:val="171C177C"/>
    <w:rsid w:val="174516BA"/>
    <w:rsid w:val="17AF1790"/>
    <w:rsid w:val="17F81389"/>
    <w:rsid w:val="1A952EBF"/>
    <w:rsid w:val="1ADC7681"/>
    <w:rsid w:val="1B5223B0"/>
    <w:rsid w:val="1B810446"/>
    <w:rsid w:val="1BE35403"/>
    <w:rsid w:val="1C96CAB6"/>
    <w:rsid w:val="1D4E53DE"/>
    <w:rsid w:val="1DF3E524"/>
    <w:rsid w:val="1FBE6A14"/>
    <w:rsid w:val="1FF561AE"/>
    <w:rsid w:val="2171385D"/>
    <w:rsid w:val="21D267A7"/>
    <w:rsid w:val="21DC5877"/>
    <w:rsid w:val="22846CE9"/>
    <w:rsid w:val="24E96F45"/>
    <w:rsid w:val="25C24D84"/>
    <w:rsid w:val="26C16531"/>
    <w:rsid w:val="27564C14"/>
    <w:rsid w:val="278C389C"/>
    <w:rsid w:val="27EF659B"/>
    <w:rsid w:val="2A3D3F9F"/>
    <w:rsid w:val="2A4E3146"/>
    <w:rsid w:val="2C006968"/>
    <w:rsid w:val="2C155C0E"/>
    <w:rsid w:val="2DB322FF"/>
    <w:rsid w:val="30222E89"/>
    <w:rsid w:val="306B04F2"/>
    <w:rsid w:val="31130176"/>
    <w:rsid w:val="32A059BD"/>
    <w:rsid w:val="352E1AEE"/>
    <w:rsid w:val="354C2D22"/>
    <w:rsid w:val="35D45A77"/>
    <w:rsid w:val="361122FF"/>
    <w:rsid w:val="36DB4F6B"/>
    <w:rsid w:val="371F32FC"/>
    <w:rsid w:val="391D6A99"/>
    <w:rsid w:val="39761405"/>
    <w:rsid w:val="3B135A0E"/>
    <w:rsid w:val="3C5B592D"/>
    <w:rsid w:val="3CFFD38A"/>
    <w:rsid w:val="3DB5594D"/>
    <w:rsid w:val="3DF7BC2D"/>
    <w:rsid w:val="3E0F0598"/>
    <w:rsid w:val="3E845054"/>
    <w:rsid w:val="3FFD4E55"/>
    <w:rsid w:val="41DF3E38"/>
    <w:rsid w:val="43E22422"/>
    <w:rsid w:val="43F81C45"/>
    <w:rsid w:val="442962A2"/>
    <w:rsid w:val="45AD6371"/>
    <w:rsid w:val="45B26A53"/>
    <w:rsid w:val="464872F6"/>
    <w:rsid w:val="464E104B"/>
    <w:rsid w:val="47947ED7"/>
    <w:rsid w:val="48C50C7E"/>
    <w:rsid w:val="48EE48B5"/>
    <w:rsid w:val="49DB7AF1"/>
    <w:rsid w:val="4BF21195"/>
    <w:rsid w:val="4C0C2434"/>
    <w:rsid w:val="4C625458"/>
    <w:rsid w:val="4CE278DA"/>
    <w:rsid w:val="4D3A4961"/>
    <w:rsid w:val="4DDA685F"/>
    <w:rsid w:val="4DF30E58"/>
    <w:rsid w:val="4E703C3C"/>
    <w:rsid w:val="50970E75"/>
    <w:rsid w:val="50E84DEF"/>
    <w:rsid w:val="5406215C"/>
    <w:rsid w:val="548819CC"/>
    <w:rsid w:val="55F856ED"/>
    <w:rsid w:val="561641AD"/>
    <w:rsid w:val="56D02B61"/>
    <w:rsid w:val="58831FCD"/>
    <w:rsid w:val="593757BC"/>
    <w:rsid w:val="5A360254"/>
    <w:rsid w:val="5A95283C"/>
    <w:rsid w:val="5B3A080F"/>
    <w:rsid w:val="5B8D1409"/>
    <w:rsid w:val="5C6C452E"/>
    <w:rsid w:val="61494D8A"/>
    <w:rsid w:val="6337086C"/>
    <w:rsid w:val="63E45886"/>
    <w:rsid w:val="666D606B"/>
    <w:rsid w:val="66863091"/>
    <w:rsid w:val="67982C74"/>
    <w:rsid w:val="6A55307A"/>
    <w:rsid w:val="6B225676"/>
    <w:rsid w:val="6BE618F4"/>
    <w:rsid w:val="6C0D7A15"/>
    <w:rsid w:val="6C1545D1"/>
    <w:rsid w:val="6C600AC4"/>
    <w:rsid w:val="6DD51A12"/>
    <w:rsid w:val="6EAE0FCF"/>
    <w:rsid w:val="6EDC0121"/>
    <w:rsid w:val="6F20588B"/>
    <w:rsid w:val="70270861"/>
    <w:rsid w:val="727E3353"/>
    <w:rsid w:val="72DF27B7"/>
    <w:rsid w:val="744C2484"/>
    <w:rsid w:val="76EF6C9B"/>
    <w:rsid w:val="78715547"/>
    <w:rsid w:val="7C381FC1"/>
    <w:rsid w:val="7D08410F"/>
    <w:rsid w:val="7D740759"/>
    <w:rsid w:val="7E877617"/>
    <w:rsid w:val="7ECB1729"/>
    <w:rsid w:val="D8FF64A3"/>
    <w:rsid w:val="E9BB220B"/>
    <w:rsid w:val="EF0F2CF3"/>
    <w:rsid w:val="F7FB4260"/>
    <w:rsid w:val="FAF98CF7"/>
    <w:rsid w:val="FEFF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qFormat/>
    <w:uiPriority w:val="0"/>
  </w:style>
  <w:style w:type="character" w:customStyle="1" w:styleId="13">
    <w:name w:val="页脚 Char"/>
    <w:link w:val="6"/>
    <w:qFormat/>
    <w:uiPriority w:val="0"/>
    <w:rPr>
      <w:rFonts w:eastAsia="宋体"/>
      <w:kern w:val="2"/>
      <w:sz w:val="18"/>
      <w:szCs w:val="18"/>
      <w:lang w:val="en-US" w:eastAsia="zh-CN" w:bidi="ar-SA"/>
    </w:rPr>
  </w:style>
  <w:style w:type="character" w:customStyle="1" w:styleId="14">
    <w:name w:val="页眉 Char"/>
    <w:link w:val="7"/>
    <w:qFormat/>
    <w:uiPriority w:val="0"/>
    <w:rPr>
      <w:rFonts w:ascii="Calibri" w:hAnsi="Calibri" w:eastAsia="宋体"/>
      <w:kern w:val="2"/>
      <w:sz w:val="18"/>
      <w:szCs w:val="18"/>
      <w:lang w:val="en-US" w:eastAsia="zh-CN" w:bidi="ar-SA"/>
    </w:rPr>
  </w:style>
  <w:style w:type="character" w:customStyle="1" w:styleId="15">
    <w:name w:val="font11"/>
    <w:basedOn w:val="10"/>
    <w:qFormat/>
    <w:uiPriority w:val="0"/>
    <w:rPr>
      <w:rFonts w:hint="eastAsia" w:ascii="宋体" w:hAnsi="宋体" w:eastAsia="宋体" w:cs="宋体"/>
      <w:color w:val="000000"/>
      <w:sz w:val="18"/>
      <w:szCs w:val="18"/>
      <w:u w:val="none"/>
    </w:rPr>
  </w:style>
  <w:style w:type="paragraph" w:customStyle="1" w:styleId="16">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17">
    <w:name w:val="Char"/>
    <w:basedOn w:val="1"/>
    <w:qFormat/>
    <w:uiPriority w:val="0"/>
    <w:rPr>
      <w:rFonts w:ascii="Tahoma" w:hAnsi="Tahoma"/>
      <w:sz w:val="24"/>
      <w:szCs w:val="20"/>
    </w:rPr>
  </w:style>
  <w:style w:type="paragraph" w:customStyle="1" w:styleId="18">
    <w:name w:val=" 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财政拨款收入</a:t>
                    </a:r>
                    <a:r>
                      <a:rPr lang="en-US" altLang="zh-CN"/>
                      <a:t>, 1014.8, 99.15%</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a:t>
                    </a:r>
                    <a:r>
                      <a:rPr lang="en-US" altLang="zh-CN"/>
                      <a:t>, 8.72, 0.85%</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Sheet2!$A$2:$A$3</c:f>
              <c:strCache>
                <c:ptCount val="2"/>
                <c:pt idx="0">
                  <c:v>财政拨款收入</c:v>
                </c:pt>
                <c:pt idx="1">
                  <c:v>其他收入</c:v>
                </c:pt>
              </c:strCache>
            </c:strRef>
          </c:cat>
          <c:val>
            <c:numRef>
              <c:f>Sheet2!$B$2:$B$3</c:f>
              <c:numCache>
                <c:formatCode>General</c:formatCode>
                <c:ptCount val="2"/>
                <c:pt idx="0">
                  <c:v>1014.8</c:v>
                </c:pt>
                <c:pt idx="1">
                  <c:v>8.72</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 933.16, </a:t>
                    </a:r>
                    <a:r>
                      <a:rPr lang="en-US" altLang="zh-CN" baseline="0"/>
                      <a:t> </a:t>
                    </a:r>
                    <a:r>
                      <a:rPr lang="zh-CN" altLang="en-US" sz="1000" b="0" i="0" u="none" strike="noStrike" baseline="0"/>
                      <a:t> </a:t>
                    </a:r>
                    <a:r>
                      <a:rPr lang="en-US" altLang="zh-CN"/>
                      <a:t>85.65%</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 156.32, 14.35%</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Sheet2!$A$22:$A$23</c:f>
              <c:strCache>
                <c:ptCount val="2"/>
                <c:pt idx="0">
                  <c:v>基本支出</c:v>
                </c:pt>
                <c:pt idx="1">
                  <c:v>项目支出</c:v>
                </c:pt>
              </c:strCache>
            </c:strRef>
          </c:cat>
          <c:val>
            <c:numRef>
              <c:f>Sheet2!$B$22:$B$23</c:f>
              <c:numCache>
                <c:formatCode>General</c:formatCode>
                <c:ptCount val="2"/>
                <c:pt idx="0">
                  <c:v>933.16</c:v>
                </c:pt>
                <c:pt idx="1">
                  <c:v>156.32</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7890</Words>
  <Characters>8598</Characters>
  <Lines>63</Lines>
  <Paragraphs>17</Paragraphs>
  <TotalTime>33</TotalTime>
  <ScaleCrop>false</ScaleCrop>
  <LinksUpToDate>false</LinksUpToDate>
  <CharactersWithSpaces>8681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2023-07-13T04:08:00Z</dcterms:created>
  <dc:creator>Administrator</dc:creator>
  <cp:lastModifiedBy>血月舞殇</cp:lastModifiedBy>
  <cp:lastPrinted>2023-07-04T14:05:00Z</cp:lastPrinted>
  <dcterms:modified xsi:type="dcterms:W3CDTF">2024-10-29T01:57:12Z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F9D6C7AA7514415D8E0B22E8085FEAF0_13</vt:lpwstr>
  </property>
</Properties>
</file>