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北京市丰台区人民政府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行政复议决定书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丰政复字〔2023〕231号</w:t>
      </w:r>
    </w:p>
    <w:p>
      <w:pPr>
        <w:spacing w:line="560" w:lineRule="exact"/>
        <w:ind w:firstLine="640"/>
        <w:rPr>
          <w:rFonts w:ascii="仿宋_GB2312" w:eastAsia="仿宋_GB2312"/>
          <w:sz w:val="32"/>
          <w:szCs w:val="32"/>
        </w:rPr>
      </w:pPr>
      <w:r>
        <w:rPr>
          <w:rFonts w:hint="eastAsia" w:ascii="仿宋_GB2312" w:eastAsia="仿宋_GB2312"/>
          <w:sz w:val="32"/>
          <w:szCs w:val="32"/>
        </w:rPr>
        <w:t>申请人：张</w:t>
      </w:r>
      <w:r>
        <w:rPr>
          <w:rFonts w:hint="eastAsia" w:ascii="仿宋_GB2312" w:eastAsia="仿宋_GB2312"/>
          <w:sz w:val="32"/>
          <w:szCs w:val="32"/>
          <w:lang w:eastAsia="zh-CN"/>
        </w:rPr>
        <w:t>某</w:t>
      </w:r>
      <w:r>
        <w:rPr>
          <w:rFonts w:hint="eastAsia" w:ascii="仿宋_GB2312" w:eastAsia="仿宋_GB2312"/>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rPr>
        <w:t>被申请人：北京市公安局公安交通管理局丰台交通支队丰北大队，住所地北京市丰台区泥洼路3号。</w:t>
      </w: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r>
        <w:rPr>
          <w:rFonts w:hint="eastAsia" w:ascii="仿宋_GB2312" w:eastAsia="仿宋_GB2312"/>
          <w:sz w:val="32"/>
          <w:szCs w:val="32"/>
        </w:rPr>
        <w:t>申请人不服被申请人于2023年3月20日作出的“编号：1106021829032000”《公安交通管理简易程序处罚决定书》（以下简称《决定书》），于2023年3月29日向本机关申请行政复议，本机关依法予以受理，现已审理终结。</w:t>
      </w:r>
    </w:p>
    <w:p>
      <w:pPr>
        <w:spacing w:line="560" w:lineRule="exact"/>
        <w:ind w:firstLine="640"/>
        <w:rPr>
          <w:rFonts w:ascii="仿宋_GB2312" w:eastAsia="仿宋_GB2312"/>
          <w:sz w:val="32"/>
          <w:szCs w:val="32"/>
        </w:rPr>
      </w:pPr>
      <w:r>
        <w:rPr>
          <w:rFonts w:hint="eastAsia" w:ascii="仿宋_GB2312" w:eastAsia="仿宋_GB2312"/>
          <w:sz w:val="32"/>
          <w:szCs w:val="32"/>
        </w:rPr>
        <w:t>申请人请求：撤销被申请人作出的《决定书》。</w:t>
      </w:r>
    </w:p>
    <w:p>
      <w:pPr>
        <w:spacing w:line="560" w:lineRule="exact"/>
        <w:ind w:firstLine="640"/>
        <w:rPr>
          <w:rFonts w:ascii="仿宋_GB2312" w:eastAsia="仿宋_GB2312"/>
          <w:sz w:val="32"/>
          <w:szCs w:val="32"/>
        </w:rPr>
      </w:pPr>
      <w:r>
        <w:rPr>
          <w:rFonts w:hint="eastAsia" w:ascii="仿宋_GB2312" w:eastAsia="仿宋_GB2312"/>
          <w:sz w:val="32"/>
          <w:szCs w:val="32"/>
        </w:rPr>
        <w:t>申请人称：</w:t>
      </w:r>
    </w:p>
    <w:p>
      <w:pPr>
        <w:spacing w:line="560" w:lineRule="exact"/>
        <w:ind w:firstLine="640"/>
        <w:rPr>
          <w:rFonts w:ascii="仿宋_GB2312" w:eastAsia="仿宋_GB2312"/>
          <w:sz w:val="32"/>
          <w:szCs w:val="32"/>
        </w:rPr>
      </w:pPr>
      <w:r>
        <w:rPr>
          <w:rFonts w:hint="eastAsia" w:ascii="仿宋_GB2312" w:eastAsia="仿宋_GB2312"/>
          <w:sz w:val="32"/>
          <w:szCs w:val="32"/>
        </w:rPr>
        <w:t>车没有影响交通，再说又是断头路，没有禁停标志。</w:t>
      </w:r>
    </w:p>
    <w:p>
      <w:pPr>
        <w:spacing w:line="560" w:lineRule="exact"/>
        <w:ind w:firstLine="640"/>
        <w:rPr>
          <w:rFonts w:ascii="仿宋_GB2312" w:eastAsia="仿宋_GB2312"/>
          <w:sz w:val="32"/>
          <w:szCs w:val="32"/>
        </w:rPr>
      </w:pPr>
      <w:r>
        <w:rPr>
          <w:rFonts w:hint="eastAsia" w:ascii="仿宋_GB2312" w:eastAsia="仿宋_GB2312"/>
          <w:sz w:val="32"/>
          <w:szCs w:val="32"/>
        </w:rPr>
        <w:t>被申请人称：</w:t>
      </w:r>
    </w:p>
    <w:p>
      <w:pPr>
        <w:spacing w:line="560" w:lineRule="exact"/>
        <w:ind w:firstLine="640"/>
        <w:rPr>
          <w:rFonts w:ascii="仿宋_GB2312" w:eastAsia="仿宋_GB2312"/>
          <w:sz w:val="32"/>
          <w:szCs w:val="32"/>
        </w:rPr>
      </w:pPr>
      <w:r>
        <w:rPr>
          <w:rFonts w:ascii="仿宋_GB2312" w:eastAsia="仿宋_GB2312"/>
          <w:sz w:val="32"/>
          <w:szCs w:val="32"/>
        </w:rPr>
        <w:t>2023年03月15日08时59分在长兴路二七厂路口至长兴路北口段处，当事人张</w:t>
      </w:r>
      <w:r>
        <w:rPr>
          <w:rFonts w:hint="eastAsia" w:ascii="仿宋_GB2312" w:eastAsia="仿宋_GB2312"/>
          <w:sz w:val="32"/>
          <w:szCs w:val="32"/>
          <w:lang w:eastAsia="zh-CN"/>
        </w:rPr>
        <w:t>某</w:t>
      </w:r>
      <w:r>
        <w:rPr>
          <w:rFonts w:ascii="仿宋_GB2312" w:eastAsia="仿宋_GB2312"/>
          <w:sz w:val="32"/>
          <w:szCs w:val="32"/>
        </w:rPr>
        <w:t>驾驶豫</w:t>
      </w:r>
      <w:r>
        <w:rPr>
          <w:rFonts w:hint="eastAsia" w:ascii="仿宋_GB2312" w:eastAsia="仿宋_GB2312"/>
          <w:sz w:val="32"/>
          <w:szCs w:val="32"/>
          <w:lang w:val="en-US" w:eastAsia="zh-CN"/>
        </w:rPr>
        <w:t>xx</w:t>
      </w:r>
      <w:r>
        <w:rPr>
          <w:rFonts w:ascii="仿宋_GB2312" w:eastAsia="仿宋_GB2312"/>
          <w:sz w:val="32"/>
          <w:szCs w:val="32"/>
        </w:rPr>
        <w:t>号小型汽车，实施“机动车违反规定停放、临时停车，驾驶人不在现场或者虽在现场但驾驶人拒绝立即驶离，妨碍其它车辆、行人通行”的违法行为，其行为违反了《中华人民共和国道路交通安全法实施条例》第六十三条的规定。依据《中华人民共和国道路交通安全法》第一百一十四条、第九十三条第二款的规定，决定给予贰佰元的罚款。《决定书》认定事实清楚、证据确凿，适用法律正确，程序合法。</w:t>
      </w:r>
    </w:p>
    <w:p>
      <w:pPr>
        <w:spacing w:line="560" w:lineRule="exact"/>
        <w:ind w:firstLine="640"/>
        <w:rPr>
          <w:rFonts w:ascii="仿宋_GB2312" w:eastAsia="仿宋_GB2312"/>
          <w:sz w:val="32"/>
          <w:szCs w:val="32"/>
        </w:rPr>
      </w:pPr>
      <w:r>
        <w:rPr>
          <w:rFonts w:hint="eastAsia" w:ascii="仿宋_GB2312" w:eastAsia="仿宋_GB2312"/>
          <w:sz w:val="32"/>
          <w:szCs w:val="32"/>
        </w:rPr>
        <w:t>经审理查明：</w:t>
      </w:r>
    </w:p>
    <w:p>
      <w:pPr>
        <w:spacing w:line="560" w:lineRule="exact"/>
        <w:ind w:firstLine="640"/>
        <w:rPr>
          <w:rFonts w:ascii="仿宋_GB2312" w:eastAsia="仿宋_GB2312"/>
          <w:sz w:val="32"/>
          <w:szCs w:val="32"/>
        </w:rPr>
      </w:pPr>
      <w:r>
        <w:rPr>
          <w:rFonts w:ascii="仿宋_GB2312" w:eastAsia="仿宋_GB2312"/>
          <w:sz w:val="32"/>
          <w:szCs w:val="32"/>
        </w:rPr>
        <w:t>2023年3月15日在长兴路二七厂路口至长兴路北口段处，申请人驾驶豫</w:t>
      </w:r>
      <w:r>
        <w:rPr>
          <w:rFonts w:hint="eastAsia" w:ascii="仿宋_GB2312" w:eastAsia="仿宋_GB2312"/>
          <w:sz w:val="32"/>
          <w:szCs w:val="32"/>
          <w:lang w:val="en-US" w:eastAsia="zh-CN"/>
        </w:rPr>
        <w:t>xx</w:t>
      </w:r>
      <w:r>
        <w:rPr>
          <w:rFonts w:ascii="仿宋_GB2312" w:eastAsia="仿宋_GB2312"/>
          <w:sz w:val="32"/>
          <w:szCs w:val="32"/>
        </w:rPr>
        <w:t>号小型轿车，实</w:t>
      </w:r>
      <w:r>
        <w:rPr>
          <w:rFonts w:hint="eastAsia" w:ascii="仿宋_GB2312" w:eastAsia="仿宋_GB2312"/>
          <w:sz w:val="32"/>
          <w:szCs w:val="32"/>
        </w:rPr>
        <w:t>施“机动车违反规定停放、临时停车，驾驶人不在现场或者虽在现场但驾驶人拒绝立即驶离，妨碍其他车辆、行人通行”的违法行为。2023年3月20日，被申请人作出《决定书》，认定申</w:t>
      </w:r>
      <w:r>
        <w:rPr>
          <w:rFonts w:ascii="仿宋_GB2312" w:eastAsia="仿宋_GB2312"/>
          <w:sz w:val="32"/>
          <w:szCs w:val="32"/>
        </w:rPr>
        <w:t>请人行为违反《中华人民共和国道路交通安全法实施条例》第六十三条的规定。依据《中华人民共和国道路交通安全法》第一百一十四条、第九十三条第二款的规定，决定对申请人处以200元罚款。</w:t>
      </w:r>
    </w:p>
    <w:p>
      <w:pPr>
        <w:spacing w:line="560" w:lineRule="exact"/>
        <w:ind w:firstLine="640"/>
        <w:rPr>
          <w:rFonts w:ascii="仿宋_GB2312" w:eastAsia="仿宋_GB2312"/>
          <w:sz w:val="32"/>
          <w:szCs w:val="32"/>
        </w:rPr>
      </w:pPr>
      <w:r>
        <w:rPr>
          <w:rFonts w:hint="eastAsia" w:ascii="仿宋_GB2312" w:eastAsia="仿宋_GB2312"/>
          <w:sz w:val="32"/>
          <w:szCs w:val="32"/>
        </w:rPr>
        <w:t>上述事实有下列证据予以证明：</w:t>
      </w:r>
    </w:p>
    <w:p>
      <w:pPr>
        <w:spacing w:line="560" w:lineRule="exact"/>
        <w:ind w:firstLine="640"/>
        <w:rPr>
          <w:rFonts w:ascii="仿宋_GB2312" w:eastAsia="仿宋_GB2312"/>
          <w:sz w:val="32"/>
          <w:szCs w:val="32"/>
        </w:rPr>
      </w:pPr>
      <w:r>
        <w:rPr>
          <w:rFonts w:hint="eastAsia" w:ascii="仿宋_GB2312" w:eastAsia="仿宋_GB2312"/>
          <w:sz w:val="32"/>
          <w:szCs w:val="32"/>
        </w:rPr>
        <w:t>1、《行政复议申请书》等相关材料；</w:t>
      </w:r>
    </w:p>
    <w:p>
      <w:pPr>
        <w:spacing w:line="560" w:lineRule="exact"/>
        <w:ind w:firstLine="640"/>
        <w:rPr>
          <w:rFonts w:ascii="仿宋_GB2312" w:eastAsia="仿宋_GB2312"/>
          <w:sz w:val="32"/>
          <w:szCs w:val="32"/>
        </w:rPr>
      </w:pPr>
      <w:r>
        <w:rPr>
          <w:rFonts w:hint="eastAsia" w:ascii="仿宋_GB2312" w:eastAsia="仿宋_GB2312"/>
          <w:sz w:val="32"/>
          <w:szCs w:val="32"/>
        </w:rPr>
        <w:t>2、《行政复议答复书》等相关材料；</w:t>
      </w:r>
    </w:p>
    <w:p>
      <w:pPr>
        <w:spacing w:line="560" w:lineRule="exact"/>
        <w:ind w:firstLine="640"/>
        <w:rPr>
          <w:rFonts w:ascii="仿宋_GB2312" w:eastAsia="仿宋_GB2312"/>
          <w:sz w:val="32"/>
          <w:szCs w:val="32"/>
        </w:rPr>
      </w:pPr>
      <w:r>
        <w:rPr>
          <w:rFonts w:hint="eastAsia" w:ascii="仿宋_GB2312" w:eastAsia="仿宋_GB2312"/>
          <w:sz w:val="32"/>
          <w:szCs w:val="32"/>
        </w:rPr>
        <w:t>3、“编号：1106021829032000”《公安交通管理简易程序处罚决定书》；</w:t>
      </w:r>
    </w:p>
    <w:p>
      <w:pPr>
        <w:spacing w:line="560" w:lineRule="exact"/>
        <w:ind w:firstLine="640"/>
        <w:rPr>
          <w:rFonts w:ascii="仿宋_GB2312" w:eastAsia="仿宋_GB2312"/>
          <w:sz w:val="32"/>
          <w:szCs w:val="32"/>
        </w:rPr>
      </w:pPr>
      <w:r>
        <w:rPr>
          <w:rFonts w:hint="eastAsia" w:ascii="仿宋_GB2312" w:eastAsia="仿宋_GB2312"/>
          <w:sz w:val="32"/>
          <w:szCs w:val="32"/>
        </w:rPr>
        <w:t>4、交通技术监控记录资料等证明材料。</w:t>
      </w:r>
    </w:p>
    <w:p>
      <w:pPr>
        <w:spacing w:line="560" w:lineRule="exact"/>
        <w:ind w:firstLine="640"/>
        <w:rPr>
          <w:rFonts w:ascii="仿宋_GB2312" w:eastAsia="仿宋_GB2312"/>
          <w:sz w:val="32"/>
          <w:szCs w:val="32"/>
        </w:rPr>
      </w:pPr>
      <w:r>
        <w:rPr>
          <w:rFonts w:hint="eastAsia" w:ascii="仿宋_GB2312" w:eastAsia="仿宋_GB2312"/>
          <w:sz w:val="32"/>
          <w:szCs w:val="32"/>
        </w:rPr>
        <w:t>本机关认为：</w:t>
      </w:r>
    </w:p>
    <w:p>
      <w:pPr>
        <w:spacing w:line="560" w:lineRule="exact"/>
        <w:ind w:firstLine="640"/>
        <w:rPr>
          <w:rFonts w:ascii="仿宋_GB2312" w:eastAsia="仿宋_GB2312"/>
          <w:sz w:val="32"/>
          <w:szCs w:val="32"/>
        </w:rPr>
      </w:pPr>
      <w:r>
        <w:rPr>
          <w:rFonts w:hint="eastAsia" w:ascii="仿宋_GB2312" w:eastAsia="仿宋_GB2312"/>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法行为作出处理的法定职权。本案中，被申请人具有对本案涉及的交通违法行为依法作出处理的管辖权。</w:t>
      </w:r>
    </w:p>
    <w:p>
      <w:pPr>
        <w:spacing w:line="560" w:lineRule="exact"/>
        <w:ind w:firstLine="640"/>
        <w:rPr>
          <w:rFonts w:ascii="仿宋_GB2312" w:eastAsia="仿宋_GB2312"/>
          <w:sz w:val="32"/>
          <w:szCs w:val="32"/>
        </w:rPr>
      </w:pPr>
      <w:r>
        <w:rPr>
          <w:rFonts w:hint="eastAsia" w:ascii="仿宋_GB2312" w:eastAsia="仿宋_GB2312"/>
          <w:sz w:val="32"/>
          <w:szCs w:val="32"/>
        </w:rPr>
        <w:t>《中华人民共和国道路交通安全法》第九十三条第二款规定，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六十三条规定，机动车在道路上临时停车，应当遵守下列规定：（一）在设有禁停标志、标线的路段，在机动车道与非机动车道、人行道之间设有隔离设施的路段以及人行横道、施工地段，不得停车；（二）交叉路口、铁路道口、急弯路、宽度不足4米的窄路、桥梁、陡坡、隧道以及距离上述地点50米以内的路段，不得停车；（三）公共汽车站、急救站、加油站、消防栓或者消防队（站）门前以及距离上述地点30米以内的路段，除使用上述设施的以外，不得停车；（四）车辆停稳前不得开车门和上下人员，开关车门不得妨碍其他车辆和行人通行；（五）路边停车应当紧靠道路右侧，机动车驾驶人不得离车，上下人员或者装卸物品后，立即驶离；（六）城市公共汽车不得在站点以外的路段停车上下乘客。</w:t>
      </w:r>
    </w:p>
    <w:p>
      <w:pPr>
        <w:spacing w:line="560" w:lineRule="exact"/>
        <w:ind w:firstLine="640"/>
        <w:rPr>
          <w:rFonts w:ascii="仿宋_GB2312" w:eastAsia="仿宋_GB2312"/>
          <w:sz w:val="32"/>
          <w:szCs w:val="32"/>
        </w:rPr>
      </w:pPr>
      <w:r>
        <w:rPr>
          <w:rFonts w:ascii="仿宋_GB2312" w:eastAsia="仿宋_GB2312"/>
          <w:sz w:val="32"/>
          <w:szCs w:val="32"/>
        </w:rPr>
        <w:t>本案中，被申请</w:t>
      </w:r>
      <w:r>
        <w:rPr>
          <w:rFonts w:hint="eastAsia" w:ascii="仿宋_GB2312" w:eastAsia="仿宋_GB2312"/>
          <w:sz w:val="32"/>
          <w:szCs w:val="32"/>
        </w:rPr>
        <w:t>人认定申请人实施“机动车违反规定停放、临时停车，驾驶人不在现场或者虽在现场但驾驶人拒绝立即驶离，妨碍其他车辆、行人通行”的</w:t>
      </w:r>
      <w:r>
        <w:rPr>
          <w:rFonts w:ascii="仿宋_GB2312" w:eastAsia="仿宋_GB2312"/>
          <w:sz w:val="32"/>
          <w:szCs w:val="32"/>
        </w:rPr>
        <w:t>违法行为，该事实认定清楚，证据确凿充分。被申请人根据上述规定对申请人作出《决定书》，并无不当。</w:t>
      </w:r>
    </w:p>
    <w:p>
      <w:pPr>
        <w:spacing w:line="560" w:lineRule="exact"/>
        <w:ind w:firstLine="640"/>
        <w:rPr>
          <w:rFonts w:ascii="仿宋_GB2312" w:eastAsia="仿宋_GB2312"/>
          <w:sz w:val="32"/>
          <w:szCs w:val="32"/>
        </w:rPr>
      </w:pPr>
      <w:r>
        <w:rPr>
          <w:rFonts w:hint="eastAsia" w:ascii="仿宋_GB2312" w:eastAsia="仿宋_GB2312"/>
          <w:sz w:val="32"/>
          <w:szCs w:val="32"/>
        </w:rPr>
        <w:t>被申请人适用简易程序处理，履行了告知、听取陈述和申辩、送达等程序，符合《道路交通安全违法行为处理程序规定》的规定，程序合法。</w:t>
      </w:r>
    </w:p>
    <w:p>
      <w:pPr>
        <w:spacing w:line="560" w:lineRule="exact"/>
        <w:ind w:firstLine="640"/>
        <w:rPr>
          <w:rFonts w:ascii="仿宋_GB2312" w:eastAsia="仿宋_GB2312"/>
          <w:sz w:val="32"/>
          <w:szCs w:val="32"/>
        </w:rPr>
      </w:pPr>
      <w:r>
        <w:rPr>
          <w:rFonts w:hint="eastAsia" w:ascii="仿宋_GB2312" w:eastAsia="仿宋_GB2312"/>
          <w:sz w:val="32"/>
          <w:szCs w:val="32"/>
        </w:rPr>
        <w:t>综上，根据《中华人民共和国行政复议法》第二十八条第一款第（一）项的规定，本机关决定如下：</w:t>
      </w:r>
    </w:p>
    <w:p>
      <w:pPr>
        <w:spacing w:line="560" w:lineRule="exact"/>
        <w:ind w:firstLine="640"/>
        <w:rPr>
          <w:rFonts w:ascii="仿宋_GB2312" w:eastAsia="仿宋_GB2312"/>
          <w:sz w:val="32"/>
          <w:szCs w:val="32"/>
        </w:rPr>
      </w:pPr>
      <w:r>
        <w:rPr>
          <w:rFonts w:hint="eastAsia" w:ascii="仿宋_GB2312" w:eastAsia="仿宋_GB2312"/>
          <w:sz w:val="32"/>
          <w:szCs w:val="32"/>
        </w:rPr>
        <w:t>维持被申请人于2023年3月20日作出的“编号：1106021829032000”《公安交通管理简易程序处罚决定书》。</w:t>
      </w:r>
    </w:p>
    <w:p>
      <w:pPr>
        <w:spacing w:line="560" w:lineRule="exact"/>
        <w:ind w:firstLine="640"/>
        <w:rPr>
          <w:rFonts w:ascii="仿宋_GB2312" w:eastAsia="仿宋_GB2312"/>
          <w:sz w:val="32"/>
          <w:szCs w:val="32"/>
        </w:rPr>
      </w:pPr>
      <w:r>
        <w:rPr>
          <w:rFonts w:hint="eastAsia" w:ascii="仿宋_GB2312" w:eastAsia="仿宋_GB2312"/>
          <w:sz w:val="32"/>
          <w:szCs w:val="32"/>
        </w:rPr>
        <w:t>申请人如对本决定不服，可以自收到本决定书之日起15日内依法向北京市丰台区人民法院提起行政诉讼。</w:t>
      </w:r>
    </w:p>
    <w:p>
      <w:pPr>
        <w:spacing w:line="560" w:lineRule="exact"/>
        <w:rPr>
          <w:rFonts w:ascii="仿宋_GB2312" w:eastAsia="仿宋_GB2312"/>
          <w:sz w:val="32"/>
          <w:szCs w:val="32"/>
        </w:rPr>
      </w:pPr>
      <w:bookmarkStart w:id="0" w:name="_GoBack"/>
      <w:bookmarkEnd w:id="0"/>
    </w:p>
    <w:p>
      <w:pPr>
        <w:spacing w:line="560" w:lineRule="exact"/>
        <w:ind w:firstLine="640"/>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二〇二三</w:t>
      </w:r>
      <w:r>
        <w:rPr>
          <w:rFonts w:hint="eastAsia" w:ascii="仿宋_GB2312" w:hAnsi="仿宋_GB2312" w:eastAsia="仿宋_GB2312" w:cs="仿宋_GB2312"/>
          <w:sz w:val="32"/>
          <w:szCs w:val="32"/>
        </w:rPr>
        <w:t>年五月十五日</w:t>
      </w: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C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unhideWhenUsed/>
    <w:qFormat/>
    <w:uiPriority w:val="99"/>
    <w:pPr>
      <w:tabs>
        <w:tab w:val="center" w:pos="4153"/>
        <w:tab w:val="right" w:pos="8306"/>
      </w:tabs>
      <w:jc w:val="left"/>
    </w:pPr>
    <w:rPr>
      <w:sz w:val="18"/>
      <w:szCs w:val="18"/>
    </w:rPr>
  </w:style>
  <w:style w:type="paragraph" w:styleId="18">
    <w:name w:val="header"/>
    <w:basedOn w:val="1"/>
    <w:unhideWhenUsed/>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Arial" w:hAnsi="Arial" w:eastAsia="Arial" w:cs="Arial"/>
      <w:sz w:val="40"/>
      <w:szCs w:val="40"/>
    </w:rPr>
  </w:style>
  <w:style w:type="character" w:customStyle="1" w:styleId="35">
    <w:name w:val="Heading 2 Char"/>
    <w:basedOn w:val="30"/>
    <w:link w:val="3"/>
    <w:qFormat/>
    <w:uiPriority w:val="9"/>
    <w:rPr>
      <w:rFonts w:ascii="Arial" w:hAnsi="Arial" w:eastAsia="Arial" w:cs="Arial"/>
      <w:sz w:val="34"/>
    </w:rPr>
  </w:style>
  <w:style w:type="character" w:customStyle="1" w:styleId="36">
    <w:name w:val="Heading 3 Char"/>
    <w:basedOn w:val="30"/>
    <w:link w:val="4"/>
    <w:qFormat/>
    <w:uiPriority w:val="9"/>
    <w:rPr>
      <w:rFonts w:ascii="Arial" w:hAnsi="Arial" w:eastAsia="Arial" w:cs="Arial"/>
      <w:sz w:val="30"/>
      <w:szCs w:val="30"/>
    </w:rPr>
  </w:style>
  <w:style w:type="character" w:customStyle="1" w:styleId="37">
    <w:name w:val="Heading 4 Char"/>
    <w:basedOn w:val="30"/>
    <w:link w:val="5"/>
    <w:qFormat/>
    <w:uiPriority w:val="9"/>
    <w:rPr>
      <w:rFonts w:ascii="Arial" w:hAnsi="Arial" w:eastAsia="Arial" w:cs="Arial"/>
      <w:b/>
      <w:bCs/>
      <w:sz w:val="26"/>
      <w:szCs w:val="26"/>
    </w:rPr>
  </w:style>
  <w:style w:type="character" w:customStyle="1" w:styleId="38">
    <w:name w:val="Heading 5 Char"/>
    <w:basedOn w:val="30"/>
    <w:link w:val="6"/>
    <w:qFormat/>
    <w:uiPriority w:val="9"/>
    <w:rPr>
      <w:rFonts w:ascii="Arial" w:hAnsi="Arial" w:eastAsia="Arial" w:cs="Arial"/>
      <w:b/>
      <w:bCs/>
      <w:sz w:val="24"/>
      <w:szCs w:val="24"/>
    </w:rPr>
  </w:style>
  <w:style w:type="character" w:customStyle="1" w:styleId="39">
    <w:name w:val="Heading 6 Char"/>
    <w:basedOn w:val="30"/>
    <w:link w:val="7"/>
    <w:qFormat/>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qFormat/>
    <w:uiPriority w:val="9"/>
    <w:rPr>
      <w:rFonts w:ascii="Arial" w:hAnsi="Arial" w:eastAsia="Arial" w:cs="Arial"/>
      <w:i/>
      <w:iCs/>
      <w:sz w:val="22"/>
      <w:szCs w:val="22"/>
    </w:rPr>
  </w:style>
  <w:style w:type="character" w:customStyle="1" w:styleId="42">
    <w:name w:val="Heading 9 Char"/>
    <w:basedOn w:val="30"/>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qFormat/>
    <w:uiPriority w:val="99"/>
  </w:style>
  <w:style w:type="character" w:customStyle="1" w:styleId="52">
    <w:name w:val="Footer Char"/>
    <w:basedOn w:val="30"/>
    <w:qFormat/>
    <w:uiPriority w:val="99"/>
  </w:style>
  <w:style w:type="character" w:customStyle="1" w:styleId="53">
    <w:name w:val="Caption Char"/>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28"/>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28"/>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2">
    <w:name w:val="Grid Table 2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3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28"/>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4 - Accent 5"/>
    <w:basedOn w:val="28"/>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8"/>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8"/>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8"/>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8"/>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9">
    <w:name w:val="List Table 1 Light"/>
    <w:basedOn w:val="28"/>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28"/>
    <w:uiPriority w:val="99"/>
    <w:pPr>
      <w:spacing w:after="0" w:line="240" w:lineRule="auto"/>
    </w:pP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1">
    <w:name w:val="List Table 1 Light - Accent 2"/>
    <w:basedOn w:val="28"/>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2">
    <w:name w:val="List Table 1 Light - Accent 3"/>
    <w:basedOn w:val="28"/>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3">
    <w:name w:val="List Table 1 Light - Accent 4"/>
    <w:basedOn w:val="28"/>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4">
    <w:name w:val="List Table 1 Light - Accent 5"/>
    <w:basedOn w:val="28"/>
    <w:uiPriority w:val="99"/>
    <w:pPr>
      <w:spacing w:after="0" w:line="240" w:lineRule="auto"/>
    </w:pP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5">
    <w:name w:val="List Table 1 Light - Accent 6"/>
    <w:basedOn w:val="28"/>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28"/>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1">
    <w:name w:val="List Table 2 - Accent 5"/>
    <w:basedOn w:val="28"/>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8"/>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28"/>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5">
    <w:name w:val="List Table 4 - Accent 5"/>
    <w:basedOn w:val="28"/>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28"/>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2">
    <w:name w:val="List Table 5 Dark - Accent 5"/>
    <w:basedOn w:val="28"/>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8"/>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8"/>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8"/>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8"/>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28"/>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Bordered &amp; Lined - Accent 5"/>
    <w:basedOn w:val="28"/>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sz w:val="21"/>
      <w:szCs w:val="22"/>
    </w:rPr>
  </w:style>
  <w:style w:type="character" w:customStyle="1" w:styleId="182">
    <w:name w:val="页眉 字符"/>
    <w:basedOn w:val="30"/>
    <w:uiPriority w:val="99"/>
    <w:rPr>
      <w:sz w:val="18"/>
      <w:szCs w:val="18"/>
    </w:rPr>
  </w:style>
  <w:style w:type="character" w:customStyle="1" w:styleId="183">
    <w:name w:val="页脚 字符"/>
    <w:basedOn w:val="30"/>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7</cp:revision>
  <dcterms:created xsi:type="dcterms:W3CDTF">2023-01-18T02:17:00Z</dcterms:created>
  <dcterms:modified xsi:type="dcterms:W3CDTF">2023-01-18T06:24:00Z</dcterms:modified>
</cp:coreProperties>
</file>

<file path=customXml/item3.xml><?xml version="1.0" encoding="utf-8"?>
<Properties xmlns="http://schemas.openxmlformats.org/officeDocument/2006/extended-properties" xmlns:vt="http://schemas.openxmlformats.org/officeDocument/2006/docPropsVTypes">
  <Template>Normal.dotm</Template>
  <TotalTime>130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customXml/itemProps1.xml><?xml version="1.0" encoding="utf-8"?>
<ds:datastoreItem xmlns:ds="http://schemas.openxmlformats.org/officeDocument/2006/customXml" ds:itemID="{F9153C78-5310-4E8B-B8A7-EE448E4D56E8}">
  <ds:schemaRefs/>
</ds:datastoreItem>
</file>

<file path=customXml/itemProps2.xml><?xml version="1.0" encoding="utf-8"?>
<ds:datastoreItem xmlns:ds="http://schemas.openxmlformats.org/officeDocument/2006/customXml" ds:itemID="{8509FA92-346B-48BA-9345-80E19536A1E1}">
  <ds:schemaRefs/>
</ds:datastoreItem>
</file>

<file path=customXml/itemProps3.xml><?xml version="1.0" encoding="utf-8"?>
<ds:datastoreItem xmlns:ds="http://schemas.openxmlformats.org/officeDocument/2006/customXml" ds:itemID="{2CC66822-0ABE-49B5-99F6-72B79B2A72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2023-01-18T02:17:00Z</dcterms:created>
  <dc:creator>飘 飞</dc:creator>
  <cp:lastModifiedBy>Administrator</cp:lastModifiedBy>
  <dcterms:modified xsi:type="dcterms:W3CDTF">2025-05-21T02:48:07Z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y fmtid="{D5CDD505-2E9C-101B-9397-08002B2CF9AE}" pid="9" name="KSOProductBuildVer">
    <vt:lpwstr>2052-11.8.2.12085</vt:lpwstr>
  </property>
  <property fmtid="{D5CDD505-2E9C-101B-9397-08002B2CF9AE}" pid="10" name="ICV">
    <vt:lpwstr>21D9441D38CD462EB343A1822203F92B</vt:lpwstr>
  </property>
</Properties>
</file>