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rPr>
          <w:rFonts w:eastAsia="黑体"/>
          <w:color w:val="000000"/>
          <w:kern w:val="0"/>
          <w:sz w:val="32"/>
          <w:szCs w:val="32"/>
        </w:rPr>
      </w:pPr>
      <w:r>
        <w:rPr>
          <w:rFonts w:eastAsia="黑体"/>
          <w:color w:val="000000"/>
          <w:kern w:val="0"/>
          <w:sz w:val="32"/>
          <w:szCs w:val="32"/>
        </w:rPr>
        <w:t>附件</w:t>
      </w:r>
      <w:r>
        <w:rPr>
          <w:rFonts w:hint="eastAsia" w:eastAsia="黑体"/>
          <w:color w:val="000000"/>
          <w:kern w:val="0"/>
          <w:sz w:val="32"/>
          <w:szCs w:val="32"/>
          <w:lang w:val="en-US" w:eastAsia="zh-CN"/>
        </w:rPr>
        <w:t>1</w:t>
      </w:r>
    </w:p>
    <w:p>
      <w:pPr>
        <w:spacing w:line="560" w:lineRule="exact"/>
        <w:jc w:val="center"/>
        <w:outlineLvl w:val="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丰台</w:t>
      </w:r>
      <w:r>
        <w:rPr>
          <w:rFonts w:hint="eastAsia" w:asciiTheme="majorEastAsia" w:hAnsiTheme="majorEastAsia" w:eastAsiaTheme="majorEastAsia" w:cstheme="majorEastAsia"/>
          <w:b/>
          <w:bCs/>
          <w:sz w:val="44"/>
          <w:szCs w:val="44"/>
        </w:rPr>
        <w:t>区实体书店扶持项目</w:t>
      </w:r>
    </w:p>
    <w:p>
      <w:pPr>
        <w:spacing w:line="560" w:lineRule="exact"/>
        <w:jc w:val="center"/>
        <w:outlineLvl w:val="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申报指南</w:t>
      </w:r>
    </w:p>
    <w:p>
      <w:pPr>
        <w:pStyle w:val="2"/>
      </w:pPr>
    </w:p>
    <w:p>
      <w:pPr>
        <w:keepNext w:val="0"/>
        <w:keepLines w:val="0"/>
        <w:pageBreakBefore w:val="0"/>
        <w:kinsoku/>
        <w:wordWrap/>
        <w:overflowPunct/>
        <w:topLinePunct w:val="0"/>
        <w:bidi w:val="0"/>
        <w:spacing w:line="36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根据《北京市关于支持实体书店发展的实施意见》《关于继续加大中小微企业帮扶力度加快困难企业恢复发展的若干措施》，以及《丰台区关于促进实体书店发展的实施意见》《丰台区促进实体书店发展扶持资金暂行管理办法》</w:t>
      </w:r>
      <w:r>
        <w:rPr>
          <w:rFonts w:hint="eastAsia" w:ascii="仿宋" w:hAnsi="仿宋" w:eastAsia="仿宋" w:cs="仿宋"/>
          <w:color w:val="000000" w:themeColor="text1"/>
          <w:kern w:val="0"/>
          <w:sz w:val="32"/>
          <w:szCs w:val="32"/>
          <w:lang w:val="en-US" w:eastAsia="zh-CN"/>
          <w14:textFill>
            <w14:solidFill>
              <w14:schemeClr w14:val="tx1"/>
            </w14:solidFill>
          </w14:textFill>
        </w:rPr>
        <w:t>要求，编制本申报指南。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支持对象</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在辖区内依法注册设立，具备独立法人资格，取得《工商营业执照》、《出版物经营许可证》。</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color w:val="auto"/>
          <w:sz w:val="32"/>
          <w:szCs w:val="32"/>
          <w:lang w:val="en-US" w:eastAsia="zh-CN"/>
        </w:rPr>
        <w:t>在丰台区依法纳税，对丰台区经济发展做出一定贡献</w:t>
      </w:r>
      <w:r>
        <w:rPr>
          <w:rFonts w:hint="eastAsia" w:ascii="仿宋" w:hAnsi="仿宋" w:eastAsia="仿宋" w:cs="仿宋"/>
          <w:color w:val="auto"/>
          <w:sz w:val="32"/>
          <w:szCs w:val="32"/>
        </w:rPr>
        <w:t>。</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具备健全的财务管理制度和社会劳动保障制度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有完备的安全生产管理制度和日常安全生产记录</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守法经营，</w:t>
      </w:r>
      <w:r>
        <w:rPr>
          <w:rFonts w:hint="eastAsia" w:ascii="仿宋" w:hAnsi="仿宋" w:eastAsia="仿宋" w:cs="仿宋"/>
          <w:color w:val="auto"/>
          <w:sz w:val="32"/>
          <w:szCs w:val="32"/>
          <w:lang w:eastAsia="zh-CN"/>
        </w:rPr>
        <w:t>两年内</w:t>
      </w:r>
      <w:r>
        <w:rPr>
          <w:rFonts w:hint="eastAsia" w:ascii="仿宋" w:hAnsi="仿宋" w:eastAsia="仿宋" w:cs="仿宋"/>
          <w:color w:val="auto"/>
          <w:sz w:val="32"/>
          <w:szCs w:val="32"/>
        </w:rPr>
        <w:t>未受到各级出版行政、执法部门处罚</w:t>
      </w:r>
      <w:r>
        <w:rPr>
          <w:rFonts w:hint="eastAsia" w:ascii="仿宋" w:hAnsi="仿宋" w:eastAsia="仿宋" w:cs="仿宋"/>
          <w:color w:val="auto"/>
          <w:sz w:val="32"/>
          <w:szCs w:val="32"/>
          <w:lang w:eastAsia="zh-CN"/>
        </w:rPr>
        <w:t>，符合创建全国文明城区指标要求</w:t>
      </w:r>
      <w:r>
        <w:rPr>
          <w:rFonts w:hint="eastAsia" w:ascii="仿宋" w:hAnsi="仿宋" w:eastAsia="仿宋" w:cs="仿宋"/>
          <w:color w:val="auto"/>
          <w:sz w:val="32"/>
          <w:szCs w:val="32"/>
        </w:rPr>
        <w:t>。</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有固定经营场所，以出版物销售和阅读服务为主营业务，按期参加</w:t>
      </w:r>
      <w:r>
        <w:rPr>
          <w:rFonts w:hint="eastAsia" w:ascii="仿宋" w:hAnsi="仿宋" w:eastAsia="仿宋" w:cs="仿宋"/>
          <w:color w:val="auto"/>
          <w:sz w:val="32"/>
          <w:szCs w:val="32"/>
          <w:lang w:eastAsia="zh-CN"/>
        </w:rPr>
        <w:t>行业</w:t>
      </w:r>
      <w:r>
        <w:rPr>
          <w:rFonts w:hint="eastAsia" w:ascii="仿宋" w:hAnsi="仿宋" w:eastAsia="仿宋" w:cs="仿宋"/>
          <w:color w:val="auto"/>
          <w:sz w:val="32"/>
          <w:szCs w:val="32"/>
        </w:rPr>
        <w:t>主管部门的年度核检且经营状况正常</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lang w:val="en-US" w:eastAsia="zh-CN"/>
        </w:rPr>
      </w:pPr>
      <w:r>
        <w:rPr>
          <w:rFonts w:hint="eastAsia" w:ascii="仿宋" w:hAnsi="仿宋" w:eastAsia="仿宋" w:cs="仿宋"/>
          <w:sz w:val="32"/>
          <w:szCs w:val="32"/>
        </w:rPr>
        <w:t>书店经营面积不少于30平米（新开办书店不少于</w:t>
      </w:r>
      <w:r>
        <w:rPr>
          <w:rFonts w:hint="eastAsia" w:ascii="仿宋" w:hAnsi="仿宋" w:eastAsia="仿宋" w:cs="仿宋"/>
          <w:sz w:val="32"/>
          <w:szCs w:val="32"/>
          <w:shd w:val="clear" w:color="auto" w:fill="auto"/>
          <w:lang w:val="en-US" w:eastAsia="zh-CN"/>
        </w:rPr>
        <w:t>2</w:t>
      </w:r>
      <w:r>
        <w:rPr>
          <w:rFonts w:hint="eastAsia" w:ascii="仿宋" w:hAnsi="仿宋" w:eastAsia="仿宋" w:cs="仿宋"/>
          <w:sz w:val="32"/>
          <w:szCs w:val="32"/>
          <w:shd w:val="clear" w:color="auto" w:fill="auto"/>
        </w:rPr>
        <w:t>00</w:t>
      </w:r>
      <w:r>
        <w:rPr>
          <w:rFonts w:hint="eastAsia" w:ascii="仿宋" w:hAnsi="仿宋" w:eastAsia="仿宋" w:cs="仿宋"/>
          <w:sz w:val="32"/>
          <w:szCs w:val="32"/>
        </w:rPr>
        <w:t>平米），其中出版物经营面积超过50%；上架经营出版物不少于2000册，品种不少于500种。</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支持方向</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积极宣传习近平新时代中国特色社会主义思想，传播党的方针政策，弘扬社会主义核心价值观；</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弘扬中华民族优秀传统文化，挖掘</w:t>
      </w:r>
      <w:r>
        <w:rPr>
          <w:rFonts w:hint="eastAsia" w:ascii="仿宋" w:hAnsi="仿宋" w:eastAsia="仿宋" w:cs="仿宋"/>
          <w:sz w:val="32"/>
          <w:szCs w:val="32"/>
          <w:lang w:eastAsia="zh-CN"/>
        </w:rPr>
        <w:t>丰台</w:t>
      </w:r>
      <w:r>
        <w:rPr>
          <w:rFonts w:hint="eastAsia" w:ascii="仿宋" w:hAnsi="仿宋" w:eastAsia="仿宋" w:cs="仿宋"/>
          <w:sz w:val="32"/>
          <w:szCs w:val="32"/>
        </w:rPr>
        <w:t>文化内涵；</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符合</w:t>
      </w:r>
      <w:r>
        <w:rPr>
          <w:rFonts w:hint="eastAsia" w:ascii="仿宋" w:hAnsi="仿宋" w:eastAsia="仿宋" w:cs="仿宋"/>
          <w:sz w:val="32"/>
          <w:szCs w:val="32"/>
          <w:lang w:eastAsia="zh-CN"/>
        </w:rPr>
        <w:t>丰台</w:t>
      </w:r>
      <w:r>
        <w:rPr>
          <w:rFonts w:hint="eastAsia" w:ascii="仿宋" w:hAnsi="仿宋" w:eastAsia="仿宋" w:cs="仿宋"/>
          <w:sz w:val="32"/>
          <w:szCs w:val="32"/>
        </w:rPr>
        <w:t>区功能定位和区域布局；</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积极参与政府主办的公共文化活动，在公共文化体系建设工作中表现突出；</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经营模式新颖，多业态融合发展成效显著，实现跨领域、跨行业发展，探索馆店结合、场店结合、院店结合、线上线下结合，积极拉动新消费；</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在环境布置、装饰设计、图书陈列、管理服务、衍生品开发等方面具有鲜明特色，艺术性、主题性、专业性和学术性突出；</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举办的文化活动内容丰富、形式新颖、读者认可、成效显著；</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重点服务周边社区居民和企事业单位；</w:t>
      </w:r>
    </w:p>
    <w:p>
      <w:pPr>
        <w:keepNext w:val="0"/>
        <w:keepLines w:val="0"/>
        <w:pageBreakBefore w:val="0"/>
        <w:numPr>
          <w:ilvl w:val="0"/>
          <w:numId w:val="3"/>
        </w:numPr>
        <w:kinsoku/>
        <w:wordWrap/>
        <w:overflowPunct/>
        <w:topLinePunct w:val="0"/>
        <w:bidi w:val="0"/>
        <w:snapToGrid w:val="0"/>
        <w:spacing w:line="360" w:lineRule="auto"/>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注重社会效益，彰显社会责任，建立公益性文化品牌，具有社会影响力</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扶</w:t>
      </w:r>
      <w:r>
        <w:rPr>
          <w:rFonts w:hint="eastAsia" w:ascii="黑体" w:hAnsi="黑体" w:eastAsia="黑体" w:cs="黑体"/>
          <w:b/>
          <w:bCs/>
          <w:color w:val="000000"/>
          <w:sz w:val="32"/>
          <w:szCs w:val="32"/>
        </w:rPr>
        <w:t>持标准</w:t>
      </w:r>
    </w:p>
    <w:p>
      <w:pPr>
        <w:pStyle w:val="2"/>
        <w:ind w:left="0" w:leftChars="0" w:right="-92" w:rightChars="-44" w:firstLine="640" w:firstLineChars="200"/>
        <w:rPr>
          <w:rFonts w:hint="eastAsia"/>
        </w:rPr>
      </w:pPr>
      <w:r>
        <w:rPr>
          <w:rFonts w:eastAsia="仿宋_GB2312"/>
          <w:sz w:val="32"/>
          <w:szCs w:val="32"/>
        </w:rPr>
        <w:t>根据扶持对象不同，给予相应资金</w:t>
      </w:r>
      <w:r>
        <w:rPr>
          <w:rFonts w:hint="eastAsia" w:eastAsia="仿宋_GB2312"/>
          <w:sz w:val="32"/>
          <w:szCs w:val="32"/>
          <w:lang w:eastAsia="zh-CN"/>
        </w:rPr>
        <w:t>扶持</w:t>
      </w:r>
      <w:r>
        <w:rPr>
          <w:rFonts w:eastAsia="仿宋_GB2312"/>
          <w:sz w:val="32"/>
          <w:szCs w:val="32"/>
        </w:rPr>
        <w:t>。同一申报单位只能申报一个支持项目，所有类别不能重复</w:t>
      </w:r>
      <w:r>
        <w:rPr>
          <w:rFonts w:hint="eastAsia" w:eastAsia="仿宋_GB2312"/>
          <w:sz w:val="32"/>
          <w:szCs w:val="32"/>
          <w:lang w:eastAsia="zh-CN"/>
        </w:rPr>
        <w:t>申</w:t>
      </w:r>
      <w:r>
        <w:rPr>
          <w:rFonts w:eastAsia="仿宋_GB2312"/>
          <w:sz w:val="32"/>
          <w:szCs w:val="32"/>
        </w:rPr>
        <w:t>报。</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2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新开设书店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经评审认定，对符合</w:t>
      </w:r>
      <w:r>
        <w:rPr>
          <w:rFonts w:hint="eastAsia" w:ascii="仿宋" w:hAnsi="仿宋" w:eastAsia="仿宋" w:cs="仿宋"/>
          <w:sz w:val="32"/>
          <w:szCs w:val="32"/>
          <w:lang w:eastAsia="zh-CN"/>
        </w:rPr>
        <w:t>中心城区</w:t>
      </w:r>
      <w:r>
        <w:rPr>
          <w:rFonts w:hint="eastAsia" w:ascii="仿宋" w:hAnsi="仿宋" w:eastAsia="仿宋" w:cs="仿宋"/>
          <w:sz w:val="32"/>
          <w:szCs w:val="32"/>
        </w:rPr>
        <w:t>定位，以及区域规划布局要求，新开</w:t>
      </w:r>
      <w:r>
        <w:rPr>
          <w:rFonts w:hint="eastAsia" w:ascii="仿宋" w:hAnsi="仿宋" w:eastAsia="仿宋" w:cs="仿宋"/>
          <w:sz w:val="32"/>
          <w:szCs w:val="32"/>
          <w:lang w:eastAsia="zh-CN"/>
        </w:rPr>
        <w:t>设且持续运营半年以上</w:t>
      </w:r>
      <w:r>
        <w:rPr>
          <w:rFonts w:hint="eastAsia" w:ascii="仿宋" w:hAnsi="仿宋" w:eastAsia="仿宋" w:cs="仿宋"/>
          <w:sz w:val="32"/>
          <w:szCs w:val="32"/>
        </w:rPr>
        <w:t>，</w:t>
      </w:r>
      <w:r>
        <w:rPr>
          <w:rFonts w:hint="eastAsia" w:ascii="仿宋" w:hAnsi="仿宋" w:eastAsia="仿宋" w:cs="仿宋"/>
          <w:sz w:val="32"/>
          <w:szCs w:val="32"/>
          <w:lang w:eastAsia="zh-CN"/>
        </w:rPr>
        <w:t>原则上</w:t>
      </w:r>
      <w:r>
        <w:rPr>
          <w:rFonts w:hint="eastAsia" w:ascii="仿宋" w:hAnsi="仿宋" w:eastAsia="仿宋" w:cs="仿宋"/>
          <w:sz w:val="32"/>
          <w:szCs w:val="32"/>
        </w:rPr>
        <w:t>经营面积在</w:t>
      </w:r>
      <w:r>
        <w:rPr>
          <w:rFonts w:hint="eastAsia" w:ascii="仿宋" w:hAnsi="仿宋" w:eastAsia="仿宋" w:cs="仿宋"/>
          <w:sz w:val="32"/>
          <w:szCs w:val="32"/>
          <w:lang w:val="en-US" w:eastAsia="zh-CN"/>
        </w:rPr>
        <w:t>2</w:t>
      </w:r>
      <w:r>
        <w:rPr>
          <w:rFonts w:hint="eastAsia" w:ascii="仿宋" w:hAnsi="仿宋" w:eastAsia="仿宋" w:cs="仿宋"/>
          <w:sz w:val="32"/>
          <w:szCs w:val="32"/>
        </w:rPr>
        <w:t>00平方米（含）以上的</w:t>
      </w:r>
      <w:r>
        <w:rPr>
          <w:rFonts w:hint="eastAsia" w:ascii="仿宋" w:hAnsi="仿宋" w:eastAsia="仿宋" w:cs="仿宋"/>
          <w:sz w:val="32"/>
          <w:szCs w:val="32"/>
          <w:lang w:val="en-US" w:eastAsia="zh-CN"/>
        </w:rPr>
        <w:t>实体书店，</w:t>
      </w:r>
      <w:r>
        <w:rPr>
          <w:rFonts w:hint="eastAsia" w:ascii="仿宋" w:hAnsi="仿宋" w:eastAsia="仿宋" w:cs="仿宋"/>
          <w:sz w:val="32"/>
          <w:szCs w:val="32"/>
        </w:rPr>
        <w:t>予以</w:t>
      </w:r>
      <w:r>
        <w:rPr>
          <w:rFonts w:hint="eastAsia" w:ascii="仿宋" w:hAnsi="仿宋" w:eastAsia="仿宋" w:cs="仿宋"/>
          <w:sz w:val="32"/>
          <w:szCs w:val="32"/>
          <w:lang w:eastAsia="zh-CN"/>
        </w:rPr>
        <w:t>一定资金扶持。</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特色书店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经评审认定，对符合中心城区定位，以及区域规划布局要求，持续经营一年以上，在主题定位、空间环境、经营内容、管理服务等方面具有鲜明特色，或与影视传播、文化创意、科普培训、休闲阅读等融合发展，具有独特创新且社会效益良好，具有一定品牌影响力的实体书店，</w:t>
      </w:r>
      <w:r>
        <w:rPr>
          <w:rFonts w:hint="eastAsia" w:ascii="仿宋" w:hAnsi="仿宋" w:eastAsia="仿宋" w:cs="仿宋"/>
          <w:sz w:val="32"/>
          <w:szCs w:val="32"/>
        </w:rPr>
        <w:t>予以</w:t>
      </w:r>
      <w:r>
        <w:rPr>
          <w:rFonts w:hint="eastAsia" w:ascii="仿宋" w:hAnsi="仿宋" w:eastAsia="仿宋" w:cs="仿宋"/>
          <w:sz w:val="32"/>
          <w:szCs w:val="32"/>
          <w:lang w:eastAsia="zh-CN"/>
        </w:rPr>
        <w:t>一定资金扶持。</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大型书城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对国内外具有影响力、引领力的品牌书店入驻丰台，或在发挥社会效益方面表现突出，在公共文化服务体系建设中做出突出贡献，原则上经营面积1000平方米以上的大型实体书城，经评审认定，</w:t>
      </w:r>
      <w:r>
        <w:rPr>
          <w:rFonts w:hint="eastAsia" w:ascii="仿宋" w:hAnsi="仿宋" w:eastAsia="仿宋" w:cs="仿宋"/>
          <w:sz w:val="32"/>
          <w:szCs w:val="32"/>
        </w:rPr>
        <w:t>予以</w:t>
      </w:r>
      <w:r>
        <w:rPr>
          <w:rFonts w:hint="eastAsia" w:ascii="仿宋" w:hAnsi="仿宋" w:eastAsia="仿宋" w:cs="仿宋"/>
          <w:sz w:val="32"/>
          <w:szCs w:val="32"/>
          <w:lang w:eastAsia="zh-CN"/>
        </w:rPr>
        <w:t>一定资金扶持。</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二十四小时书店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对全天24小时正常开放，持续经营一年以上，且积极参与公共文化服务，原则上经营面积在100平方米（含）以上的实体书店，</w:t>
      </w:r>
      <w:r>
        <w:rPr>
          <w:rFonts w:hint="eastAsia" w:ascii="仿宋" w:hAnsi="仿宋" w:eastAsia="仿宋" w:cs="仿宋"/>
          <w:sz w:val="32"/>
          <w:szCs w:val="32"/>
        </w:rPr>
        <w:t>予以</w:t>
      </w:r>
      <w:r>
        <w:rPr>
          <w:rFonts w:hint="eastAsia" w:ascii="仿宋" w:hAnsi="仿宋" w:eastAsia="仿宋" w:cs="仿宋"/>
          <w:sz w:val="32"/>
          <w:szCs w:val="32"/>
          <w:lang w:eastAsia="zh-CN"/>
        </w:rPr>
        <w:t>一定资金扶持。</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市级扶持配套奖励</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对获得上一年度市级扶持资金的实体书店，</w:t>
      </w:r>
      <w:r>
        <w:rPr>
          <w:rFonts w:hint="eastAsia" w:ascii="仿宋" w:hAnsi="仿宋" w:eastAsia="仿宋" w:cs="仿宋"/>
          <w:sz w:val="32"/>
          <w:szCs w:val="32"/>
        </w:rPr>
        <w:t>予以</w:t>
      </w:r>
      <w:r>
        <w:rPr>
          <w:rFonts w:hint="eastAsia" w:ascii="仿宋" w:hAnsi="仿宋" w:eastAsia="仿宋" w:cs="仿宋"/>
          <w:sz w:val="32"/>
          <w:szCs w:val="32"/>
          <w:lang w:eastAsia="zh-CN"/>
        </w:rPr>
        <w:t>一定资金扶持。</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公共阅读活动奖励</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鼓励实体书店、阅读空间提供公共文化服务，对积极提供阅读资源与服务，丰富群众阅读活动，在公共文化服务体系建设中做出贡献的实体书店，经评审认定，</w:t>
      </w:r>
      <w:r>
        <w:rPr>
          <w:rFonts w:hint="eastAsia" w:ascii="仿宋" w:hAnsi="仿宋" w:eastAsia="仿宋" w:cs="仿宋"/>
          <w:sz w:val="32"/>
          <w:szCs w:val="32"/>
        </w:rPr>
        <w:t>予以</w:t>
      </w:r>
      <w:r>
        <w:rPr>
          <w:rFonts w:hint="eastAsia" w:ascii="仿宋" w:hAnsi="仿宋" w:eastAsia="仿宋" w:cs="仿宋"/>
          <w:sz w:val="32"/>
          <w:szCs w:val="32"/>
          <w:lang w:eastAsia="zh-CN"/>
        </w:rPr>
        <w:t>一定资金扶持</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（申报活动应符合单场线下活动参与人数不少于10人；单场线上活动参与人数峰值不少于30人或累计参与人数不少于100人；单场活动总时长不少于40分钟等要求。）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申报材料</w:t>
      </w:r>
    </w:p>
    <w:p>
      <w:pPr>
        <w:keepNext w:val="0"/>
        <w:keepLines w:val="0"/>
        <w:pageBreakBefore w:val="0"/>
        <w:numPr>
          <w:ilvl w:val="0"/>
          <w:numId w:val="5"/>
        </w:numPr>
        <w:kinsoku/>
        <w:wordWrap/>
        <w:overflowPunct/>
        <w:topLinePunct w:val="0"/>
        <w:autoSpaceDE w:val="0"/>
        <w:autoSpaceDN w:val="0"/>
        <w:bidi w:val="0"/>
        <w:adjustRightInd w:val="0"/>
        <w:spacing w:line="360" w:lineRule="auto"/>
        <w:ind w:left="0" w:leftChars="0" w:firstLine="420" w:firstLineChars="0"/>
        <w:jc w:val="both"/>
        <w:textAlignment w:val="auto"/>
        <w:rPr>
          <w:rFonts w:hint="eastAsia" w:ascii="仿宋" w:hAnsi="仿宋" w:eastAsia="仿宋" w:cs="仿宋"/>
        </w:rPr>
      </w:pPr>
      <w:r>
        <w:rPr>
          <w:rFonts w:hint="eastAsia" w:ascii="仿宋" w:hAnsi="仿宋" w:eastAsia="仿宋" w:cs="仿宋"/>
          <w:color w:val="000000"/>
          <w:kern w:val="0"/>
          <w:sz w:val="32"/>
          <w:szCs w:val="32"/>
        </w:rPr>
        <w:t>基础材料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丰台区</w:t>
      </w:r>
      <w:r>
        <w:rPr>
          <w:rFonts w:hint="eastAsia" w:ascii="仿宋" w:hAnsi="仿宋" w:eastAsia="仿宋" w:cs="仿宋"/>
          <w:color w:val="000000"/>
          <w:sz w:val="32"/>
          <w:szCs w:val="32"/>
        </w:rPr>
        <w:t>实体书店扶持项目申报表；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《营业执照》、《出版物经营许可证》（含分支机构备案证）复印件，以及《出版物经营许可证》年审页复印件</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sz w:val="32"/>
          <w:szCs w:val="32"/>
          <w:shd w:val="clear" w:color="auto" w:fill="auto"/>
        </w:rPr>
      </w:pPr>
      <w:r>
        <w:rPr>
          <w:rFonts w:hint="eastAsia" w:ascii="仿宋" w:hAnsi="仿宋" w:eastAsia="仿宋" w:cs="仿宋"/>
          <w:color w:val="000000"/>
          <w:sz w:val="32"/>
          <w:szCs w:val="32"/>
          <w:shd w:val="clear" w:color="auto" w:fill="auto"/>
        </w:rPr>
        <w:t>202</w:t>
      </w:r>
      <w:r>
        <w:rPr>
          <w:rFonts w:hint="eastAsia" w:ascii="仿宋" w:hAnsi="仿宋" w:eastAsia="仿宋" w:cs="仿宋"/>
          <w:color w:val="000000"/>
          <w:sz w:val="32"/>
          <w:szCs w:val="32"/>
          <w:shd w:val="clear" w:color="auto" w:fill="auto"/>
          <w:lang w:val="en-US" w:eastAsia="zh-CN"/>
        </w:rPr>
        <w:t>2</w:t>
      </w:r>
      <w:r>
        <w:rPr>
          <w:rFonts w:hint="eastAsia" w:ascii="仿宋" w:hAnsi="仿宋" w:eastAsia="仿宋" w:cs="仿宋"/>
          <w:color w:val="000000"/>
          <w:sz w:val="32"/>
          <w:szCs w:val="32"/>
          <w:shd w:val="clear" w:color="auto" w:fill="auto"/>
        </w:rPr>
        <w:t>年度</w:t>
      </w:r>
      <w:r>
        <w:rPr>
          <w:rFonts w:hint="eastAsia" w:ascii="仿宋" w:hAnsi="仿宋" w:eastAsia="仿宋" w:cs="仿宋"/>
          <w:color w:val="000000"/>
          <w:sz w:val="32"/>
          <w:szCs w:val="32"/>
          <w:shd w:val="clear" w:color="auto" w:fill="auto"/>
          <w:lang w:eastAsia="zh-CN"/>
        </w:rPr>
        <w:t>丰台区</w:t>
      </w:r>
      <w:r>
        <w:rPr>
          <w:rFonts w:hint="eastAsia" w:ascii="仿宋" w:hAnsi="仿宋" w:eastAsia="仿宋" w:cs="仿宋"/>
          <w:color w:val="000000"/>
          <w:sz w:val="32"/>
          <w:szCs w:val="32"/>
          <w:shd w:val="clear" w:color="auto" w:fill="auto"/>
        </w:rPr>
        <w:t>实体书店扶持项目承诺书；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shd w:val="clear" w:color="auto" w:fill="auto"/>
        </w:rPr>
        <w:t>2021年度审计报告复印件</w:t>
      </w:r>
      <w:r>
        <w:rPr>
          <w:rFonts w:hint="eastAsia" w:ascii="仿宋" w:hAnsi="仿宋" w:eastAsia="仿宋" w:cs="仿宋"/>
          <w:sz w:val="32"/>
          <w:szCs w:val="32"/>
          <w:highlight w:val="none"/>
          <w:shd w:val="clear" w:color="auto" w:fill="auto"/>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2021年中华人民共和国税收完税证明；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中小微企业声明函（如</w:t>
      </w:r>
      <w:r>
        <w:rPr>
          <w:rFonts w:hint="eastAsia" w:ascii="仿宋" w:hAnsi="仿宋" w:eastAsia="仿宋" w:cs="仿宋"/>
          <w:sz w:val="32"/>
          <w:szCs w:val="32"/>
          <w:highlight w:val="none"/>
          <w:shd w:val="clear" w:color="auto" w:fill="auto"/>
          <w:lang w:val="en-US" w:eastAsia="zh-CN"/>
        </w:rPr>
        <w:t>是</w:t>
      </w: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申报单位基本户信息</w:t>
      </w:r>
      <w:r>
        <w:rPr>
          <w:rFonts w:hint="eastAsia" w:ascii="仿宋" w:hAnsi="仿宋" w:eastAsia="仿宋" w:cs="仿宋"/>
          <w:sz w:val="32"/>
          <w:szCs w:val="32"/>
          <w:highlight w:val="none"/>
          <w:shd w:val="clear" w:color="auto" w:fill="auto"/>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由“信用中国”网站生成的申报单位对应信用报告</w:t>
      </w:r>
      <w:r>
        <w:rPr>
          <w:rFonts w:hint="eastAsia" w:ascii="仿宋" w:hAnsi="仿宋" w:eastAsia="仿宋" w:cs="仿宋"/>
          <w:sz w:val="32"/>
          <w:szCs w:val="32"/>
          <w:highlight w:val="none"/>
          <w:shd w:val="clear" w:color="auto" w:fill="auto"/>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“中国政府采购网”网站信用声明（如有）；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sz w:val="32"/>
          <w:szCs w:val="32"/>
          <w:highlight w:val="none"/>
          <w:shd w:val="clear" w:color="auto" w:fill="auto"/>
          <w:lang w:val="en-US" w:eastAsia="zh-CN"/>
        </w:rPr>
        <w:t>书店经营场所房屋产权或房屋租赁合同（如书店经营场所为租赁）、近一年房租发票、发票查验记录（查验网址：https://inv-veri.chinatax.gov.cn）及相关财务凭证等</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资料复印件；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与社区、街道、商区或周边单位“结对子”协议复印件（如有）；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店面外观与店堂内部照片；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书店功能布局、实景照片及动线设计平面图（如有）；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图书分类情况资料；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书店经营出版物品种清单；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图书出入库记录相关资料（如出入库批销单、进货合同等）；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管理制度清单（如管理、生产、安全、卫生等方面各项制度）；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融媒体推广和运营情况（如微博、抖音、小红书等）；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申报单位近三个月依法完税证明；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书店负责人及团队人员社保缴纳记录（近三个月）、学历证书及获奖情况等相关资料；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员工培训相关资料；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其他与申报内容相关的材料。</w:t>
      </w:r>
    </w:p>
    <w:p>
      <w:pPr>
        <w:keepNext w:val="0"/>
        <w:keepLines w:val="0"/>
        <w:pageBreakBefore w:val="0"/>
        <w:numPr>
          <w:ilvl w:val="0"/>
          <w:numId w:val="5"/>
        </w:numPr>
        <w:kinsoku/>
        <w:wordWrap/>
        <w:overflowPunct/>
        <w:topLinePunct w:val="0"/>
        <w:autoSpaceDE w:val="0"/>
        <w:autoSpaceDN w:val="0"/>
        <w:bidi w:val="0"/>
        <w:adjustRightInd w:val="0"/>
        <w:spacing w:line="360" w:lineRule="auto"/>
        <w:ind w:left="0" w:leftChars="0" w:firstLine="420" w:firstLineChars="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专项材料</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新开设书店</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奖励</w:t>
      </w:r>
      <w:r>
        <w:rPr>
          <w:rFonts w:hint="eastAsia" w:ascii="仿宋" w:hAnsi="仿宋" w:eastAsia="仿宋" w:cs="仿宋"/>
          <w:color w:val="000000" w:themeColor="text1"/>
          <w:sz w:val="32"/>
          <w:szCs w:val="32"/>
          <w:shd w:val="clear" w:color="auto" w:fill="auto"/>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设计、装修投入资金明细表、合同、发票、发票查验记录（查验网址：https://inv-veri.chinatax.gov.cn）及相关财务凭证等资料复印件。</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特色书店奖励申报材料</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书店特色相关资料（如主题定位、空间环境、经营内容、管理服务等）；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创新经营发展模式、实现多业态融合发展相关资料（如与影视传播、文化创意、科普培训、休闲阅读等）；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社会形象与影响力情况资料（如荣誉证书复印件、奖杯照片等，需注明颁发单位）。</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大型书城奖励申报材料</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品牌建设、运营相关资料（如标识管理、定位特色、推广运营、品牌价值情况等）；</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公共文化服务体系建设情况（如现阶段成果、未来计划等）；</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社会形象与影响力情况资料（如荣誉证书复印件、奖杯照片等，需注明颁发单位）。</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eastAsia="zh-CN"/>
        </w:rPr>
        <w:t>二十四小时书店奖励申报材料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全天二十四小时持续经营证明材料（如二十四小时经营标识、夜间销售记录、夜班工组人员工资记录及书店夜间经营内外照片等）；</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经营能力相关资料（如盈利情况）；</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参加公共文化活动、举办文化活动情况相关资料（如文字、图片、网页截图等，要求详见附件6.二十四小时书店奖励专项申报材料）。</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市级配套奖励申报材料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获得2021年市级资金扶持的相关财务凭证复印件（如银行收款回单）。</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公共阅读奖励申报材料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lang w:val="en-US" w:eastAsia="zh-CN"/>
        </w:rPr>
        <w:t>参加公共文化活动、举办文化活动情况相关资料（如文字、图片、网页截图等，</w:t>
      </w:r>
      <w:r>
        <w:rPr>
          <w:rFonts w:hint="eastAsia" w:ascii="仿宋" w:hAnsi="仿宋" w:eastAsia="仿宋" w:cs="仿宋"/>
          <w:sz w:val="32"/>
          <w:szCs w:val="32"/>
          <w:shd w:val="clear" w:color="auto" w:fill="auto"/>
          <w:lang w:val="en-US" w:eastAsia="zh-CN"/>
        </w:rPr>
        <w:t>要求详见附件8.公共阅读奖励专项申报材料）；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社会形象与影响力情况资料（如荣誉证书复印件、奖杯照片等，需注明颁发单位）。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工作流程</w:t>
      </w:r>
    </w:p>
    <w:p>
      <w:pPr>
        <w:keepNext w:val="0"/>
        <w:keepLines w:val="0"/>
        <w:pageBreakBefore w:val="0"/>
        <w:numPr>
          <w:ilvl w:val="0"/>
          <w:numId w:val="12"/>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申报资料下载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sz w:val="32"/>
          <w:szCs w:val="32"/>
          <w:shd w:val="clear" w:color="auto" w:fill="auto"/>
          <w:lang w:val="en-US" w:eastAsia="zh-CN"/>
        </w:rPr>
      </w:pPr>
      <w:r>
        <w:rPr>
          <w:rFonts w:hint="eastAsia" w:ascii="仿宋" w:hAnsi="仿宋" w:eastAsia="仿宋" w:cs="仿宋"/>
          <w:color w:val="000000"/>
          <w:sz w:val="32"/>
          <w:szCs w:val="32"/>
          <w:shd w:val="clear" w:color="auto" w:fill="auto"/>
          <w:lang w:val="en-US" w:eastAsia="zh-CN"/>
        </w:rPr>
        <w:t>申报单位从北京市丰台区人民政府网站（http://www.bjft.gov.cn/）“政府公告”栏下载申报书。</w:t>
      </w:r>
    </w:p>
    <w:p>
      <w:pPr>
        <w:keepNext w:val="0"/>
        <w:keepLines w:val="0"/>
        <w:pageBreakBefore w:val="0"/>
        <w:numPr>
          <w:ilvl w:val="0"/>
          <w:numId w:val="12"/>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shd w:val="clear" w:color="auto" w:fill="auto"/>
          <w:lang w:val="en-US" w:eastAsia="zh-CN"/>
        </w:rPr>
      </w:pPr>
      <w:r>
        <w:rPr>
          <w:rFonts w:hint="eastAsia" w:ascii="仿宋" w:hAnsi="仿宋" w:eastAsia="仿宋" w:cs="仿宋"/>
          <w:color w:val="000000"/>
          <w:sz w:val="32"/>
          <w:szCs w:val="32"/>
          <w:shd w:val="clear" w:color="auto" w:fill="auto"/>
          <w:lang w:val="en-US" w:eastAsia="zh-CN"/>
        </w:rPr>
        <w:t>资料受理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shd w:val="clear" w:color="auto" w:fill="auto"/>
          <w:lang w:val="en-US" w:eastAsia="zh-CN"/>
        </w:rPr>
        <w:t>申报单位按指南要求准确填报申报资料，</w:t>
      </w:r>
      <w:r>
        <w:rPr>
          <w:rFonts w:hint="eastAsia" w:ascii="仿宋_GB2312" w:hAnsi="仿宋_GB2312" w:eastAsia="仿宋_GB2312" w:cs="仿宋_GB2312"/>
          <w:color w:val="000000"/>
          <w:sz w:val="32"/>
          <w:szCs w:val="32"/>
          <w:shd w:val="clear" w:color="auto" w:fill="auto"/>
          <w:lang w:val="en-US" w:eastAsia="zh-CN"/>
        </w:rPr>
        <w:t>纸质版资料胶装后（一式两份）于</w:t>
      </w:r>
      <w:r>
        <w:rPr>
          <w:rFonts w:hint="eastAsia" w:ascii="仿宋_GB2312" w:hAnsi="仿宋_GB2312" w:eastAsia="仿宋_GB2312" w:cs="仿宋_GB2312"/>
          <w:sz w:val="32"/>
          <w:szCs w:val="32"/>
          <w:highlight w:val="none"/>
          <w:shd w:val="clear" w:color="auto" w:fill="auto"/>
        </w:rPr>
        <w:t>202</w:t>
      </w: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月</w:t>
      </w:r>
      <w:r>
        <w:rPr>
          <w:rFonts w:hint="eastAsia" w:ascii="仿宋_GB2312" w:hAnsi="仿宋_GB2312" w:eastAsia="仿宋_GB2312" w:cs="仿宋_GB2312"/>
          <w:sz w:val="32"/>
          <w:szCs w:val="32"/>
          <w:highlight w:val="none"/>
          <w:shd w:val="clear" w:color="auto" w:fill="auto"/>
          <w:lang w:val="en-US" w:eastAsia="zh-CN"/>
        </w:rPr>
        <w:t>19日-20日</w:t>
      </w:r>
      <w:r>
        <w:rPr>
          <w:rFonts w:hint="eastAsia" w:ascii="仿宋_GB2312" w:hAnsi="仿宋_GB2312" w:eastAsia="仿宋_GB2312" w:cs="仿宋_GB2312"/>
          <w:color w:val="000000"/>
          <w:sz w:val="32"/>
          <w:szCs w:val="32"/>
          <w:shd w:val="clear" w:color="auto" w:fill="auto"/>
          <w:lang w:val="en-US" w:eastAsia="zh-CN"/>
        </w:rPr>
        <w:t>（上午9:00-11:30，下午14:00-17:00）提交至</w:t>
      </w:r>
      <w:r>
        <w:rPr>
          <w:rFonts w:hint="eastAsia" w:ascii="仿宋_GB2312" w:hAnsi="仿宋_GB2312" w:eastAsia="仿宋_GB2312" w:cs="仿宋_GB2312"/>
          <w:color w:val="000000"/>
          <w:sz w:val="32"/>
          <w:szCs w:val="32"/>
          <w:highlight w:val="none"/>
          <w:shd w:val="clear" w:color="auto" w:fill="auto"/>
          <w:lang w:val="en-US" w:eastAsia="zh-CN"/>
        </w:rPr>
        <w:t>北京市丰台区北大街9号304室，</w:t>
      </w:r>
      <w:r>
        <w:rPr>
          <w:rFonts w:hint="eastAsia" w:ascii="仿宋_GB2312" w:hAnsi="仿宋_GB2312" w:eastAsia="仿宋_GB2312" w:cs="仿宋_GB2312"/>
          <w:color w:val="000000"/>
          <w:sz w:val="32"/>
          <w:szCs w:val="32"/>
          <w:shd w:val="clear" w:color="auto" w:fill="auto"/>
          <w:lang w:val="en-US" w:eastAsia="zh-CN"/>
        </w:rPr>
        <w:t>电子版于</w:t>
      </w:r>
      <w:r>
        <w:rPr>
          <w:rFonts w:hint="eastAsia" w:ascii="仿宋_GB2312" w:hAnsi="仿宋_GB2312" w:eastAsia="仿宋_GB2312" w:cs="仿宋_GB2312"/>
          <w:sz w:val="32"/>
          <w:szCs w:val="32"/>
          <w:highlight w:val="none"/>
          <w:shd w:val="clear" w:color="auto" w:fill="auto"/>
        </w:rPr>
        <w:t>202</w:t>
      </w: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月</w:t>
      </w:r>
      <w:r>
        <w:rPr>
          <w:rFonts w:hint="eastAsia" w:ascii="仿宋_GB2312" w:hAnsi="仿宋_GB2312" w:eastAsia="仿宋_GB2312" w:cs="仿宋_GB2312"/>
          <w:sz w:val="32"/>
          <w:szCs w:val="32"/>
          <w:highlight w:val="none"/>
          <w:shd w:val="clear" w:color="auto" w:fill="auto"/>
          <w:lang w:val="en-US" w:eastAsia="zh-CN"/>
        </w:rPr>
        <w:t>20日</w:t>
      </w:r>
      <w:r>
        <w:rPr>
          <w:rFonts w:hint="eastAsia" w:ascii="仿宋_GB2312" w:hAnsi="仿宋_GB2312" w:eastAsia="仿宋_GB2312" w:cs="仿宋_GB2312"/>
          <w:color w:val="000000"/>
          <w:sz w:val="32"/>
          <w:szCs w:val="32"/>
          <w:shd w:val="clear" w:color="auto" w:fill="auto"/>
          <w:lang w:val="en-US" w:eastAsia="zh-CN"/>
        </w:rPr>
        <w:t>前以“申报方向+申报单位名称”为邮件主题发送至指定邮箱（xcbwhfzk@mail.bjft.gov.cn）。</w:t>
      </w:r>
    </w:p>
    <w:p>
      <w:pPr>
        <w:keepNext w:val="0"/>
        <w:keepLines w:val="0"/>
        <w:pageBreakBefore w:val="0"/>
        <w:numPr>
          <w:ilvl w:val="0"/>
          <w:numId w:val="12"/>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丰台区新闻出版局组织开展项目审核工作，对项目真实性、财务资料等内容进行审核。</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申报要求</w:t>
      </w:r>
    </w:p>
    <w:p>
      <w:pPr>
        <w:keepNext w:val="0"/>
        <w:keepLines w:val="0"/>
        <w:pageBreakBefore w:val="0"/>
        <w:numPr>
          <w:ilvl w:val="0"/>
          <w:numId w:val="13"/>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申报单位应根据实际情况如实申报，并对材料的真实性、合法性、有效性负责，不得虚报、瞒报；</w:t>
      </w:r>
    </w:p>
    <w:p>
      <w:pPr>
        <w:keepNext w:val="0"/>
        <w:keepLines w:val="0"/>
        <w:pageBreakBefore w:val="0"/>
        <w:numPr>
          <w:ilvl w:val="0"/>
          <w:numId w:val="13"/>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申报单位申报的实体书店开业时间以首次取得《出版物经营许可证》发证日期为准；</w:t>
      </w:r>
    </w:p>
    <w:p>
      <w:pPr>
        <w:keepNext w:val="0"/>
        <w:keepLines w:val="0"/>
        <w:pageBreakBefore w:val="0"/>
        <w:numPr>
          <w:ilvl w:val="0"/>
          <w:numId w:val="13"/>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申报单位为分公司等情况的，无法出具2021年审计报告需提供总公司2021年审计报告；</w:t>
      </w:r>
    </w:p>
    <w:p>
      <w:pPr>
        <w:keepNext w:val="0"/>
        <w:keepLines w:val="0"/>
        <w:pageBreakBefore w:val="0"/>
        <w:numPr>
          <w:ilvl w:val="0"/>
          <w:numId w:val="13"/>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申报单位应具备健全的财务、安全等管理制度，安全管理记录完备，安全设备齐全有效；</w:t>
      </w:r>
    </w:p>
    <w:p>
      <w:pPr>
        <w:keepNext w:val="0"/>
        <w:keepLines w:val="0"/>
        <w:pageBreakBefore w:val="0"/>
        <w:numPr>
          <w:ilvl w:val="0"/>
          <w:numId w:val="13"/>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申报单位应根据本单位实际情况如实申报，不得虚报、瞒报，对弄虚作假的单位，一经查实，取消其申报资格。</w:t>
      </w:r>
    </w:p>
    <w:p>
      <w:pPr>
        <w:keepNext w:val="0"/>
        <w:keepLines w:val="0"/>
        <w:pageBreakBefore w:val="0"/>
        <w:numPr>
          <w:ilvl w:val="0"/>
          <w:numId w:val="13"/>
        </w:numPr>
        <w:kinsoku/>
        <w:wordWrap/>
        <w:overflowPunct/>
        <w:topLinePunct w:val="0"/>
        <w:bidi w:val="0"/>
        <w:spacing w:line="360" w:lineRule="auto"/>
        <w:ind w:left="0" w:leftChars="0" w:firstLine="420" w:firstLineChars="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申报单位需具有一定的持续运营能力，凡经评审后拟获得扶持的实体书店，资金拨付前停止经营的，一律不予资金扶持。</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highlight w:val="none"/>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（联系人：鲍老师；联系电话：83656717）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48C17"/>
    <w:multiLevelType w:val="singleLevel"/>
    <w:tmpl w:val="92B48C17"/>
    <w:lvl w:ilvl="0" w:tentative="0">
      <w:start w:val="1"/>
      <w:numFmt w:val="decimal"/>
      <w:lvlText w:val="%1."/>
      <w:lvlJc w:val="left"/>
      <w:pPr>
        <w:ind w:left="425" w:hanging="425"/>
      </w:pPr>
      <w:rPr>
        <w:rFonts w:hint="default" w:ascii="仿宋" w:hAnsi="仿宋" w:eastAsia="仿宋" w:cs="仿宋"/>
      </w:rPr>
    </w:lvl>
  </w:abstractNum>
  <w:abstractNum w:abstractNumId="1">
    <w:nsid w:val="9E10873D"/>
    <w:multiLevelType w:val="singleLevel"/>
    <w:tmpl w:val="9E10873D"/>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2">
    <w:nsid w:val="A1B45A6A"/>
    <w:multiLevelType w:val="singleLevel"/>
    <w:tmpl w:val="A1B45A6A"/>
    <w:lvl w:ilvl="0" w:tentative="0">
      <w:start w:val="1"/>
      <w:numFmt w:val="decimal"/>
      <w:lvlText w:val="%1."/>
      <w:lvlJc w:val="left"/>
      <w:pPr>
        <w:ind w:left="425" w:hanging="425"/>
      </w:pPr>
      <w:rPr>
        <w:rFonts w:hint="default" w:ascii="仿宋" w:hAnsi="仿宋" w:eastAsia="仿宋" w:cs="仿宋"/>
        <w:sz w:val="32"/>
        <w:szCs w:val="32"/>
      </w:rPr>
    </w:lvl>
  </w:abstractNum>
  <w:abstractNum w:abstractNumId="3">
    <w:nsid w:val="A7C617AE"/>
    <w:multiLevelType w:val="singleLevel"/>
    <w:tmpl w:val="A7C617AE"/>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4">
    <w:nsid w:val="AF111BEC"/>
    <w:multiLevelType w:val="singleLevel"/>
    <w:tmpl w:val="AF111BEC"/>
    <w:lvl w:ilvl="0" w:tentative="0">
      <w:start w:val="1"/>
      <w:numFmt w:val="decimal"/>
      <w:lvlText w:val="(%1)"/>
      <w:lvlJc w:val="left"/>
      <w:pPr>
        <w:ind w:left="415" w:hanging="425"/>
      </w:pPr>
      <w:rPr>
        <w:rFonts w:hint="default" w:ascii="仿宋" w:hAnsi="仿宋" w:eastAsia="仿宋" w:cs="仿宋"/>
      </w:rPr>
    </w:lvl>
  </w:abstractNum>
  <w:abstractNum w:abstractNumId="5">
    <w:nsid w:val="B88817D5"/>
    <w:multiLevelType w:val="singleLevel"/>
    <w:tmpl w:val="B88817D5"/>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6">
    <w:nsid w:val="EC7F009C"/>
    <w:multiLevelType w:val="singleLevel"/>
    <w:tmpl w:val="EC7F009C"/>
    <w:lvl w:ilvl="0" w:tentative="0">
      <w:start w:val="1"/>
      <w:numFmt w:val="decimal"/>
      <w:lvlText w:val="(%1)"/>
      <w:lvlJc w:val="left"/>
      <w:pPr>
        <w:ind w:left="415" w:hanging="425"/>
      </w:pPr>
      <w:rPr>
        <w:rFonts w:hint="default" w:ascii="仿宋" w:hAnsi="仿宋" w:eastAsia="仿宋" w:cs="仿宋"/>
      </w:rPr>
    </w:lvl>
  </w:abstractNum>
  <w:abstractNum w:abstractNumId="7">
    <w:nsid w:val="F4A3ABBF"/>
    <w:multiLevelType w:val="singleLevel"/>
    <w:tmpl w:val="F4A3ABBF"/>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8">
    <w:nsid w:val="3054EBFE"/>
    <w:multiLevelType w:val="singleLevel"/>
    <w:tmpl w:val="3054EBFE"/>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9">
    <w:nsid w:val="5473A626"/>
    <w:multiLevelType w:val="singleLevel"/>
    <w:tmpl w:val="5473A626"/>
    <w:lvl w:ilvl="0" w:tentative="0">
      <w:start w:val="1"/>
      <w:numFmt w:val="decimal"/>
      <w:lvlText w:val="%1."/>
      <w:lvlJc w:val="left"/>
      <w:pPr>
        <w:ind w:left="425" w:hanging="425"/>
      </w:pPr>
      <w:rPr>
        <w:rFonts w:hint="default" w:ascii="仿宋" w:hAnsi="仿宋" w:eastAsia="仿宋" w:cs="仿宋"/>
      </w:rPr>
    </w:lvl>
  </w:abstractNum>
  <w:abstractNum w:abstractNumId="10">
    <w:nsid w:val="67FC6892"/>
    <w:multiLevelType w:val="singleLevel"/>
    <w:tmpl w:val="67FC6892"/>
    <w:lvl w:ilvl="0" w:tentative="0">
      <w:start w:val="1"/>
      <w:numFmt w:val="decimal"/>
      <w:lvlText w:val="(%1)"/>
      <w:lvlJc w:val="left"/>
      <w:pPr>
        <w:ind w:left="425" w:hanging="425"/>
      </w:pPr>
      <w:rPr>
        <w:rFonts w:hint="default" w:ascii="仿宋" w:hAnsi="仿宋" w:eastAsia="仿宋" w:cs="仿宋"/>
      </w:rPr>
    </w:lvl>
  </w:abstractNum>
  <w:abstractNum w:abstractNumId="11">
    <w:nsid w:val="7337E002"/>
    <w:multiLevelType w:val="singleLevel"/>
    <w:tmpl w:val="7337E002"/>
    <w:lvl w:ilvl="0" w:tentative="0">
      <w:start w:val="1"/>
      <w:numFmt w:val="decimal"/>
      <w:lvlText w:val="(%1)"/>
      <w:lvlJc w:val="left"/>
      <w:pPr>
        <w:ind w:left="425" w:hanging="425"/>
      </w:pPr>
      <w:rPr>
        <w:rFonts w:hint="default" w:ascii="仿宋" w:hAnsi="仿宋" w:eastAsia="仿宋" w:cs="仿宋"/>
      </w:rPr>
    </w:lvl>
  </w:abstractNum>
  <w:abstractNum w:abstractNumId="12">
    <w:nsid w:val="7F5082F6"/>
    <w:multiLevelType w:val="singleLevel"/>
    <w:tmpl w:val="7F5082F6"/>
    <w:lvl w:ilvl="0" w:tentative="0">
      <w:start w:val="1"/>
      <w:numFmt w:val="chineseCounting"/>
      <w:suff w:val="nothing"/>
      <w:lvlText w:val="（%1）"/>
      <w:lvlJc w:val="left"/>
      <w:pPr>
        <w:ind w:left="0" w:firstLine="420"/>
      </w:pPr>
      <w:rPr>
        <w:rFonts w:hint="eastAsia" w:ascii="仿宋" w:hAnsi="仿宋" w:eastAsia="仿宋" w:cs="仿宋"/>
        <w:sz w:val="32"/>
        <w:szCs w:val="32"/>
      </w:rPr>
    </w:lvl>
  </w:abstractNum>
  <w:num w:numId="1">
    <w:abstractNumId w:val="5"/>
  </w:num>
  <w:num w:numId="2">
    <w:abstractNumId w:val="2"/>
  </w:num>
  <w:num w:numId="3">
    <w:abstractNumId w:val="7"/>
  </w:num>
  <w:num w:numId="4">
    <w:abstractNumId w:val="12"/>
  </w:num>
  <w:num w:numId="5">
    <w:abstractNumId w:val="1"/>
  </w:num>
  <w:num w:numId="6">
    <w:abstractNumId w:val="9"/>
  </w:num>
  <w:num w:numId="7">
    <w:abstractNumId w:val="0"/>
  </w:num>
  <w:num w:numId="8">
    <w:abstractNumId w:val="10"/>
  </w:num>
  <w:num w:numId="9">
    <w:abstractNumId w:val="11"/>
  </w:num>
  <w:num w:numId="10">
    <w:abstractNumId w:val="6"/>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GI1ODg1MmVkYTQ5Y2M4ZWIwNTgzM2Y5YjgzM2EifQ=="/>
  </w:docVars>
  <w:rsids>
    <w:rsidRoot w:val="7FEA6822"/>
    <w:rsid w:val="02941559"/>
    <w:rsid w:val="0B6957B4"/>
    <w:rsid w:val="0C4C3DB3"/>
    <w:rsid w:val="0D5130BC"/>
    <w:rsid w:val="0D914897"/>
    <w:rsid w:val="0E80608C"/>
    <w:rsid w:val="0F753717"/>
    <w:rsid w:val="10354C54"/>
    <w:rsid w:val="113E1F8B"/>
    <w:rsid w:val="14AB3737"/>
    <w:rsid w:val="1B2E6E70"/>
    <w:rsid w:val="1BD42414"/>
    <w:rsid w:val="1EAC519A"/>
    <w:rsid w:val="1F0F20D8"/>
    <w:rsid w:val="1F8F25D3"/>
    <w:rsid w:val="200B777F"/>
    <w:rsid w:val="20756A3A"/>
    <w:rsid w:val="211803A6"/>
    <w:rsid w:val="21742C62"/>
    <w:rsid w:val="2383313D"/>
    <w:rsid w:val="24264D2A"/>
    <w:rsid w:val="26B32407"/>
    <w:rsid w:val="28E77AA9"/>
    <w:rsid w:val="2B4B1CFD"/>
    <w:rsid w:val="302F1268"/>
    <w:rsid w:val="31564406"/>
    <w:rsid w:val="355F206B"/>
    <w:rsid w:val="35753BC1"/>
    <w:rsid w:val="35AC3D67"/>
    <w:rsid w:val="39176B44"/>
    <w:rsid w:val="39BB639D"/>
    <w:rsid w:val="3BD333EF"/>
    <w:rsid w:val="41744D2D"/>
    <w:rsid w:val="41986C6D"/>
    <w:rsid w:val="41FF63AE"/>
    <w:rsid w:val="42084B73"/>
    <w:rsid w:val="42C83582"/>
    <w:rsid w:val="44ED72D0"/>
    <w:rsid w:val="45E7072C"/>
    <w:rsid w:val="46F1531B"/>
    <w:rsid w:val="49B06F76"/>
    <w:rsid w:val="4C045C07"/>
    <w:rsid w:val="4D2745FF"/>
    <w:rsid w:val="4D553F4E"/>
    <w:rsid w:val="4D714816"/>
    <w:rsid w:val="4E2A64AB"/>
    <w:rsid w:val="4F035942"/>
    <w:rsid w:val="4F997951"/>
    <w:rsid w:val="52780637"/>
    <w:rsid w:val="53AE0371"/>
    <w:rsid w:val="597A4A53"/>
    <w:rsid w:val="5AC95C92"/>
    <w:rsid w:val="5B2A2A5F"/>
    <w:rsid w:val="5B82226E"/>
    <w:rsid w:val="5DF93DDF"/>
    <w:rsid w:val="60A410F1"/>
    <w:rsid w:val="62F51D1A"/>
    <w:rsid w:val="63497970"/>
    <w:rsid w:val="66230785"/>
    <w:rsid w:val="664A237C"/>
    <w:rsid w:val="6691478D"/>
    <w:rsid w:val="66BE231E"/>
    <w:rsid w:val="6E8B3532"/>
    <w:rsid w:val="72452668"/>
    <w:rsid w:val="76B01E81"/>
    <w:rsid w:val="772F638A"/>
    <w:rsid w:val="77ED700C"/>
    <w:rsid w:val="7BEF4F7C"/>
    <w:rsid w:val="7C0861C2"/>
    <w:rsid w:val="7C2D5C29"/>
    <w:rsid w:val="7D4A461A"/>
    <w:rsid w:val="7FE230A9"/>
    <w:rsid w:val="7FEA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annotation text"/>
    <w:basedOn w:val="1"/>
    <w:qFormat/>
    <w:uiPriority w:val="0"/>
    <w:pPr>
      <w:jc w:val="left"/>
    </w:pPr>
  </w:style>
  <w:style w:type="paragraph" w:styleId="4">
    <w:name w:val="Normal (Web)"/>
    <w:basedOn w:val="1"/>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2879</Words>
  <Characters>3077</Characters>
  <Lines>0</Lines>
  <Paragraphs>0</Paragraphs>
  <TotalTime>0</TotalTime>
  <ScaleCrop>false</ScaleCrop>
  <LinksUpToDate>false</LinksUpToDate>
  <CharactersWithSpaces>3077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2022-07-19T05:55:00Z</dcterms:created>
  <dc:creator>Leessang_</dc:creator>
  <cp:lastModifiedBy>lenovo</cp:lastModifiedBy>
  <cp:lastPrinted>2022-09-06T06:07:00Z</cp:lastPrinted>
  <dcterms:modified xsi:type="dcterms:W3CDTF">2022-09-07T02:35:15Z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E133879254B24629BF2EA42346A62D9C</vt:lpwstr>
  </property>
</Properties>
</file>