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2022年度丰台区实体书店扶持项目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ascii="方正小标宋简体" w:hAnsi="等线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  <w:lang w:eastAsia="zh-CN"/>
        </w:rPr>
        <w:t>公共阅读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奖励专项申报材料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1285" w:firstLineChars="4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参加公共文化活动、举办文化活动情况相关资料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（如文字、图片、网页截图等）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  <w:t>注：1. 活动类型形式：活动类型包括嘉宾讲座、研讨访谈、主题沙龙、诗文诵读、读者见面会、绘（剧）本展演等，活动形式包括线下活动、线上活动以及线上线下相结合的活动；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0"/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  <w:t>活动影像资料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、线上线下读者参与情况（如为线上活动）等照片）。其中，线下活动还需体现举办过程中的互动留言等要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0"/>
        <w:rPr>
          <w:rFonts w:hint="default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  <w:szCs w:val="24"/>
          <w:lang w:val="en-US" w:eastAsia="zh-CN"/>
        </w:rPr>
        <w:t>时长及规模：单场线下活动参与人数应不少于10人、线上活动参与人数峰值应不少于30人或累计参与人数不少于100人，单场活动总时长应不少于40分钟。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社会形象与影响力情况资料</w:t>
      </w:r>
    </w:p>
    <w:p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（如荣誉证书复印件、奖杯照片等，需注明颁发单位）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25D3E"/>
    <w:multiLevelType w:val="singleLevel"/>
    <w:tmpl w:val="3EC25D3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145B07E1"/>
    <w:rsid w:val="145B07E1"/>
    <w:rsid w:val="55173F4B"/>
    <w:rsid w:val="56B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503</Characters>
  <Lines>0</Lines>
  <Paragraphs>0</Paragraphs>
  <TotalTime>0</TotalTime>
  <ScaleCrop>false</ScaleCrop>
  <LinksUpToDate>false</LinksUpToDate>
  <CharactersWithSpaces>504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2022-07-20T02:13:00Z</dcterms:created>
  <dc:creator>Leessang_</dc:creator>
  <cp:lastModifiedBy>莫</cp:lastModifiedBy>
  <dcterms:modified xsi:type="dcterms:W3CDTF">2022-08-01T08:51:30Z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6FCFFE975B114379948B5D5F256468DD</vt:lpwstr>
  </property>
</Properties>
</file>