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60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 xml:space="preserve">        </w:t>
      </w:r>
    </w:p>
    <w:p>
      <w:pPr>
        <w:widowControl/>
        <w:suppressAutoHyphens/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家电家居以旧换新消费券适用商品种类</w:t>
      </w:r>
    </w:p>
    <w:p>
      <w:pPr>
        <w:widowControl/>
        <w:suppressAutoHyphens/>
        <w:spacing w:line="600" w:lineRule="exact"/>
        <w:ind w:firstLine="723" w:firstLineChars="200"/>
        <w:rPr>
          <w:rFonts w:hint="eastAsia" w:ascii="仿宋_GB2312" w:hAnsi="仿宋_GB2312" w:eastAsia="仿宋_GB2312" w:cs="仿宋_GB2312"/>
          <w:b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16类高效低碳的绿色节能商品。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一级能效（水效）的电视机、空调、电冰箱、洗衣机、烘衣机、电脑、热水器（包括燃气壁挂炉）、吸油烟机、燃气灶具、空气净化器、微波炉、投影设备、洗碗机、坐便器（包括智能马桶）、净水机、淋浴器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.10类提升家庭生活智能化的智能家居商品。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包括：扫地机器人、智能马桶盖、吸尘器、电烤箱、洗地机、垃圾处理器、音响（箱）、智能门锁、智能沙发、智能床。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04245"/>
    <w:rsid w:val="0940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2024-10-12T01:32:00Z</dcterms:created>
  <dc:creator>范大悦</dc:creator>
  <cp:lastModifiedBy>范大悦</cp:lastModifiedBy>
  <dcterms:modified xsi:type="dcterms:W3CDTF">2024-10-12T01:33:08Z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613361379C5E4A7FB18CE5069678477E</vt:lpwstr>
  </property>
</Properties>
</file>