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2"/>
          <w:szCs w:val="4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000000"/>
          <w:spacing w:val="0"/>
          <w:sz w:val="42"/>
          <w:szCs w:val="42"/>
          <w:bdr w:val="none" w:color="auto" w:sz="0" w:space="0"/>
        </w:rPr>
        <w:t>《行政复议法》的有关规定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第六条　有下列情形之一的，公民、法人或者其他组织可以依照本法申请行政复议：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（一）对行政机关作出的警告、罚款、没收违法所得、没收非法财物、责令停产停业、暂扣或者吊销许可证、暂扣或者吊销执照、行政拘留等行政处罚决定不服的；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（二）对行政机关作出的限制人身自由或者查封、扣押、冻结财产等行政强制措施决定不服的；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（三）对行政机关作出的有关许可证、执照、资质证、资格证等证书变更、中止、撤销的决定不服的；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（四）对行政机关作出的关于确认土地、矿藏、水流、森林、山岭、草原、荒地、滩涂、海域等自然资源的所有权或者使用权的决定不服的；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（五）认为行政机关侵犯合法的经营自主权的；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（六）认为行政机关变更或者废止农业承包合同，侵犯其合法权益的；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（七）认为行政机关违法集资、征收财物、摊派费用或者违法要求履行其他义务的；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（八）认为符合法定条件，申请行政机关颁发许可证、执照、资质证、资格证等证书，或者申请行政机关审批、登记有关事项，行政机关没有依法办理的；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（九）申请行政机关履行保护人身权利、财产权利、受教育权利的法定职责，行政机关没有依法履行的；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（十）申请行政机关依法发放抚恤金、社会保险金或者最低生活保障费，行政机关没有依法发放的；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（十一）认为行政机关的其他具体行政行为侵犯其合法权益的。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第九条　公民、法人或者其他组织认为具体行政行为侵犯其合法权益的，可以自知道该具体行政行为之日起六十日内提出行政复议申请；但是法律规定的申请期限超过六十日的除外。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因不可抗力或者其他正当理由耽误法定申请期限的，申请期限自障碍消除之日起继续计算。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第二十九条　申请人在申请行政复议时可以一并提出行政赔偿请求，行政复议机关对符合国家赔偿法的有关规定应当给予赔偿的，在决定撤销、变更具体行政行为或者确认具体行政行为违法时，应当同时决定被申请人依法给予赔偿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申请人在申请行政复议时没有提出行政赔偿请求的，行政复议机关在依法决定撤销或者变更罚款，撤销违法集资、没收财物、征收财物、摊派费用以及对财产的查封、扣押、冻结等具体行政行为时，应当同时责令被申请人返还财产，解除对财产的查封、扣押、冻结措施，或者赔偿相应的价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67345"/>
    <w:rsid w:val="72F6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2022-07-27T07:27:00Z</dcterms:created>
  <dc:creator>白菜</dc:creator>
  <cp:lastModifiedBy>白菜</cp:lastModifiedBy>
  <dcterms:modified xsi:type="dcterms:W3CDTF">2022-07-27T07:27:46Z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