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both"/>
        <w:rPr>
          <w:rFonts w:hint="eastAsia"/>
          <w:color w:val="auto"/>
          <w:highlight w:val="none"/>
        </w:rPr>
      </w:pPr>
      <w:r>
        <w:rPr>
          <w:rFonts w:hint="eastAsia" w:ascii="黑体" w:hAnsi="黑体" w:eastAsia="黑体" w:cs="黑体"/>
          <w:color w:val="auto"/>
          <w:sz w:val="28"/>
          <w:szCs w:val="28"/>
          <w:highlight w:val="none"/>
          <w:lang w:eastAsia="zh-CN"/>
        </w:rPr>
        <w:t>附件</w:t>
      </w:r>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p>
    <w:p>
      <w:pPr>
        <w:bidi w:val="0"/>
        <w:jc w:val="center"/>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【2024.</w:t>
      </w:r>
      <w:r>
        <w:rPr>
          <w:rFonts w:hint="default" w:ascii="方正小标宋简体" w:hAnsi="方正小标宋简体" w:eastAsia="方正小标宋简体" w:cs="方正小标宋简体"/>
          <w:color w:val="auto"/>
          <w:sz w:val="32"/>
          <w:szCs w:val="32"/>
          <w:highlight w:val="none"/>
          <w:lang w:val="en-US" w:eastAsia="zh-CN"/>
        </w:rPr>
        <w:t>7</w:t>
      </w:r>
      <w:r>
        <w:rPr>
          <w:rFonts w:hint="eastAsia" w:ascii="方正小标宋简体" w:hAnsi="方正小标宋简体" w:eastAsia="方正小标宋简体" w:cs="方正小标宋简体"/>
          <w:color w:val="auto"/>
          <w:sz w:val="32"/>
          <w:szCs w:val="32"/>
          <w:highlight w:val="none"/>
          <w:lang w:val="en-US" w:eastAsia="zh-CN"/>
        </w:rPr>
        <w:t>噪声法分工、安全生产裁量</w:t>
      </w:r>
      <w:r>
        <w:rPr>
          <w:rFonts w:hint="eastAsia" w:ascii="方正小标宋简体" w:hAnsi="方正小标宋简体" w:eastAsia="方正小标宋简体" w:cs="方正小标宋简体"/>
          <w:color w:val="auto"/>
          <w:sz w:val="32"/>
          <w:szCs w:val="32"/>
          <w:highlight w:val="none"/>
          <w:lang w:eastAsia="zh-CN"/>
        </w:rPr>
        <w:t>调整】</w:t>
      </w:r>
    </w:p>
    <w:p>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_Toc1981015615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_Toc1981015615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_Toc1859084654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_Toc1859084654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_Toc1716261181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_Toc1716261181 \h </w:instrText>
          </w:r>
          <w:r>
            <w:fldChar w:fldCharType="separate"/>
          </w:r>
          <w:r>
            <w:t>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_Toc1631089704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_Toc1631089704 \h </w:instrText>
          </w:r>
          <w:r>
            <w:fldChar w:fldCharType="separate"/>
          </w:r>
          <w:r>
            <w:t>20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_Toc763570746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_Toc763570746 \h </w:instrText>
          </w:r>
          <w:r>
            <w:fldChar w:fldCharType="separate"/>
          </w:r>
          <w:r>
            <w:t>22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_Toc1046440714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_Toc1046440714 \h </w:instrText>
          </w:r>
          <w:r>
            <w:fldChar w:fldCharType="separate"/>
          </w:r>
          <w:r>
            <w:t>25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_Toc1531171604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_Toc1531171604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_Toc1169203885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_Toc1169203885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_Toc114467569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_Toc114467569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_Toc1597132697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_Toc1597132697 \h </w:instrText>
          </w:r>
          <w:r>
            <w:fldChar w:fldCharType="separate"/>
          </w:r>
          <w:r>
            <w:t>32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_Toc1608572295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_Toc1608572295 \h </w:instrText>
          </w:r>
          <w:r>
            <w:fldChar w:fldCharType="separate"/>
          </w:r>
          <w:r>
            <w:t>33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_Toc873097592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_Toc873097592 \h </w:instrText>
          </w:r>
          <w:r>
            <w:fldChar w:fldCharType="separate"/>
          </w:r>
          <w:r>
            <w:t>34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_Toc1184987992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_Toc1184987992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_Toc1993366508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_Toc1993366508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_Toc1034265769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_Toc1034265769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_Toc1198219356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_Toc1198219356 \h </w:instrText>
          </w:r>
          <w:r>
            <w:fldChar w:fldCharType="separate"/>
          </w:r>
          <w:r>
            <w:t>43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_Toc1315090803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_Toc1315090803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_Toc1065874877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_Toc1065874877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_Toc68918608 </w:instrText>
          </w:r>
          <w:r>
            <w:rPr>
              <w:highlight w:val="none"/>
            </w:rPr>
            <w:fldChar w:fldCharType="separate"/>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zh-CN"/>
            </w:rPr>
            <w:t>北京市国际交往语言环境建设条例</w:t>
          </w:r>
          <w:r>
            <w:rPr>
              <w:rFonts w:hint="eastAsia" w:asciiTheme="minorEastAsia" w:hAnsiTheme="minorEastAsia" w:eastAsiaTheme="minorEastAsia"/>
              <w:szCs w:val="21"/>
              <w:highlight w:val="none"/>
            </w:rPr>
            <w:t>》案由4项</w:t>
          </w:r>
          <w:r>
            <w:tab/>
          </w:r>
          <w:r>
            <w:fldChar w:fldCharType="begin"/>
          </w:r>
          <w:r>
            <w:instrText xml:space="preserve"> PAGEREF _Toc68918608 \h </w:instrText>
          </w:r>
          <w:r>
            <w:fldChar w:fldCharType="separate"/>
          </w:r>
          <w:r>
            <w:t>44</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_Toc343261123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_Toc343261123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_Toc1020309817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_Toc1020309817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_Toc1119823230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_Toc1119823230 \h </w:instrText>
          </w:r>
          <w:r>
            <w:fldChar w:fldCharType="separate"/>
          </w:r>
          <w:r>
            <w:t>46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_Toc697382673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_Toc697382673 \h </w:instrText>
          </w:r>
          <w:r>
            <w:fldChar w:fldCharType="separate"/>
          </w:r>
          <w:r>
            <w:t>47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_Toc2062208648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_Toc2062208648 \h </w:instrText>
          </w:r>
          <w:r>
            <w:fldChar w:fldCharType="separate"/>
          </w:r>
          <w:r>
            <w:t>50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_Toc1333093317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_Toc1333093317 \h </w:instrText>
          </w:r>
          <w:r>
            <w:fldChar w:fldCharType="separate"/>
          </w:r>
          <w:r>
            <w:t>51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_Toc312584811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_Toc312584811 \h </w:instrText>
          </w:r>
          <w:r>
            <w:fldChar w:fldCharType="separate"/>
          </w:r>
          <w:r>
            <w:t>51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_Toc277302333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_Toc277302333 \h </w:instrText>
          </w:r>
          <w:r>
            <w:fldChar w:fldCharType="separate"/>
          </w:r>
          <w:r>
            <w:t>61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_Toc226560937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_Toc226560937 \h </w:instrText>
          </w:r>
          <w:r>
            <w:fldChar w:fldCharType="separate"/>
          </w:r>
          <w:r>
            <w:t>71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_Toc1974241014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_Toc1974241014 \h </w:instrText>
          </w:r>
          <w:r>
            <w:fldChar w:fldCharType="separate"/>
          </w:r>
          <w:r>
            <w:t>71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_Toc1180295235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_Toc1180295235 \h </w:instrText>
          </w:r>
          <w:r>
            <w:fldChar w:fldCharType="separate"/>
          </w:r>
          <w:r>
            <w:t>72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_Toc450128508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_Toc450128508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_Toc1807772981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_Toc1807772981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_Toc891896242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_Toc891896242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_Toc18906041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_Toc18906041 \h </w:instrText>
          </w:r>
          <w:r>
            <w:fldChar w:fldCharType="separate"/>
          </w:r>
          <w:r>
            <w:t>79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_Toc1291379037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_Toc1291379037 \h </w:instrText>
          </w:r>
          <w:r>
            <w:fldChar w:fldCharType="separate"/>
          </w:r>
          <w:r>
            <w:t>80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_Toc1655466988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_Toc1655466988 \h </w:instrText>
          </w:r>
          <w:r>
            <w:fldChar w:fldCharType="separate"/>
          </w:r>
          <w:r>
            <w:t>81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_Toc1065346755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_Toc1065346755 \h </w:instrText>
          </w:r>
          <w:r>
            <w:fldChar w:fldCharType="separate"/>
          </w:r>
          <w:r>
            <w:t>81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_Toc675066993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_Toc675066993 \h </w:instrText>
          </w:r>
          <w:r>
            <w:fldChar w:fldCharType="separate"/>
          </w:r>
          <w:r>
            <w:t>85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_Toc677187225 </w:instrText>
          </w:r>
          <w:r>
            <w:rPr>
              <w:highlight w:val="none"/>
            </w:rPr>
            <w:fldChar w:fldCharType="separate"/>
          </w:r>
          <w:r>
            <w:rPr>
              <w:rFonts w:hint="eastAsia" w:asciiTheme="minorEastAsia" w:hAnsiTheme="minorEastAsia" w:eastAsiaTheme="minorEastAsia"/>
              <w:szCs w:val="21"/>
              <w:highlight w:val="none"/>
            </w:rPr>
            <w:t>《北京市古树名木保护管理条例》案由11项</w:t>
          </w:r>
          <w:r>
            <w:tab/>
          </w:r>
          <w:r>
            <w:fldChar w:fldCharType="begin"/>
          </w:r>
          <w:r>
            <w:instrText xml:space="preserve"> PAGEREF _Toc677187225 \h </w:instrText>
          </w:r>
          <w:r>
            <w:fldChar w:fldCharType="separate"/>
          </w:r>
          <w:r>
            <w:t>85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_Toc1179814324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_Toc1179814324 \h </w:instrText>
          </w:r>
          <w:r>
            <w:fldChar w:fldCharType="separate"/>
          </w:r>
          <w:r>
            <w:t>88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_Toc124716043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_Toc124716043 \h </w:instrText>
          </w:r>
          <w:r>
            <w:fldChar w:fldCharType="separate"/>
          </w:r>
          <w:r>
            <w:t>91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_Toc138275872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_Toc138275872 \h </w:instrText>
          </w:r>
          <w:r>
            <w:fldChar w:fldCharType="separate"/>
          </w:r>
          <w:r>
            <w:t>91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_Toc2052911917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_Toc2052911917 \h </w:instrText>
          </w:r>
          <w:r>
            <w:fldChar w:fldCharType="separate"/>
          </w:r>
          <w:r>
            <w:t>94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_Toc1309704035 </w:instrText>
          </w:r>
          <w:r>
            <w:rPr>
              <w:highlight w:val="none"/>
            </w:rPr>
            <w:fldChar w:fldCharType="separate"/>
          </w:r>
          <w:r>
            <w:rPr>
              <w:rFonts w:hint="eastAsia" w:asciiTheme="minorEastAsia" w:hAnsiTheme="minorEastAsia" w:eastAsiaTheme="minorEastAsia"/>
              <w:szCs w:val="21"/>
              <w:highlight w:val="none"/>
            </w:rPr>
            <w:t>《北京市环境噪声污染防治办法》案由</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项</w:t>
          </w:r>
          <w:r>
            <w:tab/>
          </w:r>
          <w:r>
            <w:fldChar w:fldCharType="begin"/>
          </w:r>
          <w:r>
            <w:instrText xml:space="preserve"> PAGEREF _Toc1309704035 \h </w:instrText>
          </w:r>
          <w:r>
            <w:fldChar w:fldCharType="separate"/>
          </w:r>
          <w:r>
            <w:t>95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_Toc2131642380 </w:instrText>
          </w:r>
          <w:r>
            <w:rPr>
              <w:highlight w:val="none"/>
            </w:rPr>
            <w:fldChar w:fldCharType="separate"/>
          </w:r>
          <w:r>
            <w:rPr>
              <w:rFonts w:hint="eastAsia" w:asciiTheme="minorEastAsia" w:hAnsiTheme="minorEastAsia" w:eastAsiaTheme="minorEastAsia"/>
              <w:szCs w:val="21"/>
              <w:highlight w:val="none"/>
            </w:rPr>
            <w:t>《中华人民共和国噪声污染防治法》案由</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项</w:t>
          </w:r>
          <w:r>
            <w:tab/>
          </w:r>
          <w:r>
            <w:fldChar w:fldCharType="begin"/>
          </w:r>
          <w:r>
            <w:instrText xml:space="preserve"> PAGEREF _Toc2131642380 \h </w:instrText>
          </w:r>
          <w:r>
            <w:fldChar w:fldCharType="separate"/>
          </w:r>
          <w:r>
            <w:t>96</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_Toc939694038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_Toc939694038 \h </w:instrText>
          </w:r>
          <w:r>
            <w:fldChar w:fldCharType="separate"/>
          </w:r>
          <w:r>
            <w:t>97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_Toc360439743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_Toc360439743 \h </w:instrText>
          </w:r>
          <w:r>
            <w:fldChar w:fldCharType="separate"/>
          </w:r>
          <w:r>
            <w:t>97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_Toc1299249536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_Toc1299249536 \h </w:instrText>
          </w:r>
          <w:r>
            <w:fldChar w:fldCharType="separate"/>
          </w:r>
          <w:r>
            <w:t>99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_Toc2005568916 </w:instrText>
          </w:r>
          <w:r>
            <w:rPr>
              <w:highlight w:val="none"/>
            </w:rPr>
            <w:fldChar w:fldCharType="separate"/>
          </w:r>
          <w:r>
            <w:rPr>
              <w:rFonts w:hint="eastAsia" w:ascii="黑体" w:hAnsi="黑体" w:eastAsia="黑体"/>
              <w:szCs w:val="36"/>
              <w:highlight w:val="none"/>
            </w:rPr>
            <w:t>停车场管理方面案由</w:t>
          </w:r>
          <w:r>
            <w:tab/>
          </w:r>
          <w:r>
            <w:fldChar w:fldCharType="begin"/>
          </w:r>
          <w:r>
            <w:instrText xml:space="preserve"> PAGEREF _Toc2005568916 \h </w:instrText>
          </w:r>
          <w:r>
            <w:fldChar w:fldCharType="separate"/>
          </w:r>
          <w:r>
            <w:t>102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_Toc429358351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_Toc429358351 \h </w:instrText>
          </w:r>
          <w:r>
            <w:fldChar w:fldCharType="separate"/>
          </w:r>
          <w:r>
            <w:t>102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_Toc1642510659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_Toc1642510659 \h </w:instrText>
          </w:r>
          <w:r>
            <w:fldChar w:fldCharType="separate"/>
          </w:r>
          <w:r>
            <w:t>105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_Toc878395085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_Toc878395085 \h </w:instrText>
          </w:r>
          <w:r>
            <w:fldChar w:fldCharType="separate"/>
          </w:r>
          <w:r>
            <w:t>106</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_Toc1549181582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_Toc1549181582 \h </w:instrText>
          </w:r>
          <w:r>
            <w:fldChar w:fldCharType="separate"/>
          </w:r>
          <w:r>
            <w:t>107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_Toc192409684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_Toc192409684 \h </w:instrText>
          </w:r>
          <w:r>
            <w:fldChar w:fldCharType="separate"/>
          </w:r>
          <w:r>
            <w:t>107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_Toc793120085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_Toc793120085 \h </w:instrText>
          </w:r>
          <w:r>
            <w:fldChar w:fldCharType="separate"/>
          </w:r>
          <w:r>
            <w:t>108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_Toc734791251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_Toc734791251 \h </w:instrText>
          </w:r>
          <w:r>
            <w:fldChar w:fldCharType="separate"/>
          </w:r>
          <w:r>
            <w:t>108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_Toc504994495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_Toc504994495 \h </w:instrText>
          </w:r>
          <w:r>
            <w:fldChar w:fldCharType="separate"/>
          </w:r>
          <w:r>
            <w:t>108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_Toc1070422418 </w:instrText>
          </w:r>
          <w:r>
            <w:rPr>
              <w:highlight w:val="none"/>
            </w:rPr>
            <w:fldChar w:fldCharType="separate"/>
          </w:r>
          <w:r>
            <w:rPr>
              <w:rFonts w:hint="eastAsia" w:ascii="黑体" w:hAnsi="黑体" w:eastAsia="黑体"/>
              <w:szCs w:val="36"/>
              <w:highlight w:val="none"/>
            </w:rPr>
            <w:t>城市规划管理方面</w:t>
          </w:r>
          <w:r>
            <w:tab/>
          </w:r>
          <w:r>
            <w:fldChar w:fldCharType="begin"/>
          </w:r>
          <w:r>
            <w:instrText xml:space="preserve"> PAGEREF _Toc1070422418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_Toc961352188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_Toc961352188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_Toc331751861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_Toc331751861 \h </w:instrText>
          </w:r>
          <w:r>
            <w:fldChar w:fldCharType="separate"/>
          </w:r>
          <w:r>
            <w:t>110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_Toc103234006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_Toc103234006 \h </w:instrText>
          </w:r>
          <w:r>
            <w:fldChar w:fldCharType="separate"/>
          </w:r>
          <w:r>
            <w:t>110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_Toc1411480696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_Toc1411480696 \h </w:instrText>
          </w:r>
          <w:r>
            <w:fldChar w:fldCharType="separate"/>
          </w:r>
          <w:r>
            <w:t>110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_Toc2139524843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_Toc2139524843 \h </w:instrText>
          </w:r>
          <w:r>
            <w:fldChar w:fldCharType="separate"/>
          </w:r>
          <w:r>
            <w:t>110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_Toc995130248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_Toc995130248 \h </w:instrText>
          </w:r>
          <w:r>
            <w:fldChar w:fldCharType="separate"/>
          </w:r>
          <w:r>
            <w:t>116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_Toc1430386737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_Toc1430386737 \h </w:instrText>
          </w:r>
          <w:r>
            <w:fldChar w:fldCharType="separate"/>
          </w:r>
          <w:r>
            <w:t>116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_Toc1283420232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_Toc1283420232 \h </w:instrText>
          </w:r>
          <w:r>
            <w:fldChar w:fldCharType="separate"/>
          </w:r>
          <w:r>
            <w:t>116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_Toc503113588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_Toc503113588 \h </w:instrText>
          </w:r>
          <w:r>
            <w:fldChar w:fldCharType="separate"/>
          </w:r>
          <w:r>
            <w:t>117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_Toc348249845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_Toc348249845 \h </w:instrText>
          </w:r>
          <w:r>
            <w:fldChar w:fldCharType="separate"/>
          </w:r>
          <w:r>
            <w:t>118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_Toc1958487226 </w:instrText>
          </w:r>
          <w:r>
            <w:rPr>
              <w:highlight w:val="none"/>
            </w:rPr>
            <w:fldChar w:fldCharType="separate"/>
          </w:r>
          <w:r>
            <w:rPr>
              <w:rFonts w:hint="eastAsia"/>
              <w:szCs w:val="21"/>
              <w:lang w:val="en-US" w:eastAsia="zh-CN"/>
            </w:rPr>
            <w:t>《北京市优化营商环境条例》案由1项</w:t>
          </w:r>
          <w:r>
            <w:tab/>
          </w:r>
          <w:r>
            <w:fldChar w:fldCharType="begin"/>
          </w:r>
          <w:r>
            <w:instrText xml:space="preserve"> PAGEREF _Toc1958487226 \h </w:instrText>
          </w:r>
          <w:r>
            <w:fldChar w:fldCharType="separate"/>
          </w:r>
          <w:r>
            <w:t>119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_Toc1180300814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_Toc1180300814 \h </w:instrText>
          </w:r>
          <w:r>
            <w:fldChar w:fldCharType="separate"/>
          </w:r>
          <w:r>
            <w:t>119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_Toc1528064169 </w:instrText>
          </w:r>
          <w:r>
            <w:rPr>
              <w:highlight w:val="none"/>
            </w:rPr>
            <w:fldChar w:fldCharType="separate"/>
          </w:r>
          <w:r>
            <w:rPr>
              <w:rFonts w:hint="eastAsia"/>
              <w:szCs w:val="21"/>
            </w:rPr>
            <w:t>生态环境管理方面4项</w:t>
          </w:r>
          <w:r>
            <w:tab/>
          </w:r>
          <w:r>
            <w:fldChar w:fldCharType="begin"/>
          </w:r>
          <w:r>
            <w:instrText xml:space="preserve"> PAGEREF _Toc1528064169 \h </w:instrText>
          </w:r>
          <w:r>
            <w:fldChar w:fldCharType="separate"/>
          </w:r>
          <w:r>
            <w:t>124</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_Toc2083203269 </w:instrText>
          </w:r>
          <w:r>
            <w:rPr>
              <w:highlight w:val="none"/>
            </w:rPr>
            <w:fldChar w:fldCharType="separate"/>
          </w:r>
          <w:r>
            <w:rPr>
              <w:rFonts w:hint="eastAsia"/>
              <w:szCs w:val="21"/>
            </w:rPr>
            <w:t>水务管理方面20项</w:t>
          </w:r>
          <w:r>
            <w:tab/>
          </w:r>
          <w:r>
            <w:fldChar w:fldCharType="begin"/>
          </w:r>
          <w:r>
            <w:instrText xml:space="preserve"> PAGEREF _Toc2083203269 \h </w:instrText>
          </w:r>
          <w:r>
            <w:fldChar w:fldCharType="separate"/>
          </w:r>
          <w:r>
            <w:t>125</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_Toc1318576686 </w:instrText>
          </w:r>
          <w:r>
            <w:rPr>
              <w:highlight w:val="none"/>
            </w:rPr>
            <w:fldChar w:fldCharType="separate"/>
          </w:r>
          <w:r>
            <w:rPr>
              <w:rFonts w:hint="eastAsia"/>
              <w:szCs w:val="21"/>
            </w:rPr>
            <w:t>农业农村管理方面1项</w:t>
          </w:r>
          <w:r>
            <w:tab/>
          </w:r>
          <w:r>
            <w:fldChar w:fldCharType="begin"/>
          </w:r>
          <w:r>
            <w:instrText xml:space="preserve"> PAGEREF _Toc1318576686 \h </w:instrText>
          </w:r>
          <w:r>
            <w:fldChar w:fldCharType="separate"/>
          </w:r>
          <w:r>
            <w:t>130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_Toc1433492438 </w:instrText>
          </w:r>
          <w:r>
            <w:rPr>
              <w:highlight w:val="none"/>
            </w:rPr>
            <w:fldChar w:fldCharType="separate"/>
          </w:r>
          <w:r>
            <w:rPr>
              <w:rFonts w:hint="eastAsia"/>
              <w:szCs w:val="21"/>
            </w:rPr>
            <w:t>卫生健康管理方面12项</w:t>
          </w:r>
          <w:r>
            <w:tab/>
          </w:r>
          <w:r>
            <w:fldChar w:fldCharType="begin"/>
          </w:r>
          <w:r>
            <w:instrText xml:space="preserve"> PAGEREF _Toc1433492438 \h </w:instrText>
          </w:r>
          <w:r>
            <w:fldChar w:fldCharType="separate"/>
          </w:r>
          <w:r>
            <w:t>130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_Toc1245423656 </w:instrText>
          </w:r>
          <w:r>
            <w:rPr>
              <w:highlight w:val="none"/>
            </w:rPr>
            <w:fldChar w:fldCharType="separate"/>
          </w:r>
          <w:r>
            <w:rPr>
              <w:rFonts w:hint="eastAsia"/>
              <w:bCs/>
              <w:szCs w:val="21"/>
              <w:lang w:eastAsia="zh-CN"/>
            </w:rPr>
            <w:t>住建部门</w:t>
          </w:r>
          <w:r>
            <w:rPr>
              <w:rFonts w:hint="eastAsia"/>
              <w:bCs/>
              <w:szCs w:val="21"/>
              <w:lang w:val="en-US" w:eastAsia="zh-CN"/>
            </w:rPr>
            <w:t>3项</w:t>
          </w:r>
          <w:r>
            <w:tab/>
          </w:r>
          <w:r>
            <w:fldChar w:fldCharType="begin"/>
          </w:r>
          <w:r>
            <w:instrText xml:space="preserve"> PAGEREF _Toc1245423656 \h </w:instrText>
          </w:r>
          <w:r>
            <w:fldChar w:fldCharType="separate"/>
          </w:r>
          <w:r>
            <w:t>132</w:t>
          </w:r>
          <w:r>
            <w:fldChar w:fldCharType="end"/>
          </w:r>
          <w:r>
            <w:rPr>
              <w:color w:val="auto"/>
              <w:highlight w:val="none"/>
            </w:rPr>
            <w:fldChar w:fldCharType="end"/>
          </w:r>
        </w:p>
        <w:p>
          <w:pPr>
            <w:pStyle w:val="22"/>
            <w:tabs>
              <w:tab w:val="left" w:pos="1516"/>
            </w:tabs>
            <w:ind w:left="0" w:leftChars="0" w:firstLine="0" w:firstLineChars="0"/>
            <w:rPr>
              <w:color w:val="auto"/>
              <w:highlight w:val="none"/>
            </w:rPr>
          </w:pPr>
          <w:r>
            <w:rPr>
              <w:color w:val="auto"/>
              <w:highlight w:val="none"/>
            </w:rPr>
            <w:fldChar w:fldCharType="end"/>
          </w:r>
        </w:p>
      </w:sdtContent>
    </w:sdt>
    <w:p>
      <w:pPr>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pPr>
        <w:pStyle w:val="22"/>
        <w:rPr>
          <w:rFonts w:hint="eastAsia"/>
          <w:color w:val="auto"/>
          <w:highlight w:val="none"/>
        </w:rPr>
      </w:pPr>
    </w:p>
    <w:tbl>
      <w:tblPr>
        <w:tblStyle w:val="23"/>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4"/>
              <w:keepNext w:val="0"/>
              <w:keepLines w:val="0"/>
              <w:rPr>
                <w:rFonts w:ascii="黑体" w:hAnsi="黑体" w:eastAsia="黑体"/>
                <w:b w:val="0"/>
                <w:color w:val="auto"/>
                <w:sz w:val="28"/>
                <w:szCs w:val="28"/>
                <w:highlight w:val="none"/>
              </w:rPr>
            </w:pPr>
            <w:bookmarkStart w:id="0" w:name="_Toc110851435"/>
            <w:bookmarkStart w:id="1" w:name="_Toc1748547838"/>
            <w:bookmarkStart w:id="2" w:name="_Toc1981015615"/>
            <w:r>
              <w:rPr>
                <w:rFonts w:hint="eastAsia" w:ascii="黑体" w:hAnsi="黑体" w:eastAsia="黑体"/>
                <w:b w:val="0"/>
                <w:color w:val="auto"/>
                <w:sz w:val="28"/>
                <w:szCs w:val="28"/>
                <w:highlight w:val="none"/>
              </w:rPr>
              <w:t>市容环境卫生管理方面</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5"/>
              <w:widowControl w:val="0"/>
              <w:spacing w:line="232" w:lineRule="exact"/>
              <w:rPr>
                <w:rFonts w:asciiTheme="minorEastAsia" w:hAnsiTheme="minorEastAsia" w:eastAsiaTheme="minorEastAsia"/>
                <w:color w:val="auto"/>
                <w:sz w:val="15"/>
                <w:szCs w:val="15"/>
                <w:highlight w:val="none"/>
              </w:rPr>
            </w:pPr>
            <w:bookmarkStart w:id="3" w:name="_Toc1944272260"/>
            <w:bookmarkStart w:id="4" w:name="_Toc110851436"/>
            <w:bookmarkStart w:id="5" w:name="_Toc1859084654"/>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pPr>
              <w:pStyle w:val="9"/>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pPr>
              <w:pStyle w:val="9"/>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pStyle w:val="9"/>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pPr>
              <w:pStyle w:val="9"/>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pStyle w:val="9"/>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2"/>
              <w:rPr>
                <w:rFonts w:hint="eastAsia"/>
                <w:color w:val="auto"/>
                <w:highlight w:val="none"/>
              </w:rPr>
            </w:pP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22"/>
              <w:spacing w:after="0" w:line="232" w:lineRule="exact"/>
              <w:ind w:firstLine="300"/>
              <w:rPr>
                <w:rFonts w:asciiTheme="minorEastAsia" w:hAnsiTheme="minorEastAsia" w:eastAsiaTheme="minorEastAsia"/>
                <w:color w:val="auto"/>
                <w:sz w:val="15"/>
                <w:szCs w:val="15"/>
                <w:highlight w:val="none"/>
              </w:rPr>
            </w:pPr>
          </w:p>
          <w:p>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110851437"/>
            <w:bookmarkStart w:id="9" w:name="_Toc1716261181"/>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pPr>
              <w:pStyle w:val="2"/>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10" w:name="_Toc110851438"/>
            <w:bookmarkStart w:id="11" w:name="_Toc726075658"/>
            <w:bookmarkStart w:id="12" w:name="_Toc1631089704"/>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pPr>
              <w:pStyle w:val="5"/>
              <w:widowControl w:val="0"/>
              <w:spacing w:line="220" w:lineRule="exact"/>
              <w:jc w:val="center"/>
              <w:rPr>
                <w:rFonts w:asciiTheme="minorEastAsia" w:hAnsiTheme="minorEastAsia" w:eastAsiaTheme="minorEastAsia"/>
                <w:color w:val="auto"/>
                <w:sz w:val="15"/>
                <w:szCs w:val="15"/>
                <w:highlight w:val="none"/>
              </w:rPr>
            </w:pPr>
            <w:bookmarkStart w:id="13" w:name="_Toc1544417110"/>
            <w:bookmarkStart w:id="14" w:name="_Toc763570746"/>
            <w:bookmarkStart w:id="15" w:name="_Toc110851439"/>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pStyle w:val="2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16" w:name="_Toc80602247"/>
            <w:bookmarkStart w:id="17" w:name="_Toc1046440714"/>
            <w:bookmarkStart w:id="18" w:name="_Toc110851440"/>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pPr>
              <w:pStyle w:val="2"/>
              <w:rPr>
                <w:rFonts w:hint="eastAsia" w:asciiTheme="minorEastAsia" w:hAnsiTheme="minorEastAsia" w:eastAsiaTheme="minorEastAsia"/>
                <w:color w:val="auto"/>
                <w:sz w:val="15"/>
                <w:szCs w:val="15"/>
                <w:highlight w:val="none"/>
                <w:lang w:eastAsia="zh-CN"/>
              </w:rPr>
            </w:pPr>
          </w:p>
          <w:p>
            <w:pPr>
              <w:pStyle w:val="3"/>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19" w:name="_Toc812078872"/>
            <w:bookmarkStart w:id="20" w:name="_Toc110851441"/>
            <w:bookmarkStart w:id="21" w:name="_Toc1531171604"/>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22" w:name="_Toc110851442"/>
            <w:bookmarkStart w:id="23" w:name="_Toc1567388814"/>
            <w:bookmarkStart w:id="24" w:name="_Toc1169203885"/>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25" w:name="_Toc764526123"/>
            <w:bookmarkStart w:id="26" w:name="_Toc114467569"/>
            <w:bookmarkStart w:id="27" w:name="_Toc110851443"/>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1597132697"/>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31" w:name="_Toc110851446"/>
            <w:bookmarkStart w:id="32" w:name="_Toc2072230684"/>
            <w:bookmarkStart w:id="33" w:name="_Toc1608572295"/>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873097592"/>
            <w:bookmarkStart w:id="36" w:name="_Toc660874911"/>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pPr>
              <w:pStyle w:val="2"/>
              <w:rPr>
                <w:rFonts w:hint="eastAsia"/>
                <w:color w:val="auto"/>
                <w:highlight w:val="none"/>
                <w:lang w:eastAsia="zh-CN"/>
              </w:rPr>
            </w:pPr>
          </w:p>
          <w:p>
            <w:pPr>
              <w:pStyle w:val="2"/>
              <w:rPr>
                <w:color w:val="auto"/>
                <w:highlight w:val="none"/>
              </w:rPr>
            </w:pPr>
          </w:p>
        </w:tc>
        <w:tc>
          <w:tcPr>
            <w:tcW w:w="824" w:type="dxa"/>
            <w:vMerge w:val="restart"/>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pPr>
              <w:pStyle w:val="2"/>
              <w:rPr>
                <w:rFonts w:hint="default"/>
                <w:color w:val="auto"/>
                <w:highlight w:val="none"/>
                <w:lang w:val="en-US" w:eastAsia="zh-CN"/>
              </w:rPr>
            </w:pPr>
          </w:p>
        </w:tc>
        <w:tc>
          <w:tcPr>
            <w:tcW w:w="1785"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10851448"/>
            <w:bookmarkStart w:id="38" w:name="_Toc495418307"/>
            <w:bookmarkStart w:id="39" w:name="_Toc1184987992"/>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10851449"/>
            <w:bookmarkStart w:id="41" w:name="_Toc1993366508"/>
            <w:bookmarkStart w:id="42" w:name="_Toc986557284"/>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110851450"/>
            <w:bookmarkStart w:id="45" w:name="_Toc1034265769"/>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110851451"/>
            <w:bookmarkStart w:id="47" w:name="_Toc958675012"/>
            <w:bookmarkStart w:id="48" w:name="_Toc1198219356"/>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563678502"/>
            <w:bookmarkStart w:id="51" w:name="_Toc1315090803"/>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4"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110851453"/>
            <w:bookmarkStart w:id="53" w:name="_Toc275604405"/>
            <w:bookmarkStart w:id="54" w:name="_Toc1065874877"/>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atLeast"/>
          <w:jc w:val="center"/>
        </w:trPr>
        <w:tc>
          <w:tcPr>
            <w:tcW w:w="9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06"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asciiTheme="minorEastAsia" w:hAnsiTheme="minorEastAsia" w:eastAsiaTheme="minorEastAsia"/>
                <w:color w:val="auto"/>
                <w:sz w:val="15"/>
                <w:szCs w:val="15"/>
                <w:highlight w:val="none"/>
              </w:rPr>
            </w:pPr>
            <w:bookmarkStart w:id="55" w:name="_Toc68918608"/>
            <w:bookmarkStart w:id="56" w:name="_Toc110851454"/>
            <w:bookmarkStart w:id="57" w:name="_Toc54194176"/>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zh-CN"/>
              </w:rPr>
              <w:t>北京市国际交往语言环境建设条例</w:t>
            </w:r>
            <w:r>
              <w:rPr>
                <w:rFonts w:hint="eastAsia" w:asciiTheme="minorEastAsia" w:hAnsiTheme="minorEastAsia" w:eastAsiaTheme="minorEastAsia"/>
                <w:color w:val="auto"/>
                <w:sz w:val="21"/>
                <w:szCs w:val="21"/>
                <w:highlight w:val="none"/>
              </w:rPr>
              <w:t>》案由4项</w:t>
            </w:r>
            <w:bookmarkEnd w:id="55"/>
            <w:bookmarkEnd w:id="56"/>
            <w:bookmarkEnd w:id="5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90"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79"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pPr>
              <w:spacing w:line="232" w:lineRule="exact"/>
              <w:ind w:firstLine="333"/>
              <w:jc w:val="center"/>
              <w:rPr>
                <w:rFonts w:asciiTheme="minorEastAsia" w:hAnsiTheme="minorEastAsia" w:eastAsiaTheme="minorEastAsia"/>
                <w:color w:val="auto"/>
                <w:sz w:val="15"/>
                <w:szCs w:val="15"/>
                <w:highlight w:val="none"/>
                <w:lang w:val="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869" w:hRule="atLeast"/>
          <w:jc w:val="center"/>
        </w:trPr>
        <w:tc>
          <w:tcPr>
            <w:tcW w:w="94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pacing w:val="-4"/>
                <w:sz w:val="15"/>
                <w:szCs w:val="15"/>
                <w:highlight w:val="none"/>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651" w:hRule="atLeast"/>
          <w:jc w:val="center"/>
        </w:trPr>
        <w:tc>
          <w:tcPr>
            <w:tcW w:w="9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278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tcBorders>
              <w:left w:val="single" w:color="000000" w:sz="4" w:space="0"/>
              <w:bottom w:val="single" w:color="000000" w:sz="4" w:space="0"/>
              <w:right w:val="single" w:color="000000" w:sz="4" w:space="0"/>
            </w:tcBorders>
            <w:shd w:val="clear" w:color="auto" w:fill="auto"/>
            <w:vAlign w:val="center"/>
          </w:tcPr>
          <w:p>
            <w:pPr>
              <w:pStyle w:val="22"/>
              <w:tabs>
                <w:tab w:val="left" w:pos="0"/>
                <w:tab w:val="left" w:pos="420"/>
              </w:tabs>
              <w:spacing w:line="232" w:lineRule="exact"/>
              <w:ind w:left="0" w:leftChars="0" w:firstLine="0" w:firstLineChars="0"/>
              <w:jc w:val="center"/>
              <w:rPr>
                <w:rFonts w:cs="仿宋_GB2312" w:asciiTheme="minorEastAsia" w:hAnsiTheme="minorEastAsia" w:eastAsiaTheme="minorEastAsia"/>
                <w:color w:val="auto"/>
                <w:sz w:val="15"/>
                <w:szCs w:val="15"/>
                <w:highlight w:val="none"/>
                <w:lang w:val="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413"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sz w:val="15"/>
                <w:szCs w:val="15"/>
                <w:highlight w:val="none"/>
                <w:lang w:val="en" w:eastAsia="zh-CN"/>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4"/>
              <w:bidi w:val="0"/>
              <w:rPr>
                <w:rFonts w:ascii="黑体" w:hAnsi="黑体" w:eastAsia="黑体" w:cs="仿宋_GB2312"/>
                <w:color w:val="auto"/>
                <w:highlight w:val="none"/>
                <w:lang w:val="en"/>
              </w:rPr>
            </w:pPr>
            <w:bookmarkStart w:id="58" w:name="_Toc435705406"/>
            <w:bookmarkStart w:id="59" w:name="_Toc343261123"/>
            <w:r>
              <w:rPr>
                <w:rFonts w:hint="eastAsia" w:ascii="黑体" w:hAnsi="黑体" w:eastAsia="黑体" w:cs="黑体"/>
                <w:b w:val="0"/>
                <w:bCs w:val="0"/>
                <w:color w:val="auto"/>
                <w:highlight w:val="none"/>
              </w:rPr>
              <w:t>市政管理方面</w:t>
            </w:r>
            <w:bookmarkEnd w:id="58"/>
            <w:bookmarkEnd w:id="5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60" w:name="_Toc1018838380"/>
            <w:bookmarkStart w:id="61" w:name="_Toc1020309817"/>
            <w:r>
              <w:rPr>
                <w:rFonts w:hint="eastAsia"/>
                <w:color w:val="auto"/>
                <w:sz w:val="21"/>
                <w:szCs w:val="21"/>
                <w:highlight w:val="none"/>
                <w:lang w:val="en-US" w:eastAsia="zh-CN"/>
              </w:rPr>
              <w:t>《北京市无障碍环境建设条例》案由6</w:t>
            </w:r>
            <w:bookmarkEnd w:id="60"/>
            <w:r>
              <w:rPr>
                <w:rFonts w:hint="eastAsia"/>
                <w:color w:val="auto"/>
                <w:sz w:val="21"/>
                <w:szCs w:val="21"/>
                <w:highlight w:val="none"/>
                <w:lang w:val="en-US" w:eastAsia="zh-CN"/>
              </w:rPr>
              <w:t>项</w:t>
            </w:r>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pPr>
              <w:pStyle w:val="5"/>
              <w:bidi w:val="0"/>
              <w:jc w:val="center"/>
              <w:rPr>
                <w:rFonts w:hint="default" w:ascii="宋体" w:hAnsi="宋体" w:eastAsia="宋体" w:cs="宋体"/>
                <w:color w:val="auto"/>
                <w:sz w:val="21"/>
                <w:szCs w:val="21"/>
                <w:highlight w:val="none"/>
                <w:lang w:val="en-US"/>
              </w:rPr>
            </w:pPr>
            <w:bookmarkStart w:id="62" w:name="_Toc1119823230"/>
            <w:bookmarkStart w:id="63" w:name="_Toc1038902727"/>
            <w:r>
              <w:rPr>
                <w:rFonts w:hint="eastAsia" w:ascii="宋体" w:hAnsi="宋体" w:eastAsia="宋体" w:cs="宋体"/>
                <w:color w:val="auto"/>
                <w:sz w:val="21"/>
                <w:szCs w:val="21"/>
                <w:highlight w:val="none"/>
                <w:lang w:val="en-US" w:eastAsia="zh-CN"/>
              </w:rPr>
              <w:t>《中华人民共和国无障碍环境建设法》案由2项</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pPr>
              <w:pStyle w:val="5"/>
              <w:bidi w:val="0"/>
              <w:jc w:val="center"/>
              <w:rPr>
                <w:color w:val="auto"/>
                <w:highlight w:val="none"/>
              </w:rPr>
            </w:pPr>
            <w:bookmarkStart w:id="64" w:name="_Toc697382673"/>
            <w:r>
              <w:rPr>
                <w:rFonts w:hint="eastAsia"/>
                <w:color w:val="auto"/>
                <w:sz w:val="21"/>
                <w:szCs w:val="21"/>
                <w:highlight w:val="none"/>
              </w:rPr>
              <w:t>《城市道路管理条例》《北京市城市道路管理办法》案由16项</w:t>
            </w:r>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65" w:name="_Toc2062208648"/>
            <w:bookmarkStart w:id="66" w:name="_Toc1973624040"/>
            <w:bookmarkStart w:id="67" w:name="_Toc110851455"/>
            <w:r>
              <w:rPr>
                <w:rFonts w:hint="eastAsia" w:asciiTheme="minorEastAsia" w:hAnsiTheme="minorEastAsia" w:eastAsiaTheme="minorEastAsia"/>
                <w:color w:val="auto"/>
                <w:sz w:val="21"/>
                <w:szCs w:val="21"/>
                <w:highlight w:val="none"/>
              </w:rPr>
              <w:t>《北京市地下设施检查井井盖管理规定》案由5项</w:t>
            </w:r>
            <w:bookmarkEnd w:id="65"/>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68" w:name="_Toc1333093317"/>
            <w:bookmarkStart w:id="69" w:name="_Toc110851456"/>
            <w:bookmarkStart w:id="70" w:name="_Toc1693504403"/>
            <w:r>
              <w:rPr>
                <w:rFonts w:hint="eastAsia" w:ascii="黑体" w:hAnsi="黑体" w:eastAsia="黑体"/>
                <w:b w:val="0"/>
                <w:color w:val="auto"/>
                <w:sz w:val="36"/>
                <w:szCs w:val="36"/>
                <w:highlight w:val="none"/>
              </w:rPr>
              <w:t>公用事业管理方面</w:t>
            </w:r>
            <w:bookmarkEnd w:id="68"/>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1" w:name="_Toc1349825120"/>
            <w:bookmarkStart w:id="72" w:name="_Toc110851457"/>
            <w:bookmarkStart w:id="73" w:name="_Toc312584811"/>
            <w:r>
              <w:rPr>
                <w:rFonts w:hint="eastAsia" w:asciiTheme="minorEastAsia" w:hAnsiTheme="minorEastAsia" w:eastAsiaTheme="minorEastAsia"/>
                <w:color w:val="auto"/>
                <w:sz w:val="21"/>
                <w:szCs w:val="21"/>
                <w:highlight w:val="none"/>
              </w:rPr>
              <w:t>《城镇燃气管理条例》案由30项</w:t>
            </w:r>
            <w:bookmarkEnd w:id="71"/>
            <w:bookmarkEnd w:id="72"/>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9"/>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2"/>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pPr>
              <w:pStyle w:val="2"/>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pPr>
              <w:pStyle w:val="2"/>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pPr>
              <w:pStyle w:val="2"/>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pPr>
              <w:pStyle w:val="22"/>
              <w:ind w:left="0" w:leftChars="0" w:firstLine="0" w:firstLineChars="0"/>
              <w:rPr>
                <w:color w:val="auto"/>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2"/>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pPr>
              <w:pStyle w:val="2"/>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pPr>
              <w:pStyle w:val="2"/>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pPr>
              <w:pStyle w:val="2"/>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4" w:name="_Toc1968530984"/>
            <w:bookmarkStart w:id="75" w:name="_Toc277302333"/>
            <w:bookmarkStart w:id="76" w:name="_Toc110851458"/>
            <w:r>
              <w:rPr>
                <w:rFonts w:hint="eastAsia" w:asciiTheme="minorEastAsia" w:hAnsiTheme="minorEastAsia" w:eastAsiaTheme="minorEastAsia"/>
                <w:color w:val="auto"/>
                <w:sz w:val="21"/>
                <w:szCs w:val="21"/>
                <w:highlight w:val="none"/>
              </w:rPr>
              <w:t>《北京市燃气管理条例》案由26项</w:t>
            </w:r>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w:t>
            </w:r>
            <w:bookmarkStart w:id="219" w:name="_GoBack"/>
            <w:bookmarkEnd w:id="219"/>
            <w:r>
              <w:rPr>
                <w:rFonts w:hint="eastAsia" w:cs="仿宋_GB2312" w:asciiTheme="minorEastAsia" w:hAnsiTheme="minorEastAsia" w:eastAsiaTheme="minorEastAsia"/>
                <w:color w:val="auto"/>
                <w:kern w:val="0"/>
                <w:sz w:val="15"/>
                <w:szCs w:val="15"/>
                <w:highlight w:val="none"/>
              </w:rPr>
              <w:t>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7" w:name="_Toc697937810"/>
            <w:bookmarkStart w:id="78" w:name="_Toc226560937"/>
            <w:bookmarkStart w:id="79" w:name="_Toc110851459"/>
            <w:r>
              <w:rPr>
                <w:rFonts w:hint="eastAsia" w:asciiTheme="minorEastAsia" w:hAnsiTheme="minorEastAsia" w:eastAsiaTheme="minorEastAsia"/>
                <w:color w:val="auto"/>
                <w:sz w:val="21"/>
                <w:szCs w:val="21"/>
                <w:highlight w:val="none"/>
              </w:rPr>
              <w:t>《北京市消防条例》案由1项</w:t>
            </w:r>
            <w:bookmarkEnd w:id="77"/>
            <w:bookmarkEnd w:id="78"/>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10851460"/>
            <w:bookmarkStart w:id="81" w:name="_Toc1826085962"/>
            <w:bookmarkStart w:id="82" w:name="_Toc1974241014"/>
            <w:r>
              <w:rPr>
                <w:rFonts w:hint="eastAsia" w:asciiTheme="minorEastAsia" w:hAnsiTheme="minorEastAsia" w:eastAsiaTheme="minorEastAsia"/>
                <w:color w:val="auto"/>
                <w:sz w:val="21"/>
                <w:szCs w:val="21"/>
                <w:highlight w:val="none"/>
              </w:rPr>
              <w:t>《北京市清洁燃料车辆加气站管理规定》案由7项</w:t>
            </w:r>
            <w:bookmarkEnd w:id="80"/>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使用明火检查燃气泄</w:t>
            </w:r>
            <w:r>
              <w:rPr>
                <w:rFonts w:hint="eastAsia" w:cs="宋体" w:asciiTheme="minorEastAsia" w:hAnsiTheme="minorEastAsia" w:eastAsiaTheme="minorEastAsia"/>
                <w:color w:val="auto"/>
                <w:kern w:val="0"/>
                <w:sz w:val="15"/>
                <w:szCs w:val="15"/>
                <w:highlight w:val="none"/>
                <w:lang w:eastAsia="zh-CN"/>
              </w:rPr>
              <w:t>漏</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1473999580"/>
            <w:bookmarkStart w:id="84" w:name="_Toc110851461"/>
            <w:bookmarkStart w:id="85" w:name="_Toc1180295235"/>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3"/>
            <w:bookmarkEnd w:id="84"/>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6" w:name="_Toc110851462"/>
            <w:bookmarkStart w:id="87" w:name="_Toc450128508"/>
            <w:bookmarkStart w:id="88" w:name="_Toc984069521"/>
            <w:r>
              <w:rPr>
                <w:rFonts w:hint="eastAsia" w:asciiTheme="minorEastAsia" w:hAnsiTheme="minorEastAsia" w:eastAsiaTheme="minorEastAsia"/>
                <w:color w:val="auto"/>
                <w:sz w:val="21"/>
                <w:szCs w:val="21"/>
                <w:highlight w:val="none"/>
              </w:rPr>
              <w:t>《北京市民用建筑节能管理办法》案由2项</w:t>
            </w:r>
            <w:bookmarkEnd w:id="86"/>
            <w:bookmarkEnd w:id="87"/>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9" w:name="_Toc636329439"/>
            <w:bookmarkStart w:id="90" w:name="_Toc1807772981"/>
            <w:bookmarkStart w:id="91" w:name="_Toc2100881276"/>
            <w:bookmarkStart w:id="92" w:name="_Toc110851463"/>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9"/>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pPr>
              <w:pStyle w:val="2"/>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3" w:name="_Toc891896242"/>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91"/>
            <w:bookmarkEnd w:id="92"/>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1.未履行第一项至第七项中任一项职责的，处 2 万元以上 3 万元以下的罚款；逾期未改正的，处 5 万元以上 7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2.未履行第一项至第七项中任两项职责的，处 3 万元以上 4 万元以下的罚款；逾期未改正的，处 7 万元以上 9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3.未履行第一项至第七项中任三项以上职责的，处 4 万元以上 5 万元以下的罚款；逾期未改正的，处 9 万元以上 10 万元以下的罚款。</w:t>
            </w:r>
          </w:p>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highlight w:val="none"/>
                <w:lang w:val="en-US" w:eastAsia="zh-CN"/>
              </w:rPr>
              <w:t>北京市安全生产行政处罚自由裁量基准（</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widowControl/>
              <w:suppressLineNumbers w:val="0"/>
              <w:jc w:val="left"/>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1.除矿山、金属冶炼、建筑施工、运输单位和危险物品的生产、经营、储存、装卸单位以外的生产经营单位，从业人员总数为 100人或者 100人以下， 未配备专职或者兼职安全生产管理人员的处 3万元以下的罚款；逾期未改正的，并处 10 万元以上 13万元以下的罚款，对其直接负责的主管人员和其他直接责任人员处2万元以上3万元以下的罚款；</w:t>
            </w:r>
          </w:p>
          <w:p>
            <w:pPr>
              <w:keepNext w:val="0"/>
              <w:keepLines w:val="0"/>
              <w:widowControl/>
              <w:suppressLineNumbers w:val="0"/>
              <w:jc w:val="left"/>
              <w:rPr>
                <w:sz w:val="15"/>
                <w:szCs w:val="15"/>
              </w:rPr>
            </w:pPr>
            <w:r>
              <w:rPr>
                <w:rFonts w:ascii="宋体" w:hAnsi="宋体" w:eastAsia="宋体" w:cs="宋体"/>
                <w:kern w:val="0"/>
                <w:sz w:val="15"/>
                <w:szCs w:val="15"/>
                <w:lang w:val="en-US" w:eastAsia="zh-CN" w:bidi="ar"/>
              </w:rPr>
              <w:t xml:space="preserve"> 2.除矿山、金属冶炼、建筑施工、运输单位和危险物品的生产、经营、储存、装卸单位以外的生产经营单位，从业人员总数超过 100 人，未设置安全生产管理机构或者未配备专职安全生产管理人员的，处3万元以上5万元以下的罚款；逾期未改正的，并处13万元以上15万元以下的罚款，对其直接负责的主管人员和其他直接责任人员处3万元以上4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dstrike w:val="0"/>
                <w:color w:val="auto"/>
                <w:kern w:val="0"/>
                <w:sz w:val="15"/>
                <w:szCs w:val="15"/>
                <w:highlight w:val="none"/>
                <w:lang w:val="en-US" w:eastAsia="zh-CN" w:bidi="ar-SA"/>
              </w:rPr>
              <w:t>1</w:t>
            </w:r>
            <w:r>
              <w:rPr>
                <w:rFonts w:hint="eastAsia" w:cs="宋体" w:asciiTheme="minorEastAsia" w:hAnsiTheme="minorEastAsia" w:eastAsiaTheme="minorEastAsia"/>
                <w:strike w:val="0"/>
                <w:dstrike w:val="0"/>
                <w:color w:val="auto"/>
                <w:kern w:val="0"/>
                <w:sz w:val="15"/>
                <w:szCs w:val="15"/>
                <w:highlight w:val="none"/>
                <w:lang w:val="en-US" w:eastAsia="zh-CN" w:bidi="ar-SA"/>
              </w:rPr>
              <w:t>.未履行第一项至第七项中任一项职责的，处1万元以上2万元以下的罚款；</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2.未履行第一项至第七项中任两项职责的，处2万元以上3万元以下的罚款；</w:t>
            </w:r>
          </w:p>
          <w:p>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3.未履行第一项至第七项中任三项以上职责的，处3万元的罚款；</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对从业人员、被派遣劳动者、实习学生进行安全生产教育和培训的人数为3人以下的，处5万元以下的罚款；逾期未改正的，处10万元以上15万元以下的罚款，对其直接负责的主管人员和其他直接责任人员 2万元以上3万元以下的罚款；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1.生产经营单位未如实记录安全生产教育和培训情况的人数为 5 人以下的，处 5 万元以下的罚款；逾期未改正的，并处 10 万元以上 15 万元以下的罚款，对其直接负责的主管人员和其他责任人员处 2 万元以上 4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2.生产经营单位未如实记录安全生产教育和培训情况人数为 5 人以上的，处 5 万元以上 10 万元以下的罚款；逾期未改正的，并处 15 万元以上 20 万元以下的罚款，对其直接负责的主管人员和其他责任人员处 4 万元以上 5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2.未在有较大危险因素的生产经营场所和有关设施、设备上设置明显的安全警示标志有5处以上10处以下的，处2万元以上 4万元以下的罚款；逾期未改正的，处10万元以上15万元以下的罚款，对其直接负责的主管人员和其他直接责任人员处 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 2万元以下的罚款。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未建立事故隐患排查治理制度，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存在未将事故隐患排查治理情况如实记录或者未向从业人员通报情况之一的，处5万元以下的罚款；逾期未改正的，并处10万元以上15万元以下的罚款，对其直接负责的主管人员和其他直接责任人员处2万元以上4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1.生产经营单位未按照规定向从业人员如实告知作业场所和工作岗位存在的危险因素、防范措施以及事故应急措施中的任一项安全生产事项的，处 5万元以下的罚款；逾期未改正的，并处10万元以上15万元以下的罚款，对其直接负责的主管人员和其他直接责任人员处2万元以上3万元以下的罚款；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64"/>
            <w:bookmarkStart w:id="95" w:name="_Toc1075063771"/>
            <w:bookmarkStart w:id="96" w:name="_Toc18906041"/>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4"/>
            <w:bookmarkEnd w:id="95"/>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北京市应急管理局关于印发《北京市应急管理轻微违法行为依法不予行政处罚事项清单》的通知（京应急规文〔2023〕2号）</w:t>
            </w:r>
          </w:p>
          <w:p>
            <w:pPr>
              <w:pStyle w:val="9"/>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全部具备相应“不予处罚适用条件”的，依法不予行政处罚。</w:t>
            </w: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不予处罚适用条件：</w:t>
            </w:r>
            <w:r>
              <w:rPr>
                <w:rFonts w:hint="eastAsia" w:asciiTheme="minorEastAsia" w:hAnsiTheme="minorEastAsia" w:eastAsiaTheme="minorEastAsia" w:cstheme="minorEastAsia"/>
                <w:color w:val="auto"/>
                <w:spacing w:val="-4"/>
                <w:sz w:val="15"/>
                <w:szCs w:val="15"/>
                <w:highlight w:val="none"/>
                <w:lang w:val="en-US" w:eastAsia="zh-CN"/>
              </w:rPr>
              <w:t>1.首次被发现；2.已向从业人员通报了隐患排查治理情况但未每月通报，或者就重大事故隐患的危害程度、影响范围和应急措施已向从业人员进行了公示但公示不全；3.及时改正；4.危害后果轻微。</w:t>
            </w:r>
          </w:p>
          <w:p>
            <w:pPr>
              <w:pStyle w:val="9"/>
              <w:rPr>
                <w:rFonts w:hint="eastAsia" w:asciiTheme="minorEastAsia" w:hAnsiTheme="minorEastAsia" w:eastAsiaTheme="minorEastAsia" w:cstheme="minorEastAsia"/>
                <w:color w:val="auto"/>
                <w:spacing w:val="-4"/>
                <w:sz w:val="15"/>
                <w:szCs w:val="15"/>
                <w:highlight w:val="none"/>
                <w:lang w:val="en-US" w:eastAsia="zh-CN"/>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7" w:name="_Toc780858134"/>
            <w:bookmarkStart w:id="98" w:name="_Toc110851465"/>
            <w:bookmarkStart w:id="99" w:name="_Toc1291379037"/>
            <w:r>
              <w:rPr>
                <w:rFonts w:hint="eastAsia" w:asciiTheme="minorEastAsia" w:hAnsiTheme="minorEastAsia" w:eastAsiaTheme="minorEastAsia"/>
                <w:color w:val="auto"/>
                <w:sz w:val="21"/>
                <w:szCs w:val="21"/>
                <w:highlight w:val="none"/>
              </w:rPr>
              <w:t>《北京市单用途预付卡管理条例》案由7项</w:t>
            </w:r>
            <w:bookmarkEnd w:id="97"/>
            <w:bookmarkEnd w:id="98"/>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00" w:name="_Toc1495699393"/>
            <w:bookmarkStart w:id="101" w:name="_Toc110851466"/>
            <w:bookmarkStart w:id="102" w:name="_Toc1655466988"/>
            <w:r>
              <w:rPr>
                <w:rFonts w:hint="eastAsia" w:ascii="黑体" w:hAnsi="黑体" w:eastAsia="黑体"/>
                <w:b w:val="0"/>
                <w:color w:val="auto"/>
                <w:sz w:val="36"/>
                <w:szCs w:val="36"/>
                <w:highlight w:val="none"/>
              </w:rPr>
              <w:t>园林绿化管理方面</w:t>
            </w:r>
            <w:bookmarkEnd w:id="100"/>
            <w:bookmarkEnd w:id="101"/>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065346755"/>
            <w:bookmarkStart w:id="104" w:name="_Toc1801139429"/>
            <w:bookmarkStart w:id="105" w:name="_Toc110851467"/>
            <w:r>
              <w:rPr>
                <w:rFonts w:hint="eastAsia" w:asciiTheme="minorEastAsia" w:hAnsiTheme="minorEastAsia" w:eastAsiaTheme="minorEastAsia"/>
                <w:color w:val="auto"/>
                <w:sz w:val="21"/>
                <w:szCs w:val="21"/>
                <w:highlight w:val="none"/>
              </w:rPr>
              <w:t>《北京市绿化条例》案由16项</w:t>
            </w:r>
            <w:bookmarkEnd w:id="103"/>
            <w:bookmarkEnd w:id="104"/>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10851468"/>
            <w:bookmarkStart w:id="107" w:name="_Toc177791596"/>
            <w:bookmarkStart w:id="108" w:name="_Toc675066993"/>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6"/>
            <w:bookmarkEnd w:id="107"/>
            <w:bookmarkEnd w:id="1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9" w:name="_Toc110851469"/>
            <w:bookmarkStart w:id="110" w:name="_Toc1576301640"/>
            <w:bookmarkStart w:id="111" w:name="_Toc677187225"/>
            <w:r>
              <w:rPr>
                <w:rFonts w:hint="eastAsia" w:asciiTheme="minorEastAsia" w:hAnsiTheme="minorEastAsia" w:eastAsiaTheme="minorEastAsia"/>
                <w:color w:val="auto"/>
                <w:sz w:val="21"/>
                <w:szCs w:val="21"/>
                <w:highlight w:val="none"/>
              </w:rPr>
              <w:t>《北京市古树名木保护管理条例》案由11项</w:t>
            </w:r>
            <w:bookmarkEnd w:id="109"/>
            <w:bookmarkEnd w:id="110"/>
            <w:bookmarkEnd w:id="1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对古树名木刻划钉钉（缠绕绳索、攀树折枝、剥损树皮）</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违反条款：第十二条第（一）项；</w:t>
            </w:r>
          </w:p>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借用古树名木树干做支撑物</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违反条款：第十二条第（二）项；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擅自采摘古树名木果实</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1"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在划定的范围内挖坑取土（动用明火、排放烟气、倾倒污水污物、堆放物料、修建建筑物构筑物）</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擅自移植古树名木</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违反条款：第十二条第（五）项、第十五条第二款；处罚条款：第二十二条 处以损失额1倍至2倍的罚款；造成死亡的，处以损失额2倍至3倍罚款。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1.擅自移植一级古树或者具有特殊历史价值和特别珍贵名木的，系数为1；2.造成古树名木树干皮层损伤部分超过树干周长50%，受伤根系超过全部根系40%，主枝损伤超过树冠50%的，系数1。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擅自砍伐古树名木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违反条款：第十二条第（六）项；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 处以损失额3倍至5倍罚款。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1.擅自砍伐一级古树或者具有特殊历史价值和特别珍贵名木的，系数为1；2.造成古树名木死亡的，系数为1。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罚款数额＝损失额×（3＋</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损坏古树名木标志及附属设施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违反条款：第六条；处罚条款：第十七条 责令恢复原貌，赔偿损失，并可处损失额1倍以下的罚款。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按照规定的执行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未按规定养护管理古树名木</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违反条款：第十一条第一款；处罚条款：第十八条第一款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未按要求对古树名木治理、复壮</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违反条款：第十一条第二款；处罚条款：第十八条第一款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擅自处理死亡古树名木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违反条款：第十一条第三款；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处罚条款：第十八条第二款 每株处以2000元至1万元罚款。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9"/>
              <w:spacing w:line="212" w:lineRule="exact"/>
              <w:jc w:val="both"/>
              <w:rPr>
                <w:rFonts w:hint="default"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擅自处理死亡一级古树的，变量系数4；二级古树的，变量系数3</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建设施工未按规定对古树名木</w:t>
            </w:r>
            <w:r>
              <w:rPr>
                <w:rFonts w:cs="宋体" w:asciiTheme="minorEastAsia" w:hAnsiTheme="minorEastAsia" w:eastAsiaTheme="minorEastAsia"/>
                <w:color w:val="auto"/>
                <w:kern w:val="0"/>
                <w:sz w:val="15"/>
                <w:szCs w:val="15"/>
                <w:highlight w:val="none"/>
              </w:rPr>
              <w:t>采取避让保护措施</w:t>
            </w:r>
          </w:p>
        </w:tc>
        <w:tc>
          <w:tcPr>
            <w:tcW w:w="2789" w:type="dxa"/>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处罚条款：第二十一条 责令停止施工。造成古树名木损害的，依照本条例有关规定处理。</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2" w:name="_Toc110851470"/>
            <w:bookmarkStart w:id="113" w:name="_Toc1179814324"/>
            <w:bookmarkStart w:id="114" w:name="_Toc465734653"/>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2"/>
            <w:bookmarkEnd w:id="113"/>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pPr>
              <w:spacing w:line="240" w:lineRule="exact"/>
              <w:rPr>
                <w:rFonts w:cs="宋体" w:asciiTheme="minorEastAsia" w:hAnsiTheme="minorEastAsia" w:eastAsiaTheme="minorEastAsia"/>
                <w:color w:val="auto"/>
                <w:kern w:val="0"/>
                <w:sz w:val="15"/>
                <w:szCs w:val="15"/>
                <w:highlight w:val="none"/>
              </w:rPr>
            </w:pP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pPr>
              <w:pStyle w:val="4"/>
              <w:bidi w:val="0"/>
              <w:rPr>
                <w:rFonts w:ascii="黑体" w:hAnsi="黑体" w:eastAsia="黑体" w:cs="宋体"/>
                <w:color w:val="auto"/>
                <w:kern w:val="0"/>
                <w:highlight w:val="none"/>
              </w:rPr>
            </w:pPr>
            <w:bookmarkStart w:id="115" w:name="_Toc124716043"/>
            <w:r>
              <w:rPr>
                <w:rFonts w:hint="eastAsia" w:ascii="黑体" w:hAnsi="黑体" w:eastAsia="黑体" w:cs="黑体"/>
                <w:b w:val="0"/>
                <w:bCs w:val="0"/>
                <w:color w:val="auto"/>
                <w:highlight w:val="none"/>
              </w:rPr>
              <w:t>环境保护管理方面</w:t>
            </w:r>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pPr>
              <w:pStyle w:val="5"/>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6" w:name="_Toc138275872"/>
            <w:r>
              <w:rPr>
                <w:rFonts w:hint="eastAsia"/>
                <w:color w:val="auto"/>
                <w:sz w:val="21"/>
                <w:szCs w:val="21"/>
                <w:highlight w:val="none"/>
              </w:rPr>
              <w:t>《中华人民共和国大气污染防治法》案由18项</w:t>
            </w:r>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运输散装、流体物料车辆未采取密闭或者其</w:t>
            </w:r>
            <w:r>
              <w:rPr>
                <w:rFonts w:hint="eastAsia" w:asciiTheme="minorEastAsia" w:hAnsiTheme="minorEastAsia" w:eastAsiaTheme="minorEastAsia"/>
                <w:color w:val="auto"/>
                <w:sz w:val="15"/>
                <w:szCs w:val="15"/>
                <w:highlight w:val="red"/>
                <w:lang w:eastAsia="zh-CN"/>
              </w:rPr>
              <w:t>他</w:t>
            </w:r>
            <w:r>
              <w:rPr>
                <w:rFonts w:hint="eastAsia" w:asciiTheme="minorEastAsia" w:hAnsiTheme="minorEastAsia" w:eastAsiaTheme="minorEastAsia"/>
                <w:color w:val="auto"/>
                <w:sz w:val="15"/>
                <w:szCs w:val="15"/>
                <w:highlight w:val="none"/>
              </w:rPr>
              <w:t>措施防止物料遗撒</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pPr>
              <w:pStyle w:val="5"/>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7" w:name="_Toc2052911917"/>
            <w:r>
              <w:rPr>
                <w:rFonts w:hint="eastAsia"/>
                <w:color w:val="auto"/>
                <w:sz w:val="21"/>
                <w:szCs w:val="21"/>
                <w:highlight w:val="none"/>
              </w:rPr>
              <w:t>《北京市大气污染防治条例》案由8项</w:t>
            </w:r>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fill="FF0000"/>
              </w:rPr>
              <w:t>在政府划定的禁止范围内露天烧烤食品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8" w:name="_Toc110851471"/>
            <w:bookmarkStart w:id="119" w:name="_Toc1309704035"/>
            <w:bookmarkStart w:id="120" w:name="_Toc1745180410"/>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8"/>
            <w:bookmarkEnd w:id="119"/>
            <w:bookmarkEnd w:id="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1" w:name="_Toc2131642380"/>
            <w:bookmarkStart w:id="122" w:name="_Toc110851472"/>
            <w:bookmarkStart w:id="123" w:name="_Toc193344115"/>
            <w:r>
              <w:rPr>
                <w:rStyle w:val="32"/>
                <w:rFonts w:hint="eastAsia" w:asciiTheme="minorEastAsia" w:hAnsiTheme="minorEastAsia" w:eastAsiaTheme="minorEastAsia"/>
                <w:color w:val="auto"/>
                <w:sz w:val="21"/>
                <w:szCs w:val="21"/>
                <w:highlight w:val="none"/>
              </w:rPr>
              <w:t>《中华人民共和国噪声污染防治法》案由</w:t>
            </w:r>
            <w:r>
              <w:rPr>
                <w:rStyle w:val="32"/>
                <w:rFonts w:hint="eastAsia" w:asciiTheme="minorEastAsia" w:hAnsiTheme="minorEastAsia" w:eastAsiaTheme="minorEastAsia"/>
                <w:color w:val="auto"/>
                <w:sz w:val="21"/>
                <w:szCs w:val="21"/>
                <w:highlight w:val="none"/>
                <w:lang w:val="en-US" w:eastAsia="zh-CN"/>
              </w:rPr>
              <w:t>6</w:t>
            </w:r>
            <w:r>
              <w:rPr>
                <w:rStyle w:val="32"/>
                <w:rFonts w:hint="eastAsia" w:asciiTheme="minorEastAsia" w:hAnsiTheme="minorEastAsia" w:eastAsiaTheme="minorEastAsia"/>
                <w:color w:val="auto"/>
                <w:sz w:val="21"/>
                <w:szCs w:val="21"/>
                <w:highlight w:val="none"/>
              </w:rPr>
              <w:t>项</w:t>
            </w:r>
            <w:bookmarkEnd w:id="121"/>
            <w:bookmarkEnd w:id="122"/>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4" w:name="_Toc110851473"/>
            <w:bookmarkStart w:id="125" w:name="_Toc760985315"/>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26" w:name="_Toc939694038"/>
            <w:r>
              <w:rPr>
                <w:rFonts w:hint="eastAsia" w:ascii="黑体" w:hAnsi="黑体" w:eastAsia="黑体"/>
                <w:b w:val="0"/>
                <w:color w:val="auto"/>
                <w:sz w:val="36"/>
                <w:szCs w:val="36"/>
                <w:highlight w:val="none"/>
              </w:rPr>
              <w:t>施工现场管理方面</w:t>
            </w:r>
            <w:bookmarkEnd w:id="124"/>
            <w:bookmarkEnd w:id="125"/>
            <w:bookmarkEnd w:id="1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7" w:name="_Toc110851474"/>
            <w:bookmarkStart w:id="128" w:name="_Toc1669927446"/>
            <w:bookmarkStart w:id="129" w:name="_Toc360439743"/>
            <w:r>
              <w:rPr>
                <w:rFonts w:hint="eastAsia" w:asciiTheme="minorEastAsia" w:hAnsiTheme="minorEastAsia" w:eastAsiaTheme="minorEastAsia"/>
                <w:color w:val="auto"/>
                <w:sz w:val="21"/>
                <w:szCs w:val="21"/>
                <w:highlight w:val="none"/>
              </w:rPr>
              <w:t>《北京市大气污染防治条例》施工现场执法案由16项</w:t>
            </w:r>
            <w:bookmarkEnd w:id="127"/>
            <w:bookmarkEnd w:id="128"/>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0" w:name="_Toc110851475"/>
            <w:bookmarkStart w:id="131" w:name="_Toc854219027"/>
            <w:bookmarkStart w:id="132" w:name="_Toc1299249536"/>
            <w:r>
              <w:rPr>
                <w:rFonts w:hint="eastAsia" w:asciiTheme="minorEastAsia" w:hAnsiTheme="minorEastAsia" w:eastAsiaTheme="minorEastAsia"/>
                <w:color w:val="auto"/>
                <w:sz w:val="21"/>
                <w:szCs w:val="21"/>
                <w:highlight w:val="none"/>
              </w:rPr>
              <w:t>《北京市建设工程施工现场管理办法》案由13项</w:t>
            </w:r>
            <w:bookmarkEnd w:id="130"/>
            <w:bookmarkEnd w:id="131"/>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33" w:name="_Toc110851476"/>
            <w:bookmarkStart w:id="134" w:name="_Toc2005568916"/>
            <w:bookmarkStart w:id="135" w:name="_Toc1256403622"/>
            <w:r>
              <w:rPr>
                <w:rFonts w:hint="eastAsia" w:ascii="黑体" w:hAnsi="黑体" w:eastAsia="黑体"/>
                <w:b w:val="0"/>
                <w:color w:val="auto"/>
                <w:sz w:val="36"/>
                <w:szCs w:val="36"/>
                <w:highlight w:val="none"/>
              </w:rPr>
              <w:t>停车场管理方面案由</w:t>
            </w:r>
            <w:bookmarkEnd w:id="133"/>
            <w:bookmarkEnd w:id="134"/>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6" w:name="_Toc110851477"/>
            <w:bookmarkStart w:id="137" w:name="_Toc509001082"/>
            <w:bookmarkStart w:id="138" w:name="_Toc429358351"/>
            <w:r>
              <w:rPr>
                <w:rFonts w:hint="eastAsia" w:asciiTheme="minorEastAsia" w:hAnsiTheme="minorEastAsia" w:eastAsiaTheme="minorEastAsia"/>
                <w:color w:val="auto"/>
                <w:sz w:val="21"/>
                <w:szCs w:val="21"/>
                <w:highlight w:val="none"/>
              </w:rPr>
              <w:t>《北京市机动车停车管理办法》案由13项</w:t>
            </w:r>
            <w:bookmarkEnd w:id="136"/>
            <w:bookmarkEnd w:id="137"/>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停车场管理单位未遵守国家和本市其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相关停车管理服务规范和标准</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9" w:name="_Toc110851478"/>
            <w:bookmarkStart w:id="140" w:name="_Toc1557995543"/>
            <w:bookmarkStart w:id="141" w:name="_Toc1642510659"/>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9"/>
            <w:bookmarkEnd w:id="140"/>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2" w:name="_Toc110851479"/>
            <w:bookmarkStart w:id="143" w:name="_Toc67594986"/>
            <w:bookmarkStart w:id="144" w:name="_Toc878395085"/>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2"/>
            <w:bookmarkEnd w:id="143"/>
            <w:bookmarkEnd w:id="1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45" w:name="_Toc1549181582"/>
            <w:bookmarkStart w:id="146" w:name="_Toc2072679585"/>
            <w:bookmarkStart w:id="147" w:name="_Toc110851480"/>
            <w:r>
              <w:rPr>
                <w:rFonts w:hint="eastAsia" w:ascii="黑体" w:hAnsi="黑体" w:eastAsia="黑体"/>
                <w:b w:val="0"/>
                <w:color w:val="auto"/>
                <w:sz w:val="36"/>
                <w:szCs w:val="36"/>
                <w:highlight w:val="none"/>
              </w:rPr>
              <w:t>交通运输管理方面</w:t>
            </w:r>
            <w:bookmarkEnd w:id="145"/>
            <w:bookmarkEnd w:id="146"/>
            <w:bookmarkEnd w:id="1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8" w:name="_Toc110851481"/>
            <w:bookmarkStart w:id="149" w:name="_Toc192409684"/>
            <w:bookmarkStart w:id="150" w:name="_Toc1833599949"/>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8"/>
            <w:bookmarkEnd w:id="149"/>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1" w:name="_Toc121789162"/>
            <w:bookmarkStart w:id="152" w:name="_Toc110851482"/>
            <w:bookmarkStart w:id="153" w:name="_Toc793120085"/>
            <w:r>
              <w:rPr>
                <w:rFonts w:hint="eastAsia" w:asciiTheme="minorEastAsia" w:hAnsiTheme="minorEastAsia" w:eastAsiaTheme="minorEastAsia"/>
                <w:color w:val="auto"/>
                <w:sz w:val="21"/>
                <w:szCs w:val="21"/>
                <w:highlight w:val="none"/>
              </w:rPr>
              <w:t>《北京市查处非法客运若干规定》案由2项</w:t>
            </w:r>
            <w:bookmarkEnd w:id="151"/>
            <w:bookmarkEnd w:id="152"/>
            <w:bookmarkEnd w:id="1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54" w:name="_Toc734791251"/>
            <w:bookmarkStart w:id="155" w:name="_Toc360901343"/>
            <w:bookmarkStart w:id="156" w:name="_Toc110851483"/>
            <w:r>
              <w:rPr>
                <w:rFonts w:hint="eastAsia" w:ascii="黑体" w:hAnsi="黑体" w:eastAsia="黑体"/>
                <w:b w:val="0"/>
                <w:color w:val="auto"/>
                <w:sz w:val="36"/>
                <w:szCs w:val="36"/>
                <w:highlight w:val="none"/>
              </w:rPr>
              <w:t>市场监督管理（流动无照经营）方面</w:t>
            </w:r>
            <w:bookmarkEnd w:id="154"/>
            <w:bookmarkEnd w:id="155"/>
            <w:bookmarkEnd w:id="1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7" w:name="_Toc704954681"/>
            <w:bookmarkStart w:id="158" w:name="_Toc504994495"/>
            <w:bookmarkStart w:id="159" w:name="_Toc110851484"/>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7"/>
            <w:bookmarkEnd w:id="158"/>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60" w:name="_Toc110851485"/>
            <w:bookmarkStart w:id="161" w:name="_Toc1160691890"/>
            <w:bookmarkStart w:id="162" w:name="_Toc1070422418"/>
            <w:r>
              <w:rPr>
                <w:rFonts w:hint="eastAsia" w:ascii="黑体" w:hAnsi="黑体" w:eastAsia="黑体"/>
                <w:b w:val="0"/>
                <w:color w:val="auto"/>
                <w:sz w:val="36"/>
                <w:szCs w:val="36"/>
                <w:highlight w:val="none"/>
              </w:rPr>
              <w:t>城市规划管理方面</w:t>
            </w:r>
            <w:bookmarkEnd w:id="160"/>
            <w:bookmarkEnd w:id="161"/>
            <w:bookmarkEnd w:id="1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3" w:name="_Toc110851486"/>
            <w:bookmarkStart w:id="164" w:name="_Toc187041735"/>
            <w:bookmarkStart w:id="165" w:name="_Toc961352188"/>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3"/>
            <w:bookmarkEnd w:id="164"/>
            <w:bookmarkEnd w:id="1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66" w:name="_Toc250975437"/>
            <w:bookmarkStart w:id="167" w:name="_Toc110851487"/>
            <w:bookmarkStart w:id="168" w:name="_Toc331751861"/>
            <w:r>
              <w:rPr>
                <w:rFonts w:hint="eastAsia" w:ascii="黑体" w:hAnsi="黑体" w:eastAsia="黑体"/>
                <w:b w:val="0"/>
                <w:color w:val="auto"/>
                <w:sz w:val="36"/>
                <w:szCs w:val="36"/>
                <w:highlight w:val="none"/>
              </w:rPr>
              <w:t>旅游管理（黑导游）方面</w:t>
            </w:r>
            <w:bookmarkEnd w:id="166"/>
            <w:bookmarkEnd w:id="167"/>
            <w:bookmarkEnd w:id="1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9" w:name="_Toc363033362"/>
            <w:bookmarkStart w:id="170" w:name="_Toc103234006"/>
            <w:bookmarkStart w:id="171" w:name="_Toc110851488"/>
            <w:r>
              <w:rPr>
                <w:rFonts w:hint="eastAsia" w:asciiTheme="minorEastAsia" w:hAnsiTheme="minorEastAsia" w:eastAsiaTheme="minorEastAsia"/>
                <w:color w:val="auto"/>
                <w:sz w:val="21"/>
                <w:szCs w:val="21"/>
                <w:highlight w:val="none"/>
              </w:rPr>
              <w:t>《中华人民共和国旅游法》案由1项</w:t>
            </w:r>
            <w:bookmarkEnd w:id="169"/>
            <w:bookmarkEnd w:id="170"/>
            <w:bookmarkEnd w:id="1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36"/>
                <w:szCs w:val="36"/>
                <w:highlight w:val="none"/>
              </w:rPr>
            </w:pPr>
            <w:bookmarkStart w:id="172" w:name="_Toc110851489"/>
            <w:bookmarkStart w:id="173" w:name="_Toc8089072"/>
            <w:bookmarkStart w:id="174" w:name="_Toc1411480696"/>
            <w:r>
              <w:rPr>
                <w:rFonts w:hint="eastAsia" w:ascii="黑体" w:hAnsi="黑体" w:eastAsia="黑体"/>
                <w:b w:val="0"/>
                <w:color w:val="auto"/>
                <w:sz w:val="36"/>
                <w:szCs w:val="36"/>
                <w:highlight w:val="none"/>
              </w:rPr>
              <w:t>食品安全管理方面</w:t>
            </w:r>
            <w:bookmarkEnd w:id="172"/>
            <w:bookmarkEnd w:id="173"/>
            <w:bookmarkEnd w:id="1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5" w:name="_Toc110851490"/>
            <w:bookmarkStart w:id="176" w:name="_Toc2139524843"/>
            <w:bookmarkStart w:id="177" w:name="_Toc948913247"/>
            <w:r>
              <w:rPr>
                <w:rFonts w:hint="eastAsia" w:asciiTheme="minorEastAsia" w:hAnsiTheme="minorEastAsia" w:eastAsiaTheme="minorEastAsia"/>
                <w:color w:val="auto"/>
                <w:sz w:val="21"/>
                <w:szCs w:val="21"/>
                <w:highlight w:val="none"/>
              </w:rPr>
              <w:t>《北京市小规模食品生产经营管理规定》案由23项</w:t>
            </w:r>
            <w:bookmarkEnd w:id="175"/>
            <w:bookmarkEnd w:id="176"/>
            <w:bookmarkEnd w:id="1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78" w:name="_Toc41635676"/>
            <w:bookmarkStart w:id="179" w:name="_Toc110851491"/>
            <w:bookmarkStart w:id="180" w:name="_Toc995130248"/>
            <w:r>
              <w:rPr>
                <w:rFonts w:hint="eastAsia" w:ascii="黑体" w:hAnsi="黑体" w:eastAsia="黑体"/>
                <w:b w:val="0"/>
                <w:color w:val="auto"/>
                <w:sz w:val="36"/>
                <w:szCs w:val="36"/>
                <w:highlight w:val="none"/>
              </w:rPr>
              <w:t>能源运行管理方面</w:t>
            </w:r>
            <w:bookmarkEnd w:id="178"/>
            <w:bookmarkEnd w:id="179"/>
            <w:bookmarkEnd w:id="1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1" w:name="_Toc1482088652"/>
            <w:bookmarkStart w:id="182" w:name="_Toc110851492"/>
            <w:bookmarkStart w:id="183" w:name="_Toc1430386737"/>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1"/>
            <w:bookmarkEnd w:id="182"/>
            <w:bookmarkEnd w:id="1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4" w:name="_Toc110851493"/>
            <w:bookmarkStart w:id="185" w:name="_Toc1283420232"/>
            <w:bookmarkStart w:id="186" w:name="_Toc1932982768"/>
            <w:r>
              <w:rPr>
                <w:rFonts w:hint="eastAsia" w:asciiTheme="minorEastAsia" w:hAnsiTheme="minorEastAsia" w:eastAsiaTheme="minorEastAsia"/>
                <w:color w:val="auto"/>
                <w:sz w:val="21"/>
                <w:szCs w:val="21"/>
                <w:highlight w:val="none"/>
              </w:rPr>
              <w:t>《中华人民共和国可再生能源法》案由2项</w:t>
            </w:r>
            <w:bookmarkEnd w:id="184"/>
            <w:bookmarkEnd w:id="185"/>
            <w:bookmarkEnd w:id="1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7" w:name="_Toc110851494"/>
            <w:bookmarkStart w:id="188" w:name="_Toc2142516953"/>
            <w:bookmarkStart w:id="189" w:name="_Toc503113588"/>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7"/>
            <w:bookmarkEnd w:id="188"/>
            <w:bookmarkEnd w:id="1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90" w:name="_Toc409668775"/>
            <w:bookmarkStart w:id="191" w:name="_Toc348249845"/>
            <w:bookmarkStart w:id="192" w:name="_Toc110851495"/>
            <w:r>
              <w:rPr>
                <w:rFonts w:hint="eastAsia" w:asciiTheme="minorEastAsia" w:hAnsiTheme="minorEastAsia" w:eastAsiaTheme="minorEastAsia"/>
                <w:color w:val="auto"/>
                <w:sz w:val="21"/>
                <w:szCs w:val="21"/>
                <w:highlight w:val="none"/>
              </w:rPr>
              <w:t>《电力设施保护条例》《电力设施保护条例实施细则》案由5项</w:t>
            </w:r>
            <w:bookmarkEnd w:id="190"/>
            <w:bookmarkEnd w:id="191"/>
            <w:bookmarkEnd w:id="1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pStyle w:val="22"/>
              <w:ind w:left="0" w:leftChars="0" w:firstLine="0" w:firstLineChars="0"/>
              <w:rPr>
                <w:color w:val="auto"/>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pPr>
              <w:pStyle w:val="5"/>
              <w:bidi w:val="0"/>
              <w:jc w:val="center"/>
              <w:rPr>
                <w:rFonts w:hint="default"/>
                <w:lang w:val="en-US" w:eastAsia="zh-CN"/>
              </w:rPr>
            </w:pPr>
            <w:bookmarkStart w:id="193" w:name="_Toc1958487226"/>
            <w:r>
              <w:rPr>
                <w:rFonts w:hint="eastAsia"/>
                <w:sz w:val="21"/>
                <w:szCs w:val="21"/>
                <w:lang w:val="en-US" w:eastAsia="zh-CN"/>
              </w:rPr>
              <w:t>《北京市优化营商环境条例》案由1项</w:t>
            </w:r>
            <w:bookmarkEnd w:id="1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pStyle w:val="2"/>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供电企业供电可靠率低于国家有关规定</w:t>
            </w:r>
          </w:p>
        </w:tc>
        <w:tc>
          <w:tcPr>
            <w:tcW w:w="2789"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62"/>
                <w:rFonts w:hint="eastAsia" w:asciiTheme="minorEastAsia" w:hAnsiTheme="minorEastAsia" w:eastAsiaTheme="minorEastAsia" w:cstheme="minorEastAsia"/>
                <w:sz w:val="15"/>
                <w:szCs w:val="15"/>
                <w:lang w:val="en-US" w:eastAsia="zh-CN" w:bidi="ar"/>
              </w:rPr>
              <w:t>条款、处罚条款：第四十三条 供电企业应当保障供电设施的正常、稳定运行，确保供电质量符合国家规定。市城市管理部门应当加强对供电企业年供电可靠率的监督，对低于国家有关规定的，责令改正，可以处五万元以上五十万元以下罚款。</w:t>
            </w:r>
          </w:p>
        </w:tc>
        <w:tc>
          <w:tcPr>
            <w:tcW w:w="5780" w:type="dxa"/>
            <w:gridSpan w:val="4"/>
            <w:tcBorders>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pPr>
              <w:spacing w:line="232" w:lineRule="exact"/>
              <w:ind w:firstLine="300" w:firstLineChars="200"/>
              <w:rPr>
                <w:rFonts w:hint="eastAsia" w:asciiTheme="minorEastAsia" w:hAnsiTheme="minorEastAsia" w:eastAsiaTheme="minorEastAsia"/>
                <w:color w:val="auto"/>
                <w:sz w:val="15"/>
                <w:szCs w:val="15"/>
                <w:highlight w:val="none"/>
              </w:rPr>
            </w:pPr>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4" w:name="_Toc110851497"/>
            <w:bookmarkStart w:id="195" w:name="_Toc1490732698"/>
            <w:bookmarkStart w:id="196" w:name="_Toc1180300814"/>
            <w:r>
              <w:rPr>
                <w:rFonts w:hint="eastAsia" w:asciiTheme="minorEastAsia" w:hAnsiTheme="minorEastAsia" w:eastAsiaTheme="minorEastAsia"/>
                <w:color w:val="auto"/>
                <w:sz w:val="21"/>
                <w:szCs w:val="21"/>
                <w:highlight w:val="none"/>
              </w:rPr>
              <w:t>《中华人民共和国石油天然气管道保护法》</w:t>
            </w:r>
            <w:bookmarkEnd w:id="194"/>
            <w:bookmarkEnd w:id="195"/>
            <w:bookmarkStart w:id="197" w:name="_Toc110851498"/>
            <w:bookmarkStart w:id="198" w:name="_Toc63324556"/>
            <w:r>
              <w:rPr>
                <w:rFonts w:hint="eastAsia" w:asciiTheme="minorEastAsia" w:hAnsiTheme="minorEastAsia" w:eastAsiaTheme="minorEastAsia"/>
                <w:color w:val="auto"/>
                <w:sz w:val="21"/>
                <w:szCs w:val="21"/>
                <w:highlight w:val="none"/>
              </w:rPr>
              <w:t>案由22项</w:t>
            </w:r>
            <w:bookmarkEnd w:id="196"/>
            <w:bookmarkEnd w:id="197"/>
            <w:bookmarkEnd w:id="198"/>
          </w:p>
        </w:tc>
        <w:tc>
          <w:tcPr>
            <w:tcW w:w="8989"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bl>
    <w:p/>
    <w:tbl>
      <w:tblPr>
        <w:tblStyle w:val="23"/>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pPr>
              <w:pStyle w:val="4"/>
              <w:bidi w:val="0"/>
              <w:rPr>
                <w:rFonts w:hint="eastAsia"/>
                <w:sz w:val="21"/>
                <w:szCs w:val="21"/>
              </w:rPr>
            </w:pPr>
            <w:bookmarkStart w:id="199" w:name="_Toc1437339030"/>
            <w:bookmarkStart w:id="200" w:name="_Toc1528064169"/>
            <w:bookmarkStart w:id="201" w:name="_Toc1953583257"/>
            <w:bookmarkStart w:id="202" w:name="_Toc110851502"/>
            <w:bookmarkStart w:id="203" w:name="_Toc341845612"/>
            <w:r>
              <w:rPr>
                <w:rFonts w:hint="eastAsia"/>
                <w:sz w:val="21"/>
                <w:szCs w:val="21"/>
              </w:rPr>
              <w:t>生态环境管理方面</w:t>
            </w:r>
            <w:bookmarkEnd w:id="199"/>
            <w:r>
              <w:rPr>
                <w:rFonts w:hint="eastAsia"/>
                <w:sz w:val="21"/>
                <w:szCs w:val="21"/>
              </w:rPr>
              <w:t>4项</w:t>
            </w:r>
            <w:bookmarkEnd w:id="200"/>
            <w:bookmarkEnd w:id="201"/>
            <w:bookmarkEnd w:id="202"/>
            <w:bookmarkEnd w:id="203"/>
          </w:p>
          <w:p>
            <w:pPr>
              <w:jc w:val="center"/>
              <w:rPr>
                <w:rFonts w:hint="eastAsia" w:asciiTheme="minorEastAsia" w:hAnsiTheme="minorEastAsia" w:eastAsiaTheme="minorEastAsia" w:cstheme="minorEastAsia"/>
                <w:b/>
                <w:bCs/>
                <w:sz w:val="21"/>
                <w:szCs w:val="21"/>
              </w:rPr>
            </w:pPr>
          </w:p>
          <w:p>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20" w:lineRule="exact"/>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服装干洗和机动车维修等</w:t>
            </w:r>
            <w:r>
              <w:rPr>
                <w:rFonts w:hint="eastAsia" w:ascii="宋体" w:hAnsi="宋体" w:eastAsia="宋体" w:cs="仿宋_GB2312"/>
                <w:kern w:val="0"/>
                <w:sz w:val="15"/>
                <w:szCs w:val="15"/>
              </w:rPr>
              <w:t>项目</w:t>
            </w:r>
            <w:r>
              <w:rPr>
                <w:rFonts w:hint="eastAsia" w:ascii="宋体" w:hAnsi="宋体" w:eastAsia="宋体" w:cs="仿宋_GB2312"/>
                <w:color w:val="000000"/>
                <w:kern w:val="0"/>
                <w:sz w:val="15"/>
                <w:szCs w:val="15"/>
                <w:lang w:bidi="ar"/>
              </w:rPr>
              <w:t>，未设置异味和废气处理装置等污染防治设施并保持正常使用</w:t>
            </w:r>
          </w:p>
        </w:tc>
        <w:tc>
          <w:tcPr>
            <w:tcW w:w="2789" w:type="dxa"/>
            <w:gridSpan w:val="2"/>
            <w:noWrap w:val="0"/>
            <w:vAlign w:val="center"/>
          </w:tcPr>
          <w:p>
            <w:pPr>
              <w:spacing w:line="220" w:lineRule="exact"/>
              <w:jc w:val="lef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《中华人民共和国大气污染防治法》违反条款：第八十四条；处罚条款：第一百二十条，责令改正，处二千元以上二万元以下的罚款；拒不改正的，责令停业整治。</w:t>
            </w:r>
          </w:p>
        </w:tc>
        <w:tc>
          <w:tcPr>
            <w:tcW w:w="5784" w:type="dxa"/>
            <w:gridSpan w:val="3"/>
            <w:noWrap w:val="0"/>
            <w:vAlign w:val="center"/>
          </w:tcPr>
          <w:p>
            <w:pPr>
              <w:spacing w:line="220" w:lineRule="exact"/>
              <w:rPr>
                <w:rFonts w:ascii="宋体" w:hAnsi="宋体" w:eastAsia="宋体" w:cs="仿宋_GB2312"/>
                <w:sz w:val="15"/>
                <w:szCs w:val="15"/>
              </w:rPr>
            </w:pPr>
            <w:r>
              <w:rPr>
                <w:rFonts w:hint="eastAsia" w:ascii="宋体" w:hAnsi="宋体" w:eastAsia="宋体" w:cs="仿宋_GB2312"/>
                <w:sz w:val="15"/>
                <w:szCs w:val="15"/>
              </w:rPr>
              <w:t>不正常使用异味和废气处理装置等净化设施0.2-1万元；</w:t>
            </w:r>
          </w:p>
          <w:p>
            <w:pPr>
              <w:spacing w:line="220" w:lineRule="exact"/>
              <w:rPr>
                <w:rFonts w:ascii="宋体" w:hAnsi="宋体" w:eastAsia="宋体" w:cs="仿宋_GB2312"/>
                <w:sz w:val="15"/>
                <w:szCs w:val="15"/>
              </w:rPr>
            </w:pPr>
            <w:r>
              <w:rPr>
                <w:rFonts w:hint="eastAsia" w:ascii="宋体" w:hAnsi="宋体" w:eastAsia="宋体" w:cs="仿宋_GB2312"/>
                <w:sz w:val="15"/>
                <w:szCs w:val="15"/>
              </w:rPr>
              <w:t>未安装或者安装后擅自拆除异味和废气净化设施1-2万元；</w:t>
            </w:r>
          </w:p>
          <w:p>
            <w:pPr>
              <w:spacing w:line="220" w:lineRule="exact"/>
              <w:rPr>
                <w:rFonts w:ascii="宋体" w:hAnsi="宋体" w:eastAsia="宋体" w:cs="仿宋_GB2312"/>
                <w:sz w:val="15"/>
                <w:szCs w:val="15"/>
              </w:rPr>
            </w:pPr>
            <w:r>
              <w:rPr>
                <w:rFonts w:hint="eastAsia" w:ascii="宋体" w:hAnsi="宋体" w:eastAsia="宋体" w:cs="仿宋_GB2312"/>
                <w:sz w:val="15"/>
                <w:szCs w:val="15"/>
              </w:rPr>
              <w:t>拒不改正的，责令停业整治。</w:t>
            </w:r>
          </w:p>
        </w:tc>
        <w:tc>
          <w:tcPr>
            <w:tcW w:w="2108" w:type="dxa"/>
            <w:gridSpan w:val="4"/>
            <w:noWrap w:val="0"/>
            <w:vAlign w:val="center"/>
          </w:tcPr>
          <w:p>
            <w:pPr>
              <w:spacing w:line="220" w:lineRule="exact"/>
              <w:rPr>
                <w:rFonts w:ascii="宋体" w:hAnsi="宋体" w:eastAsia="宋体" w:cs="仿宋_GB2312"/>
                <w:sz w:val="15"/>
                <w:szCs w:val="15"/>
              </w:rPr>
            </w:pPr>
            <w:r>
              <w:rPr>
                <w:rFonts w:hint="eastAsia" w:ascii="宋体" w:hAnsi="宋体" w:eastAsia="宋体" w:cs="仿宋_GB2312"/>
                <w:sz w:val="15"/>
                <w:szCs w:val="15"/>
              </w:rPr>
              <w:t>可以从重处罚的情形</w:t>
            </w:r>
          </w:p>
          <w:p>
            <w:pPr>
              <w:spacing w:line="220" w:lineRule="exact"/>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pPr>
              <w:spacing w:line="220" w:lineRule="exact"/>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pPr>
              <w:spacing w:line="220" w:lineRule="exact"/>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pPr>
              <w:spacing w:line="220" w:lineRule="exact"/>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pPr>
              <w:spacing w:line="220" w:lineRule="exact"/>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pPr>
              <w:spacing w:line="220" w:lineRule="exact"/>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加工、维修、餐饮、娱乐、健身、超市及其他商业服务业经营者未采取有效措施，生产经营活动产生噪声干扰周围生活环境，且拒不改正</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《北京市环境噪声污染防治办法》违反条款：第三十条；处罚条款：第四十二条，责令改正；拒不改正的，处3万元以下罚款。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14329" w:type="dxa"/>
            <w:gridSpan w:val="15"/>
            <w:noWrap w:val="0"/>
            <w:vAlign w:val="center"/>
          </w:tcPr>
          <w:p>
            <w:pPr>
              <w:pStyle w:val="4"/>
              <w:bidi w:val="0"/>
              <w:rPr>
                <w:rFonts w:hint="eastAsia"/>
                <w:sz w:val="21"/>
                <w:szCs w:val="21"/>
              </w:rPr>
            </w:pPr>
            <w:bookmarkStart w:id="204" w:name="_Toc1112894806"/>
            <w:bookmarkStart w:id="205" w:name="_Toc2083203269"/>
            <w:bookmarkStart w:id="206" w:name="_Toc110851503"/>
            <w:bookmarkStart w:id="207" w:name="_Toc1642327804"/>
            <w:r>
              <w:rPr>
                <w:rFonts w:hint="eastAsia"/>
                <w:sz w:val="21"/>
                <w:szCs w:val="21"/>
              </w:rPr>
              <w:t>水务管理方面20项</w:t>
            </w:r>
            <w:bookmarkEnd w:id="204"/>
            <w:bookmarkEnd w:id="205"/>
            <w:bookmarkEnd w:id="206"/>
            <w:bookmarkEnd w:id="207"/>
          </w:p>
          <w:p>
            <w:pPr>
              <w:rPr>
                <w:rFonts w:hint="eastAsia"/>
              </w:rPr>
            </w:pPr>
          </w:p>
          <w:p>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万；排放或者倾倒污水污物和垃圾等废弃物，情节严重的，6万＜罚款额≤10万。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noWrap w:val="0"/>
            <w:vAlign w:val="center"/>
          </w:tcPr>
          <w:p>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7"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20</w:t>
            </w:r>
          </w:p>
        </w:tc>
        <w:tc>
          <w:tcPr>
            <w:tcW w:w="1500"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pPr>
              <w:pStyle w:val="2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pPr>
              <w:pStyle w:val="4"/>
              <w:bidi w:val="0"/>
              <w:rPr>
                <w:rFonts w:ascii="宋体" w:hAnsi="宋体" w:eastAsia="宋体"/>
                <w:szCs w:val="15"/>
              </w:rPr>
            </w:pPr>
            <w:bookmarkStart w:id="208" w:name="_Toc1290044525"/>
            <w:bookmarkStart w:id="209" w:name="_Toc1318576686"/>
            <w:bookmarkStart w:id="210" w:name="_Toc110851504"/>
            <w:bookmarkStart w:id="211" w:name="_Toc473764242"/>
            <w:r>
              <w:rPr>
                <w:rFonts w:hint="eastAsia"/>
                <w:sz w:val="21"/>
                <w:szCs w:val="21"/>
              </w:rPr>
              <w:t>农业农村管理方面1项</w:t>
            </w:r>
            <w:bookmarkEnd w:id="208"/>
            <w:bookmarkEnd w:id="209"/>
            <w:bookmarkEnd w:id="210"/>
            <w:bookmarkEnd w:id="2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pPr>
              <w:pStyle w:val="4"/>
              <w:bidi w:val="0"/>
              <w:rPr>
                <w:rFonts w:hint="eastAsia"/>
                <w:sz w:val="21"/>
                <w:szCs w:val="21"/>
              </w:rPr>
            </w:pPr>
            <w:bookmarkStart w:id="212" w:name="_Toc110851505"/>
            <w:bookmarkStart w:id="213" w:name="_Toc589852508"/>
            <w:bookmarkStart w:id="214" w:name="_Toc2011773058"/>
            <w:bookmarkStart w:id="215" w:name="_Toc1433492438"/>
            <w:r>
              <w:rPr>
                <w:rFonts w:hint="eastAsia"/>
                <w:sz w:val="21"/>
                <w:szCs w:val="21"/>
              </w:rPr>
              <w:t>卫生健康管理方面12项</w:t>
            </w:r>
            <w:bookmarkEnd w:id="212"/>
            <w:bookmarkEnd w:id="213"/>
            <w:bookmarkEnd w:id="214"/>
            <w:bookmarkEnd w:id="215"/>
          </w:p>
          <w:p>
            <w:pPr>
              <w:rPr>
                <w:rFonts w:hint="eastAsia"/>
              </w:rPr>
            </w:pPr>
          </w:p>
          <w:p>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1"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未建立禁止吸烟管理制度，做好宣传教育工作且拒不改正</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《北京市控制吸烟条例》违反条款：第十三条第一款第（一）项；处罚条款：第二十四条第（一）项，责令限期改正;拒不改正的，处2000元以上5000元以下罚款。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未在禁止吸烟场所设置明显的禁止吸烟标志和举报投诉电话号码标识且拒不改正</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《北京市控制吸烟条例》违反条款：第十三条第一款第（二）项；处罚条款：第二十四条第（一）项，责令限期改正;拒不改正的，处2000元以上5000元以下罚款。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在禁止吸烟场所提供烟具和附有烟草广告的物品且拒不改正</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《北京市控制吸烟条例》违反条款：第十三条第一款第（三）项；处罚条款：第二十四条第（一）项，责令限期改正;拒不改正的，处2000元以上5000元以下罚款。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未开展禁止吸烟检查工作，制作并留存禁止吸烟检查工作相关记录且拒不改正</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《北京市控制吸烟条例》违反条款：第十三条第一款第（四）项；处罚条款：第二十四条第（一）项，责令限期改正;拒不改正的，处2000元以上5000元以下罚款。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在禁止吸烟场所内的吸烟者未予以劝阻，对不听劝阻的吸烟者未要求其离开，对不听劝阻且不离开的吸烟者未投诉举报</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《北京市控制吸烟条例》违反条款：第十三条第一款第（五）项；处罚条款：第二十四条第（二）项，给予警告，并处5000元以上1万元以下罚款。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场所内吸烟者有1人的，警告，并处5000元罚款；</w:t>
            </w:r>
          </w:p>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场所内吸烟者有2-5人的，警告，并处5000元以上（不含）8000元以下（含）罚款；</w:t>
            </w:r>
          </w:p>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场所内吸烟者有5人以上的，警告，并处8000元以上（不含）1万元以下（含）罚款。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在其他禁止吸烟场所或者排队等候队伍中吸烟</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《北京市控制吸烟条例》违反条款：第十四条；处罚条款：第二十五条第一款，责令改正，可以处50元罚款;拒不改正的，处200元罚款。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在禁止吸烟场所或者排队等候队伍中吸烟，处50元罚款；</w:t>
            </w:r>
          </w:p>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在禁止吸烟场所或者排队等候队伍中吸烟，拒不改正，处200元罚款。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pPr>
              <w:spacing w:line="232" w:lineRule="exact"/>
              <w:rPr>
                <w:rFonts w:ascii="宋体" w:hAnsi="宋体" w:eastAsia="宋体"/>
                <w:color w:val="000000"/>
                <w:sz w:val="15"/>
                <w:szCs w:val="15"/>
              </w:rPr>
            </w:pPr>
            <w:r>
              <w:rPr>
                <w:rFonts w:hint="eastAsia" w:ascii="宋体" w:hAnsi="宋体" w:eastAsia="宋体"/>
                <w:color w:val="000000"/>
                <w:sz w:val="15"/>
                <w:szCs w:val="15"/>
              </w:rPr>
              <w:t>在幼儿园、中小学校、少年宫、儿童福利机构等以未成年人为主要活动人群的场所吸烟</w:t>
            </w:r>
          </w:p>
        </w:tc>
        <w:tc>
          <w:tcPr>
            <w:tcW w:w="2789" w:type="dxa"/>
            <w:gridSpan w:val="2"/>
            <w:noWrap w:val="0"/>
            <w:vAlign w:val="center"/>
          </w:tcPr>
          <w:p>
            <w:pPr>
              <w:spacing w:line="232" w:lineRule="exact"/>
              <w:rPr>
                <w:rFonts w:ascii="宋体" w:hAnsi="宋体" w:eastAsia="宋体"/>
                <w:color w:val="000000"/>
                <w:sz w:val="15"/>
                <w:szCs w:val="15"/>
              </w:rPr>
            </w:pPr>
            <w:r>
              <w:rPr>
                <w:rFonts w:hint="eastAsia" w:ascii="宋体" w:hAnsi="宋体" w:eastAsia="宋体"/>
                <w:color w:val="000000"/>
                <w:sz w:val="15"/>
                <w:szCs w:val="15"/>
              </w:rPr>
              <w:t>《北京市控制吸烟条例》违反条款：第十四条；处罚条款：第二十五条第一款，责令改正，给予警告，可以并处200元以上500以下罚款。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警告，可以并处200元以上（含）500元以下（含）罚款。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pPr>
              <w:pStyle w:val="4"/>
              <w:bidi w:val="0"/>
              <w:rPr>
                <w:rFonts w:hint="default" w:ascii="宋体" w:hAnsi="宋体" w:eastAsia="宋体" w:cs="Times New Roman"/>
                <w:b/>
                <w:bCs/>
                <w:color w:val="000000"/>
                <w:kern w:val="44"/>
                <w:szCs w:val="15"/>
                <w:lang w:val="en-US" w:eastAsia="zh-CN" w:bidi="ar-SA"/>
              </w:rPr>
            </w:pPr>
            <w:bookmarkStart w:id="216" w:name="_Toc1245423656"/>
            <w:bookmarkStart w:id="217" w:name="_Toc979026322"/>
            <w:r>
              <w:rPr>
                <w:rFonts w:hint="eastAsia"/>
                <w:b/>
                <w:bCs/>
                <w:sz w:val="21"/>
                <w:szCs w:val="21"/>
                <w:lang w:eastAsia="zh-CN"/>
              </w:rPr>
              <w:t>住建部门</w:t>
            </w:r>
            <w:r>
              <w:rPr>
                <w:rFonts w:hint="eastAsia"/>
                <w:b/>
                <w:bCs/>
                <w:sz w:val="21"/>
                <w:szCs w:val="21"/>
                <w:lang w:val="en-US" w:eastAsia="zh-CN"/>
              </w:rPr>
              <w:t>3项</w:t>
            </w:r>
            <w:bookmarkEnd w:id="2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4329" w:type="dxa"/>
            <w:gridSpan w:val="15"/>
            <w:noWrap w:val="0"/>
            <w:vAlign w:val="center"/>
          </w:tcPr>
          <w:p>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pPr>
              <w:autoSpaceDE w:val="0"/>
              <w:autoSpaceDN w:val="0"/>
              <w:adjustRightInd w:val="0"/>
              <w:spacing w:line="520" w:lineRule="exact"/>
              <w:jc w:val="center"/>
              <w:rPr>
                <w:rFonts w:hint="eastAsia"/>
                <w:sz w:val="21"/>
                <w:szCs w:val="21"/>
                <w:lang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p>
            <w:pPr>
              <w:autoSpaceDE w:val="0"/>
              <w:autoSpaceDN w:val="0"/>
              <w:adjustRightInd w:val="0"/>
              <w:spacing w:line="520" w:lineRule="exact"/>
              <w:jc w:val="center"/>
              <w:rPr>
                <w:rFonts w:hint="eastAsia"/>
                <w:sz w:val="21"/>
                <w:szCs w:val="21"/>
                <w:lang w:val="en-US" w:eastAsia="zh-CN"/>
              </w:rPr>
            </w:pPr>
          </w:p>
        </w:tc>
      </w:tr>
      <w:bookmarkEnd w:id="21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8"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pPr>
              <w:jc w:val="center"/>
              <w:rPr>
                <w:rFonts w:hint="eastAsia" w:asciiTheme="minorEastAsia" w:hAnsiTheme="minorEastAsia" w:eastAsiaTheme="minorEastAsia" w:cstheme="minorEastAsia"/>
                <w:sz w:val="21"/>
                <w:szCs w:val="21"/>
                <w:lang w:val="en-US" w:eastAsia="zh-CN"/>
              </w:rPr>
            </w:pPr>
          </w:p>
          <w:p>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8"/>
    </w:tbl>
    <w:p>
      <w:pPr>
        <w:pStyle w:val="2"/>
      </w:pPr>
    </w:p>
    <w:p>
      <w:pPr>
        <w:pStyle w:val="2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Microsoft JhengHei">
    <w:panose1 w:val="020B0604030504040204"/>
    <w:charset w:val="88"/>
    <w:family w:val="swiss"/>
    <w:pitch w:val="default"/>
    <w:sig w:usb0="00000087" w:usb1="28AF40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359248C"/>
    <w:rsid w:val="06E5FA60"/>
    <w:rsid w:val="09F64F97"/>
    <w:rsid w:val="0A0D460E"/>
    <w:rsid w:val="0AEF46DA"/>
    <w:rsid w:val="0B845632"/>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CED0D4E"/>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EFACC2"/>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C0F1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0CAE"/>
    <w:rsid w:val="4DEFFB07"/>
    <w:rsid w:val="4E7FD645"/>
    <w:rsid w:val="4E9D1594"/>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DB479A"/>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EB71E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D8961"/>
    <w:rsid w:val="67DE850A"/>
    <w:rsid w:val="67EAE887"/>
    <w:rsid w:val="694D1DDC"/>
    <w:rsid w:val="69774823"/>
    <w:rsid w:val="697E3C46"/>
    <w:rsid w:val="69BC06BD"/>
    <w:rsid w:val="69FE0A5F"/>
    <w:rsid w:val="6A3D2095"/>
    <w:rsid w:val="6A4515FF"/>
    <w:rsid w:val="6A723F09"/>
    <w:rsid w:val="6A7D6FBC"/>
    <w:rsid w:val="6A860352"/>
    <w:rsid w:val="6A8B0F56"/>
    <w:rsid w:val="6ABF683F"/>
    <w:rsid w:val="6ABFCBE9"/>
    <w:rsid w:val="6AEC4A2D"/>
    <w:rsid w:val="6AF57D44"/>
    <w:rsid w:val="6B7BBC6F"/>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A7572A"/>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841C"/>
    <w:rsid w:val="7FF79A2F"/>
    <w:rsid w:val="7FF7AD73"/>
    <w:rsid w:val="7FF7AE27"/>
    <w:rsid w:val="7FF95C95"/>
    <w:rsid w:val="7FFB0B36"/>
    <w:rsid w:val="7FFBB955"/>
    <w:rsid w:val="7FFBC8F2"/>
    <w:rsid w:val="7FFBE6EF"/>
    <w:rsid w:val="7FFD647B"/>
    <w:rsid w:val="7FFE2D43"/>
    <w:rsid w:val="7FFE6059"/>
    <w:rsid w:val="7FFE6B32"/>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5">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6">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0"/>
      <w:szCs w:val="2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7">
    <w:name w:val="Normal Indent"/>
    <w:basedOn w:val="1"/>
    <w:qFormat/>
    <w:uiPriority w:val="0"/>
    <w:pPr>
      <w:spacing w:line="240" w:lineRule="atLeast"/>
      <w:ind w:firstLine="420" w:firstLineChars="200"/>
    </w:pPr>
    <w:rPr>
      <w:rFonts w:eastAsia="仿宋_GB2312"/>
      <w:spacing w:val="-6"/>
      <w:sz w:val="32"/>
      <w:szCs w:val="20"/>
    </w:rPr>
  </w:style>
  <w:style w:type="paragraph" w:styleId="8">
    <w:name w:val="Document Map"/>
    <w:basedOn w:val="1"/>
    <w:link w:val="58"/>
    <w:qFormat/>
    <w:uiPriority w:val="0"/>
    <w:pPr>
      <w:shd w:val="clear" w:color="auto" w:fill="000080"/>
    </w:pPr>
  </w:style>
  <w:style w:type="paragraph" w:styleId="9">
    <w:name w:val="annotation text"/>
    <w:basedOn w:val="1"/>
    <w:link w:val="33"/>
    <w:qFormat/>
    <w:uiPriority w:val="0"/>
    <w:pPr>
      <w:jc w:val="left"/>
    </w:p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9"/>
    <w:next w:val="9"/>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4"/>
    <w:qFormat/>
    <w:uiPriority w:val="0"/>
    <w:rPr>
      <w:rFonts w:ascii="Times New Roman" w:hAnsi="Times New Roman" w:eastAsia="方正小标宋简体" w:cs="Times New Roman"/>
      <w:b/>
      <w:bCs/>
      <w:kern w:val="44"/>
      <w:sz w:val="36"/>
      <w:szCs w:val="44"/>
    </w:rPr>
  </w:style>
  <w:style w:type="character" w:customStyle="1" w:styleId="32">
    <w:name w:val="标题 2 字符"/>
    <w:link w:val="5"/>
    <w:qFormat/>
    <w:uiPriority w:val="0"/>
    <w:rPr>
      <w:rFonts w:ascii="宋体" w:hAnsi="宋体" w:eastAsia="宋体" w:cs="宋体"/>
      <w:b/>
      <w:bCs/>
      <w:sz w:val="30"/>
      <w:szCs w:val="36"/>
    </w:rPr>
  </w:style>
  <w:style w:type="character" w:customStyle="1" w:styleId="33">
    <w:name w:val="批注文字 字符"/>
    <w:link w:val="9"/>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6"/>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8"/>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4"/>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8"/>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 w:type="character" w:customStyle="1" w:styleId="62">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134</Pages>
  <Words>124895</Words>
  <Characters>131914</Characters>
  <Lines>1186</Lines>
  <Paragraphs>334</Paragraphs>
  <TotalTime>33</TotalTime>
  <ScaleCrop>false</ScaleCrop>
  <LinksUpToDate>false</LinksUpToDate>
  <CharactersWithSpaces>134862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2022-09-02T18:35:00Z</dcterms:created>
  <dc:creator>张通</dc:creator>
  <cp:lastModifiedBy>Administrator</cp:lastModifiedBy>
  <cp:lastPrinted>2024-09-05T15:37:00Z</cp:lastPrinted>
  <dcterms:modified xsi:type="dcterms:W3CDTF">2025-05-23T07:23:16Z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6231EEF6F64C48CC9DCC1988F0020DCA</vt:lpwstr>
  </property>
</Properties>
</file>