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pPr>
        <w:bidi w:val="0"/>
        <w:jc w:val="center"/>
        <w:rPr>
          <w:rFonts w:hint="eastAsia" w:ascii="仿宋_GB2312" w:hAnsi="仿宋_GB2312" w:eastAsia="仿宋_GB2312" w:cs="仿宋_GB2312"/>
          <w:color w:val="auto"/>
          <w:sz w:val="32"/>
          <w:szCs w:val="32"/>
          <w:highlight w:val="none"/>
        </w:rPr>
      </w:pPr>
      <w:bookmarkStart w:id="219" w:name="_GoBack"/>
      <w:bookmarkEnd w:id="219"/>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_Toc1981015615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_Toc1981015615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_Toc1859084654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_Toc1859084654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_Toc1716261181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_Toc1716261181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_Toc1631089704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_Toc1631089704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_Toc763570746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_Toc763570746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_Toc1046440714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_Toc1046440714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_Toc1531171604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_Toc1531171604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_Toc1169203885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_Toc1169203885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_Toc114467569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_Toc114467569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_Toc1597132697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_Toc1597132697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_Toc1608572295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_Toc1608572295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_Toc873097592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_Toc873097592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_Toc1184987992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_Toc1184987992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_Toc1993366508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_Toc1993366508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_Toc1034265769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_Toc1034265769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_Toc1198219356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_Toc1198219356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_Toc1315090803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_Toc1315090803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_Toc1065874877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_Toc1065874877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_Toc68918608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_Toc68918608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_Toc343261123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_Toc343261123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_Toc1020309817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_Toc1020309817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_Toc1119823230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_Toc1119823230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_Toc697382673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_Toc697382673 \h </w:instrText>
          </w:r>
          <w:r>
            <w:fldChar w:fldCharType="separate"/>
          </w:r>
          <w:r>
            <w:t>47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_Toc2062208648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_Toc2062208648 \h </w:instrText>
          </w:r>
          <w:r>
            <w:fldChar w:fldCharType="separate"/>
          </w:r>
          <w:r>
            <w:t>50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_Toc1333093317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_Toc1333093317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_Toc312584811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_Toc312584811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_Toc277302333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_Toc277302333 \h </w:instrText>
          </w:r>
          <w:r>
            <w:fldChar w:fldCharType="separate"/>
          </w:r>
          <w:r>
            <w:t>61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_Toc226560937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_Toc226560937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_Toc1974241014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_Toc1974241014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_Toc1180295235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_Toc1180295235 \h </w:instrText>
          </w:r>
          <w:r>
            <w:fldChar w:fldCharType="separate"/>
          </w:r>
          <w:r>
            <w:t>72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_Toc450128508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_Toc450128508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_Toc1807772981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_Toc1807772981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_Toc891896242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_Toc891896242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_Toc18906041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_Toc18906041 \h </w:instrText>
          </w:r>
          <w:r>
            <w:fldChar w:fldCharType="separate"/>
          </w:r>
          <w:r>
            <w:t>79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_Toc1291379037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_Toc1291379037 \h </w:instrText>
          </w:r>
          <w:r>
            <w:fldChar w:fldCharType="separate"/>
          </w:r>
          <w:r>
            <w:t>80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_Toc1655466988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_Toc1655466988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_Toc1065346755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_Toc1065346755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_Toc675066993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_Toc675066993 \h </w:instrText>
          </w:r>
          <w:r>
            <w:fldChar w:fldCharType="separate"/>
          </w:r>
          <w:r>
            <w:t>85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_Toc677187225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_Toc677187225 \h </w:instrText>
          </w:r>
          <w:r>
            <w:fldChar w:fldCharType="separate"/>
          </w:r>
          <w:r>
            <w:t>85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_Toc1179814324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_Toc1179814324 \h </w:instrText>
          </w:r>
          <w:r>
            <w:fldChar w:fldCharType="separate"/>
          </w:r>
          <w:r>
            <w:t>88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_Toc124716043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_Toc124716043 \h </w:instrText>
          </w:r>
          <w:r>
            <w:fldChar w:fldCharType="separate"/>
          </w:r>
          <w:r>
            <w:t>91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_Toc138275872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_Toc138275872 \h </w:instrText>
          </w:r>
          <w:r>
            <w:fldChar w:fldCharType="separate"/>
          </w:r>
          <w:r>
            <w:t>91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_Toc2052911917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_Toc2052911917 \h </w:instrText>
          </w:r>
          <w:r>
            <w:fldChar w:fldCharType="separate"/>
          </w:r>
          <w:r>
            <w:t>94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_Toc1309704035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_Toc1309704035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_Toc2131642380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_Toc2131642380 \h </w:instrText>
          </w:r>
          <w:r>
            <w:fldChar w:fldCharType="separate"/>
          </w:r>
          <w:r>
            <w:t>96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_Toc939694038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_Toc939694038 \h </w:instrText>
          </w:r>
          <w:r>
            <w:fldChar w:fldCharType="separate"/>
          </w:r>
          <w:r>
            <w:t>97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_Toc360439743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_Toc360439743 \h </w:instrText>
          </w:r>
          <w:r>
            <w:fldChar w:fldCharType="separate"/>
          </w:r>
          <w:r>
            <w:t>97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_Toc1299249536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_Toc1299249536 \h </w:instrText>
          </w:r>
          <w:r>
            <w:fldChar w:fldCharType="separate"/>
          </w:r>
          <w:r>
            <w:t>99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_Toc2005568916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_Toc2005568916 \h </w:instrText>
          </w:r>
          <w:r>
            <w:fldChar w:fldCharType="separate"/>
          </w:r>
          <w:r>
            <w:t>102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_Toc429358351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_Toc429358351 \h </w:instrText>
          </w:r>
          <w:r>
            <w:fldChar w:fldCharType="separate"/>
          </w:r>
          <w:r>
            <w:t>102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_Toc1642510659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_Toc1642510659 \h </w:instrText>
          </w:r>
          <w:r>
            <w:fldChar w:fldCharType="separate"/>
          </w:r>
          <w:r>
            <w:t>105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_Toc878395085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_Toc878395085 \h </w:instrText>
          </w:r>
          <w:r>
            <w:fldChar w:fldCharType="separate"/>
          </w:r>
          <w:r>
            <w:t>106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_Toc1549181582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_Toc1549181582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_Toc192409684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_Toc192409684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_Toc793120085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_Toc793120085 \h </w:instrText>
          </w:r>
          <w:r>
            <w:fldChar w:fldCharType="separate"/>
          </w:r>
          <w:r>
            <w:t>108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_Toc734791251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_Toc734791251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_Toc504994495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_Toc504994495 \h </w:instrText>
          </w:r>
          <w:r>
            <w:fldChar w:fldCharType="separate"/>
          </w:r>
          <w:r>
            <w:t>108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_Toc1070422418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_Toc1070422418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_Toc961352188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_Toc961352188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_Toc331751861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_Toc331751861 \h </w:instrText>
          </w:r>
          <w:r>
            <w:fldChar w:fldCharType="separate"/>
          </w:r>
          <w:r>
            <w:t>110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_Toc103234006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_Toc103234006 \h </w:instrText>
          </w:r>
          <w:r>
            <w:fldChar w:fldCharType="separate"/>
          </w:r>
          <w:r>
            <w:t>110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_Toc1411480696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_Toc1411480696 \h </w:instrText>
          </w:r>
          <w:r>
            <w:fldChar w:fldCharType="separate"/>
          </w:r>
          <w:r>
            <w:t>110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_Toc2139524843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_Toc2139524843 \h </w:instrText>
          </w:r>
          <w:r>
            <w:fldChar w:fldCharType="separate"/>
          </w:r>
          <w:r>
            <w:t>110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_Toc995130248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_Toc995130248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_Toc1430386737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_Toc1430386737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_Toc1283420232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_Toc1283420232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_Toc503113588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_Toc503113588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_Toc348249845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_Toc348249845 \h </w:instrText>
          </w:r>
          <w:r>
            <w:fldChar w:fldCharType="separate"/>
          </w:r>
          <w:r>
            <w:t>118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_Toc1958487226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_Toc1958487226 \h </w:instrText>
          </w:r>
          <w:r>
            <w:fldChar w:fldCharType="separate"/>
          </w:r>
          <w:r>
            <w:t>119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_Toc1180300814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_Toc1180300814 \h </w:instrText>
          </w:r>
          <w:r>
            <w:fldChar w:fldCharType="separate"/>
          </w:r>
          <w:r>
            <w:t>119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_Toc1528064169 </w:instrText>
          </w:r>
          <w:r>
            <w:rPr>
              <w:highlight w:val="none"/>
            </w:rPr>
            <w:fldChar w:fldCharType="separate"/>
          </w:r>
          <w:r>
            <w:rPr>
              <w:rFonts w:hint="eastAsia"/>
              <w:szCs w:val="21"/>
            </w:rPr>
            <w:t>生态环境管理方面4项</w:t>
          </w:r>
          <w:r>
            <w:tab/>
          </w:r>
          <w:r>
            <w:fldChar w:fldCharType="begin"/>
          </w:r>
          <w:r>
            <w:instrText xml:space="preserve"> PAGEREF _Toc1528064169 \h </w:instrText>
          </w:r>
          <w:r>
            <w:fldChar w:fldCharType="separate"/>
          </w:r>
          <w:r>
            <w:t>124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_Toc2083203269 </w:instrText>
          </w:r>
          <w:r>
            <w:rPr>
              <w:highlight w:val="none"/>
            </w:rPr>
            <w:fldChar w:fldCharType="separate"/>
          </w:r>
          <w:r>
            <w:rPr>
              <w:rFonts w:hint="eastAsia"/>
              <w:szCs w:val="21"/>
            </w:rPr>
            <w:t>水务管理方面20项</w:t>
          </w:r>
          <w:r>
            <w:tab/>
          </w:r>
          <w:r>
            <w:fldChar w:fldCharType="begin"/>
          </w:r>
          <w:r>
            <w:instrText xml:space="preserve"> PAGEREF _Toc2083203269 \h </w:instrText>
          </w:r>
          <w:r>
            <w:fldChar w:fldCharType="separate"/>
          </w:r>
          <w:r>
            <w:t>125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_Toc1318576686 </w:instrText>
          </w:r>
          <w:r>
            <w:rPr>
              <w:highlight w:val="none"/>
            </w:rPr>
            <w:fldChar w:fldCharType="separate"/>
          </w:r>
          <w:r>
            <w:rPr>
              <w:rFonts w:hint="eastAsia"/>
              <w:szCs w:val="21"/>
            </w:rPr>
            <w:t>农业农村管理方面1项</w:t>
          </w:r>
          <w:r>
            <w:tab/>
          </w:r>
          <w:r>
            <w:fldChar w:fldCharType="begin"/>
          </w:r>
          <w:r>
            <w:instrText xml:space="preserve"> PAGEREF _Toc1318576686 \h </w:instrText>
          </w:r>
          <w:r>
            <w:fldChar w:fldCharType="separate"/>
          </w:r>
          <w:r>
            <w:t>130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_Toc1433492438 </w:instrText>
          </w:r>
          <w:r>
            <w:rPr>
              <w:highlight w:val="none"/>
            </w:rPr>
            <w:fldChar w:fldCharType="separate"/>
          </w:r>
          <w:r>
            <w:rPr>
              <w:rFonts w:hint="eastAsia"/>
              <w:szCs w:val="21"/>
            </w:rPr>
            <w:t>卫生健康管理方面12项</w:t>
          </w:r>
          <w:r>
            <w:tab/>
          </w:r>
          <w:r>
            <w:fldChar w:fldCharType="begin"/>
          </w:r>
          <w:r>
            <w:instrText xml:space="preserve"> PAGEREF _Toc1433492438 \h </w:instrText>
          </w:r>
          <w:r>
            <w:fldChar w:fldCharType="separate"/>
          </w:r>
          <w:r>
            <w:t>130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_Toc1245423656 </w:instrText>
          </w:r>
          <w:r>
            <w:rPr>
              <w:highlight w:val="none"/>
            </w:rPr>
            <w:fldChar w:fldCharType="separate"/>
          </w:r>
          <w:r>
            <w:rPr>
              <w:rFonts w:hint="eastAsia"/>
              <w:bCs/>
              <w:szCs w:val="21"/>
              <w:lang w:eastAsia="zh-CN"/>
            </w:rPr>
            <w:t>住建部门</w:t>
          </w:r>
          <w:r>
            <w:rPr>
              <w:rFonts w:hint="eastAsia"/>
              <w:bCs/>
              <w:szCs w:val="21"/>
              <w:lang w:val="en-US" w:eastAsia="zh-CN"/>
            </w:rPr>
            <w:t>3项</w:t>
          </w:r>
          <w:r>
            <w:tab/>
          </w:r>
          <w:r>
            <w:fldChar w:fldCharType="begin"/>
          </w:r>
          <w:r>
            <w:instrText xml:space="preserve"> PAGEREF _Toc1245423656 \h </w:instrText>
          </w:r>
          <w:r>
            <w:fldChar w:fldCharType="separate"/>
          </w:r>
          <w:r>
            <w:t>132</w:t>
          </w:r>
          <w:r>
            <w:fldChar w:fldCharType="end"/>
          </w:r>
          <w:r>
            <w:rPr>
              <w:color w:val="auto"/>
              <w:highlight w:val="none"/>
            </w:rPr>
            <w:fldChar w:fldCharType="end"/>
          </w:r>
        </w:p>
        <w:p>
          <w:pPr>
            <w:pStyle w:val="2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8"/>
                <w:szCs w:val="28"/>
                <w:highlight w:val="none"/>
              </w:rPr>
            </w:pPr>
            <w:bookmarkStart w:id="0" w:name="_Toc1748547838"/>
            <w:bookmarkStart w:id="1" w:name="_Toc110851435"/>
            <w:bookmarkStart w:id="2" w:name="_Toc1981015615"/>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859084654"/>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8"/>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 w:name="_Toc1716261181"/>
            <w:bookmarkStart w:id="8" w:name="_Toc110851437"/>
            <w:bookmarkStart w:id="9" w:name="_Toc1542301765"/>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0" w:name="_Toc1631089704"/>
            <w:bookmarkStart w:id="11" w:name="_Toc726075658"/>
            <w:bookmarkStart w:id="12" w:name="_Toc110851438"/>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3"/>
              <w:widowControl w:val="0"/>
              <w:spacing w:line="220" w:lineRule="exact"/>
              <w:jc w:val="center"/>
              <w:rPr>
                <w:rFonts w:asciiTheme="minorEastAsia" w:hAnsiTheme="minorEastAsia" w:eastAsiaTheme="minorEastAsia"/>
                <w:color w:val="auto"/>
                <w:sz w:val="15"/>
                <w:szCs w:val="15"/>
                <w:highlight w:val="none"/>
              </w:rPr>
            </w:pPr>
            <w:bookmarkStart w:id="13" w:name="_Toc763570746"/>
            <w:bookmarkStart w:id="14" w:name="_Toc110851439"/>
            <w:bookmarkStart w:id="15" w:name="_Toc1544417110"/>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1046440714"/>
            <w:bookmarkStart w:id="18" w:name="_Toc80602247"/>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8"/>
              <w:rPr>
                <w:rFonts w:hint="eastAsia" w:asciiTheme="minorEastAsia" w:hAnsiTheme="minorEastAsia" w:eastAsiaTheme="minorEastAsia"/>
                <w:color w:val="auto"/>
                <w:sz w:val="15"/>
                <w:szCs w:val="15"/>
                <w:highlight w:val="none"/>
                <w:lang w:eastAsia="zh-CN"/>
              </w:rPr>
            </w:pPr>
          </w:p>
          <w:p>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1531171604"/>
            <w:bookmarkStart w:id="21" w:name="_Toc812078872"/>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10851442"/>
            <w:bookmarkStart w:id="23" w:name="_Toc1169203885"/>
            <w:bookmarkStart w:id="24" w:name="_Toc1567388814"/>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5" w:name="_Toc764526123"/>
            <w:bookmarkStart w:id="26" w:name="_Toc114467569"/>
            <w:bookmarkStart w:id="27" w:name="_Toc11085144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597132697"/>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608572295"/>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873097592"/>
            <w:bookmarkStart w:id="36" w:name="_Toc660874911"/>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8"/>
              <w:rPr>
                <w:rFonts w:hint="eastAsia"/>
                <w:color w:val="auto"/>
                <w:highlight w:val="none"/>
                <w:lang w:eastAsia="zh-CN"/>
              </w:rPr>
            </w:pPr>
          </w:p>
          <w:p>
            <w:pPr>
              <w:pStyle w:val="8"/>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8"/>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84987992"/>
            <w:bookmarkStart w:id="38" w:name="_Toc110851448"/>
            <w:bookmarkStart w:id="39" w:name="_Toc495418307"/>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1993366508"/>
            <w:bookmarkStart w:id="42" w:name="_Toc986557284"/>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110851450"/>
            <w:bookmarkStart w:id="44" w:name="_Toc703776516"/>
            <w:bookmarkStart w:id="45" w:name="_Toc103426576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98219356"/>
            <w:bookmarkStart w:id="47" w:name="_Toc110851451"/>
            <w:bookmarkStart w:id="48" w:name="_Toc958675012"/>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315090803"/>
            <w:bookmarkStart w:id="51" w:name="_Toc1563678502"/>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065874877"/>
            <w:bookmarkStart w:id="54" w:name="_Toc110851453"/>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110851454"/>
            <w:bookmarkStart w:id="56" w:name="_Toc68918608"/>
            <w:bookmarkStart w:id="57" w:name="_Toc54194176"/>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jc w:val="center"/>
              <w:rPr>
                <w:rFonts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pPr>
              <w:pStyle w:val="2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auto"/>
                <w:highlight w:val="none"/>
                <w:lang w:val="en"/>
              </w:rPr>
            </w:pPr>
            <w:bookmarkStart w:id="58" w:name="_Toc343261123"/>
            <w:bookmarkStart w:id="59" w:name="_Toc435705406"/>
            <w:r>
              <w:rPr>
                <w:rFonts w:hint="eastAsia" w:ascii="黑体" w:hAnsi="黑体" w:eastAsia="黑体" w:cs="黑体"/>
                <w:b w:val="0"/>
                <w:bCs w:val="0"/>
                <w:color w:val="auto"/>
                <w:highlight w:val="none"/>
              </w:rPr>
              <w:t>市政管理方面</w:t>
            </w:r>
            <w:bookmarkEnd w:id="58"/>
            <w:bookmarkEnd w:id="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1020309817"/>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3"/>
              <w:bidi w:val="0"/>
              <w:jc w:val="center"/>
              <w:rPr>
                <w:rFonts w:hint="default" w:ascii="宋体" w:hAnsi="宋体" w:eastAsia="宋体" w:cs="宋体"/>
                <w:color w:val="auto"/>
                <w:sz w:val="21"/>
                <w:szCs w:val="21"/>
                <w:highlight w:val="none"/>
                <w:lang w:val="en-US"/>
              </w:rPr>
            </w:pPr>
            <w:bookmarkStart w:id="62" w:name="_Toc1119823230"/>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3"/>
              <w:bidi w:val="0"/>
              <w:jc w:val="center"/>
              <w:rPr>
                <w:color w:val="auto"/>
                <w:highlight w:val="none"/>
              </w:rPr>
            </w:pPr>
            <w:bookmarkStart w:id="64" w:name="_Toc697382673"/>
            <w:r>
              <w:rPr>
                <w:rFonts w:hint="eastAsia"/>
                <w:color w:val="auto"/>
                <w:sz w:val="21"/>
                <w:szCs w:val="21"/>
                <w:highlight w:val="none"/>
              </w:rPr>
              <w:t>《城市道路管理条例》《北京市城市道路管理办法》案由16项</w:t>
            </w:r>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5" w:name="_Toc2062208648"/>
            <w:bookmarkStart w:id="66" w:name="_Toc110851455"/>
            <w:bookmarkStart w:id="67" w:name="_Toc1973624040"/>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68" w:name="_Toc1333093317"/>
            <w:bookmarkStart w:id="69" w:name="_Toc110851456"/>
            <w:bookmarkStart w:id="70" w:name="_Toc1693504403"/>
            <w:r>
              <w:rPr>
                <w:rFonts w:hint="eastAsia" w:ascii="黑体" w:hAnsi="黑体" w:eastAsia="黑体"/>
                <w:b w:val="0"/>
                <w:color w:val="auto"/>
                <w:sz w:val="36"/>
                <w:szCs w:val="36"/>
                <w:highlight w:val="none"/>
              </w:rPr>
              <w:t>公用事业管理方面</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7"/>
            <w:bookmarkStart w:id="72" w:name="_Toc1349825120"/>
            <w:bookmarkStart w:id="73" w:name="_Toc312584811"/>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8"/>
            <w:bookmarkStart w:id="75" w:name="_Toc277302333"/>
            <w:bookmarkStart w:id="76" w:name="_Toc1968530984"/>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7" w:name="_Toc697937810"/>
            <w:bookmarkStart w:id="78" w:name="_Toc226560937"/>
            <w:bookmarkStart w:id="79" w:name="_Toc110851459"/>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974241014"/>
            <w:bookmarkStart w:id="81" w:name="_Toc1826085962"/>
            <w:bookmarkStart w:id="82" w:name="_Toc110851460"/>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1473999580"/>
            <w:bookmarkStart w:id="84" w:name="_Toc110851461"/>
            <w:bookmarkStart w:id="85" w:name="_Toc1180295235"/>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984069521"/>
            <w:bookmarkStart w:id="87" w:name="_Toc450128508"/>
            <w:bookmarkStart w:id="88" w:name="_Toc110851462"/>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1807772981"/>
            <w:bookmarkStart w:id="90" w:name="_Toc636329439"/>
            <w:bookmarkStart w:id="91" w:name="_Toc110851463"/>
            <w:bookmarkStart w:id="92"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891896242"/>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8906041"/>
            <w:bookmarkStart w:id="95" w:name="_Toc1075063771"/>
            <w:bookmarkStart w:id="96" w:name="_Toc110851464"/>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pPr>
              <w:pStyle w:val="7"/>
              <w:rPr>
                <w:rFonts w:hint="eastAsia" w:asciiTheme="minorEastAsia" w:hAnsiTheme="minorEastAsia" w:eastAsiaTheme="minorEastAsia" w:cstheme="minorEastAsia"/>
                <w:color w:val="auto"/>
                <w:spacing w:val="-4"/>
                <w:sz w:val="15"/>
                <w:szCs w:val="15"/>
                <w:highlight w:val="none"/>
                <w:lang w:val="en-US" w:eastAsia="zh-CN"/>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110851465"/>
            <w:bookmarkStart w:id="98" w:name="_Toc1291379037"/>
            <w:bookmarkStart w:id="99" w:name="_Toc780858134"/>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00" w:name="_Toc1655466988"/>
            <w:bookmarkStart w:id="101" w:name="_Toc1495699393"/>
            <w:bookmarkStart w:id="102" w:name="_Toc110851466"/>
            <w:r>
              <w:rPr>
                <w:rFonts w:hint="eastAsia" w:ascii="黑体" w:hAnsi="黑体" w:eastAsia="黑体"/>
                <w:b w:val="0"/>
                <w:color w:val="auto"/>
                <w:sz w:val="36"/>
                <w:szCs w:val="36"/>
                <w:highlight w:val="none"/>
              </w:rPr>
              <w:t>园林绿化管理方面</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065346755"/>
            <w:bookmarkStart w:id="104" w:name="_Toc1801139429"/>
            <w:bookmarkStart w:id="105" w:name="_Toc110851467"/>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8"/>
            <w:bookmarkStart w:id="107" w:name="_Toc177791596"/>
            <w:bookmarkStart w:id="108" w:name="_Toc675066993"/>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69"/>
            <w:bookmarkStart w:id="110" w:name="_Toc1576301640"/>
            <w:bookmarkStart w:id="111" w:name="_Toc677187225"/>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7"/>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179814324"/>
            <w:bookmarkStart w:id="113" w:name="_Toc110851470"/>
            <w:bookmarkStart w:id="114" w:name="_Toc465734653"/>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2"/>
              <w:bidi w:val="0"/>
              <w:rPr>
                <w:rFonts w:ascii="黑体" w:hAnsi="黑体" w:eastAsia="黑体" w:cs="宋体"/>
                <w:color w:val="auto"/>
                <w:kern w:val="0"/>
                <w:highlight w:val="none"/>
              </w:rPr>
            </w:pPr>
            <w:bookmarkStart w:id="115" w:name="_Toc124716043"/>
            <w:r>
              <w:rPr>
                <w:rFonts w:hint="eastAsia" w:ascii="黑体" w:hAnsi="黑体" w:eastAsia="黑体" w:cs="黑体"/>
                <w:b w:val="0"/>
                <w:bCs w:val="0"/>
                <w:color w:val="auto"/>
                <w:highlight w:val="none"/>
              </w:rPr>
              <w:t>环境保护管理方面</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138275872"/>
            <w:r>
              <w:rPr>
                <w:rFonts w:hint="eastAsia"/>
                <w:color w:val="auto"/>
                <w:sz w:val="21"/>
                <w:szCs w:val="21"/>
                <w:highlight w:val="none"/>
              </w:rPr>
              <w:t>《中华人民共和国大气污染防治法》案由18项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w:t>
            </w:r>
            <w:r>
              <w:rPr>
                <w:rFonts w:hint="eastAsia" w:asciiTheme="minorEastAsia" w:hAnsiTheme="minorEastAsia" w:eastAsiaTheme="minorEastAsia"/>
                <w:color w:val="auto"/>
                <w:sz w:val="15"/>
                <w:szCs w:val="15"/>
                <w:highlight w:val="red"/>
                <w:lang w:eastAsia="zh-CN"/>
              </w:rPr>
              <w:t>他</w:t>
            </w:r>
            <w:r>
              <w:rPr>
                <w:rFonts w:hint="eastAsia" w:asciiTheme="minorEastAsia" w:hAnsiTheme="minorEastAsia" w:eastAsiaTheme="minorEastAsia"/>
                <w:color w:val="auto"/>
                <w:sz w:val="15"/>
                <w:szCs w:val="15"/>
                <w:highlight w:val="none"/>
              </w:rPr>
              <w:t>措施防止物料遗撒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2052911917"/>
            <w:r>
              <w:rPr>
                <w:rFonts w:hint="eastAsia"/>
                <w:color w:val="auto"/>
                <w:sz w:val="21"/>
                <w:szCs w:val="21"/>
                <w:highlight w:val="none"/>
              </w:rPr>
              <w:t>《北京市大气污染防治条例》案由8项</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fill="FF0000"/>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1309704035"/>
            <w:bookmarkStart w:id="120" w:name="_Toc1745180410"/>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10851472"/>
            <w:bookmarkStart w:id="122" w:name="_Toc2131642380"/>
            <w:bookmarkStart w:id="123" w:name="_Toc193344115"/>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4" w:name="_Toc110851473"/>
            <w:bookmarkStart w:id="125"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26" w:name="_Toc939694038"/>
            <w:r>
              <w:rPr>
                <w:rFonts w:hint="eastAsia" w:ascii="黑体" w:hAnsi="黑体" w:eastAsia="黑体"/>
                <w:b w:val="0"/>
                <w:color w:val="auto"/>
                <w:sz w:val="36"/>
                <w:szCs w:val="36"/>
                <w:highlight w:val="none"/>
              </w:rPr>
              <w:t>施工现场管理方面</w:t>
            </w:r>
            <w:bookmarkEnd w:id="124"/>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360439743"/>
            <w:bookmarkStart w:id="128" w:name="_Toc1669927446"/>
            <w:bookmarkStart w:id="129" w:name="_Toc110851474"/>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110851475"/>
            <w:bookmarkStart w:id="131" w:name="_Toc854219027"/>
            <w:bookmarkStart w:id="132" w:name="_Toc1299249536"/>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33" w:name="_Toc2005568916"/>
            <w:bookmarkStart w:id="134" w:name="_Toc110851476"/>
            <w:bookmarkStart w:id="135" w:name="_Toc1256403622"/>
            <w:r>
              <w:rPr>
                <w:rFonts w:hint="eastAsia" w:ascii="黑体" w:hAnsi="黑体" w:eastAsia="黑体"/>
                <w:b w:val="0"/>
                <w:color w:val="auto"/>
                <w:sz w:val="36"/>
                <w:szCs w:val="36"/>
                <w:highlight w:val="none"/>
              </w:rPr>
              <w:t>停车场管理方面案由</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509001082"/>
            <w:bookmarkStart w:id="137" w:name="_Toc110851477"/>
            <w:bookmarkStart w:id="138" w:name="_Toc429358351"/>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10851478"/>
            <w:bookmarkStart w:id="140" w:name="_Toc1642510659"/>
            <w:bookmarkStart w:id="141" w:name="_Toc1557995543"/>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878395085"/>
            <w:bookmarkStart w:id="143" w:name="_Toc67594986"/>
            <w:bookmarkStart w:id="144" w:name="_Toc110851479"/>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45" w:name="_Toc2072679585"/>
            <w:bookmarkStart w:id="146" w:name="_Toc1549181582"/>
            <w:bookmarkStart w:id="147" w:name="_Toc110851480"/>
            <w:r>
              <w:rPr>
                <w:rFonts w:hint="eastAsia" w:ascii="黑体" w:hAnsi="黑体" w:eastAsia="黑体"/>
                <w:b w:val="0"/>
                <w:color w:val="auto"/>
                <w:sz w:val="36"/>
                <w:szCs w:val="36"/>
                <w:highlight w:val="none"/>
              </w:rPr>
              <w:t>交通运输管理方面</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10851481"/>
            <w:bookmarkStart w:id="149" w:name="_Toc1833599949"/>
            <w:bookmarkStart w:id="150" w:name="_Toc192409684"/>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793120085"/>
            <w:bookmarkStart w:id="152" w:name="_Toc110851482"/>
            <w:bookmarkStart w:id="153" w:name="_Toc121789162"/>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54" w:name="_Toc360901343"/>
            <w:bookmarkStart w:id="155" w:name="_Toc734791251"/>
            <w:bookmarkStart w:id="156" w:name="_Toc110851483"/>
            <w:r>
              <w:rPr>
                <w:rFonts w:hint="eastAsia" w:ascii="黑体" w:hAnsi="黑体" w:eastAsia="黑体"/>
                <w:b w:val="0"/>
                <w:color w:val="auto"/>
                <w:sz w:val="36"/>
                <w:szCs w:val="36"/>
                <w:highlight w:val="none"/>
              </w:rPr>
              <w:t>市场监督管理（流动无照经营）方面</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704954681"/>
            <w:bookmarkStart w:id="158" w:name="_Toc504994495"/>
            <w:bookmarkStart w:id="159" w:name="_Toc110851484"/>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60691890"/>
            <w:bookmarkStart w:id="161" w:name="_Toc1070422418"/>
            <w:bookmarkStart w:id="162" w:name="_Toc110851485"/>
            <w:r>
              <w:rPr>
                <w:rFonts w:hint="eastAsia" w:ascii="黑体" w:hAnsi="黑体" w:eastAsia="黑体"/>
                <w:b w:val="0"/>
                <w:color w:val="auto"/>
                <w:sz w:val="36"/>
                <w:szCs w:val="36"/>
                <w:highlight w:val="none"/>
              </w:rPr>
              <w:t>城市规划管理方面</w:t>
            </w:r>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10851486"/>
            <w:bookmarkStart w:id="164" w:name="_Toc187041735"/>
            <w:bookmarkStart w:id="165" w:name="_Toc961352188"/>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66" w:name="_Toc250975437"/>
            <w:bookmarkStart w:id="167" w:name="_Toc110851487"/>
            <w:bookmarkStart w:id="168" w:name="_Toc331751861"/>
            <w:r>
              <w:rPr>
                <w:rFonts w:hint="eastAsia" w:ascii="黑体" w:hAnsi="黑体" w:eastAsia="黑体"/>
                <w:b w:val="0"/>
                <w:color w:val="auto"/>
                <w:sz w:val="36"/>
                <w:szCs w:val="36"/>
                <w:highlight w:val="none"/>
              </w:rPr>
              <w:t>旅游管理（黑导游）方面</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363033362"/>
            <w:bookmarkStart w:id="170" w:name="_Toc103234006"/>
            <w:bookmarkStart w:id="171" w:name="_Toc110851488"/>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36"/>
                <w:szCs w:val="36"/>
                <w:highlight w:val="none"/>
              </w:rPr>
            </w:pPr>
            <w:bookmarkStart w:id="172" w:name="_Toc1411480696"/>
            <w:bookmarkStart w:id="173" w:name="_Toc8089072"/>
            <w:bookmarkStart w:id="174" w:name="_Toc110851489"/>
            <w:r>
              <w:rPr>
                <w:rFonts w:hint="eastAsia" w:ascii="黑体" w:hAnsi="黑体" w:eastAsia="黑体"/>
                <w:b w:val="0"/>
                <w:color w:val="auto"/>
                <w:sz w:val="36"/>
                <w:szCs w:val="36"/>
                <w:highlight w:val="none"/>
              </w:rPr>
              <w:t>食品安全管理方面</w:t>
            </w:r>
            <w:bookmarkEnd w:id="172"/>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110851490"/>
            <w:bookmarkStart w:id="176" w:name="_Toc2139524843"/>
            <w:bookmarkStart w:id="177" w:name="_Toc948913247"/>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78" w:name="_Toc41635676"/>
            <w:bookmarkStart w:id="179" w:name="_Toc110851491"/>
            <w:bookmarkStart w:id="180" w:name="_Toc995130248"/>
            <w:r>
              <w:rPr>
                <w:rFonts w:hint="eastAsia" w:ascii="黑体" w:hAnsi="黑体" w:eastAsia="黑体"/>
                <w:b w:val="0"/>
                <w:color w:val="auto"/>
                <w:sz w:val="36"/>
                <w:szCs w:val="36"/>
                <w:highlight w:val="none"/>
              </w:rPr>
              <w:t>能源运行管理方面</w:t>
            </w:r>
            <w:bookmarkEnd w:id="178"/>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482088652"/>
            <w:bookmarkStart w:id="182" w:name="_Toc110851492"/>
            <w:bookmarkStart w:id="183" w:name="_Toc1430386737"/>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932982768"/>
            <w:bookmarkStart w:id="185" w:name="_Toc1283420232"/>
            <w:bookmarkStart w:id="186" w:name="_Toc110851493"/>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110851494"/>
            <w:bookmarkStart w:id="188" w:name="_Toc503113588"/>
            <w:bookmarkStart w:id="189" w:name="_Toc2142516953"/>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409668775"/>
            <w:bookmarkStart w:id="191" w:name="_Toc348249845"/>
            <w:bookmarkStart w:id="192" w:name="_Toc110851495"/>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3"/>
              <w:bidi w:val="0"/>
              <w:jc w:val="center"/>
              <w:rPr>
                <w:rFonts w:hint="default"/>
                <w:lang w:val="en-US" w:eastAsia="zh-CN"/>
              </w:rPr>
            </w:pPr>
            <w:bookmarkStart w:id="193" w:name="_Toc1958487226"/>
            <w:r>
              <w:rPr>
                <w:rFonts w:hint="eastAsia"/>
                <w:sz w:val="21"/>
                <w:szCs w:val="21"/>
                <w:lang w:val="en-US" w:eastAsia="zh-CN"/>
              </w:rPr>
              <w:t>《北京市优化营商环境条例》案由1项</w:t>
            </w:r>
            <w:bookmarkEnd w:id="1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供电企业供电可靠率低于国家有关规定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条款、处罚条款：第四十三条 供电企业应当保障供电设施的正常、稳定运行，确保供电质量符合国家规定。市城市管理部门应当加强对供电企业年供电可靠率的监督，对低于国家有关规定的，责令改正，可以处五万元以上五十万元以下罚款。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4" w:name="_Toc110851497"/>
            <w:bookmarkStart w:id="195" w:name="_Toc1490732698"/>
            <w:bookmarkStart w:id="196" w:name="_Toc1180300814"/>
            <w:r>
              <w:rPr>
                <w:rFonts w:hint="eastAsia" w:asciiTheme="minorEastAsia" w:hAnsiTheme="minorEastAsia" w:eastAsiaTheme="minorEastAsia"/>
                <w:color w:val="auto"/>
                <w:sz w:val="21"/>
                <w:szCs w:val="21"/>
                <w:highlight w:val="none"/>
              </w:rPr>
              <w:t>《中华人民共和国石油天然气管道保护法》</w:t>
            </w:r>
            <w:bookmarkEnd w:id="194"/>
            <w:bookmarkEnd w:id="195"/>
            <w:bookmarkStart w:id="197" w:name="_Toc110851498"/>
            <w:bookmarkStart w:id="198" w:name="_Toc63324556"/>
            <w:r>
              <w:rPr>
                <w:rFonts w:hint="eastAsia" w:asciiTheme="minorEastAsia" w:hAnsiTheme="minorEastAsia" w:eastAsiaTheme="minorEastAsia"/>
                <w:color w:val="auto"/>
                <w:sz w:val="21"/>
                <w:szCs w:val="21"/>
                <w:highlight w:val="none"/>
              </w:rPr>
              <w:t>案由22项</w:t>
            </w:r>
            <w:bookmarkEnd w:id="196"/>
            <w:bookmarkEnd w:id="197"/>
            <w:bookmarkEnd w:id="198"/>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pPr>
              <w:pStyle w:val="2"/>
              <w:bidi w:val="0"/>
              <w:rPr>
                <w:rFonts w:hint="eastAsia"/>
                <w:sz w:val="21"/>
                <w:szCs w:val="21"/>
              </w:rPr>
            </w:pPr>
            <w:bookmarkStart w:id="199" w:name="_Toc1437339030"/>
            <w:bookmarkStart w:id="200" w:name="_Toc1953583257"/>
            <w:bookmarkStart w:id="201" w:name="_Toc341845612"/>
            <w:bookmarkStart w:id="202" w:name="_Toc1528064169"/>
            <w:bookmarkStart w:id="203" w:name="_Toc110851502"/>
            <w:r>
              <w:rPr>
                <w:rFonts w:hint="eastAsia"/>
                <w:sz w:val="21"/>
                <w:szCs w:val="21"/>
              </w:rPr>
              <w:t>生态环境管理方面</w:t>
            </w:r>
            <w:bookmarkEnd w:id="199"/>
            <w:r>
              <w:rPr>
                <w:rFonts w:hint="eastAsia"/>
                <w:sz w:val="21"/>
                <w:szCs w:val="21"/>
              </w:rPr>
              <w:t>4项</w:t>
            </w:r>
            <w:bookmarkEnd w:id="200"/>
            <w:bookmarkEnd w:id="201"/>
            <w:bookmarkEnd w:id="202"/>
            <w:bookmarkEnd w:id="203"/>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20" w:lineRule="exact"/>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服装干洗和机动车维修等</w:t>
            </w:r>
            <w:r>
              <w:rPr>
                <w:rFonts w:hint="eastAsia" w:ascii="宋体" w:hAnsi="宋体" w:eastAsia="宋体" w:cs="仿宋_GB2312"/>
                <w:kern w:val="0"/>
                <w:sz w:val="15"/>
                <w:szCs w:val="15"/>
              </w:rPr>
              <w:t>项目</w:t>
            </w:r>
            <w:r>
              <w:rPr>
                <w:rFonts w:hint="eastAsia" w:ascii="宋体" w:hAnsi="宋体" w:eastAsia="宋体" w:cs="仿宋_GB2312"/>
                <w:color w:val="000000"/>
                <w:kern w:val="0"/>
                <w:sz w:val="15"/>
                <w:szCs w:val="15"/>
                <w:lang w:bidi="ar"/>
              </w:rPr>
              <w:t>，未设置异味和废气处理装置等污染防治设施并保持正常使用</w:t>
            </w:r>
          </w:p>
        </w:tc>
        <w:tc>
          <w:tcPr>
            <w:tcW w:w="2789" w:type="dxa"/>
            <w:gridSpan w:val="2"/>
            <w:noWrap w:val="0"/>
            <w:vAlign w:val="center"/>
          </w:tcPr>
          <w:p>
            <w:pPr>
              <w:spacing w:line="220" w:lineRule="exact"/>
              <w:jc w:val="lef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784" w:type="dxa"/>
            <w:gridSpan w:val="3"/>
            <w:noWrap w:val="0"/>
            <w:vAlign w:val="center"/>
          </w:tcPr>
          <w:p>
            <w:pPr>
              <w:spacing w:line="220" w:lineRule="exact"/>
              <w:rPr>
                <w:rFonts w:ascii="宋体" w:hAnsi="宋体" w:eastAsia="宋体" w:cs="仿宋_GB2312"/>
                <w:sz w:val="15"/>
                <w:szCs w:val="15"/>
              </w:rPr>
            </w:pPr>
            <w:r>
              <w:rPr>
                <w:rFonts w:hint="eastAsia" w:ascii="宋体" w:hAnsi="宋体" w:eastAsia="宋体" w:cs="仿宋_GB2312"/>
                <w:sz w:val="15"/>
                <w:szCs w:val="15"/>
              </w:rPr>
              <w:t>不正常使用异味和废气处理装置等净化设施0.2-1万元；</w:t>
            </w:r>
          </w:p>
          <w:p>
            <w:pPr>
              <w:spacing w:line="220" w:lineRule="exact"/>
              <w:rPr>
                <w:rFonts w:ascii="宋体" w:hAnsi="宋体" w:eastAsia="宋体" w:cs="仿宋_GB2312"/>
                <w:sz w:val="15"/>
                <w:szCs w:val="15"/>
              </w:rPr>
            </w:pPr>
            <w:r>
              <w:rPr>
                <w:rFonts w:hint="eastAsia" w:ascii="宋体" w:hAnsi="宋体" w:eastAsia="宋体" w:cs="仿宋_GB2312"/>
                <w:sz w:val="15"/>
                <w:szCs w:val="15"/>
              </w:rPr>
              <w:t>未安装或者安装后擅自拆除异味和废气净化设施1-2万元；</w:t>
            </w:r>
          </w:p>
          <w:p>
            <w:pPr>
              <w:spacing w:line="220" w:lineRule="exact"/>
              <w:rPr>
                <w:rFonts w:ascii="宋体" w:hAnsi="宋体" w:eastAsia="宋体" w:cs="仿宋_GB2312"/>
                <w:sz w:val="15"/>
                <w:szCs w:val="15"/>
              </w:rPr>
            </w:pPr>
            <w:r>
              <w:rPr>
                <w:rFonts w:hint="eastAsia" w:ascii="宋体" w:hAnsi="宋体" w:eastAsia="宋体" w:cs="仿宋_GB2312"/>
                <w:sz w:val="15"/>
                <w:szCs w:val="15"/>
              </w:rPr>
              <w:t>拒不改正的，责令停业整治。</w:t>
            </w:r>
          </w:p>
        </w:tc>
        <w:tc>
          <w:tcPr>
            <w:tcW w:w="2108" w:type="dxa"/>
            <w:gridSpan w:val="4"/>
            <w:noWrap w:val="0"/>
            <w:vAlign w:val="center"/>
          </w:tcPr>
          <w:p>
            <w:pPr>
              <w:spacing w:line="220" w:lineRule="exact"/>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20" w:lineRule="exact"/>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20" w:lineRule="exact"/>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20" w:lineRule="exact"/>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20" w:lineRule="exact"/>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20" w:lineRule="exact"/>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20" w:lineRule="exact"/>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《北京市环境噪声污染防治办法》违反条款：第三十条；处罚条款：第四十二条，责令改正；拒不改正的，处3万元以下罚款。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pPr>
              <w:pStyle w:val="2"/>
              <w:bidi w:val="0"/>
              <w:rPr>
                <w:rFonts w:hint="eastAsia"/>
                <w:sz w:val="21"/>
                <w:szCs w:val="21"/>
              </w:rPr>
            </w:pPr>
            <w:bookmarkStart w:id="204" w:name="_Toc110851503"/>
            <w:bookmarkStart w:id="205" w:name="_Toc1112894806"/>
            <w:bookmarkStart w:id="206" w:name="_Toc1642327804"/>
            <w:bookmarkStart w:id="207" w:name="_Toc2083203269"/>
            <w:r>
              <w:rPr>
                <w:rFonts w:hint="eastAsia"/>
                <w:sz w:val="21"/>
                <w:szCs w:val="21"/>
              </w:rPr>
              <w:t>水务管理方面20项</w:t>
            </w:r>
            <w:bookmarkEnd w:id="204"/>
            <w:bookmarkEnd w:id="205"/>
            <w:bookmarkEnd w:id="206"/>
            <w:bookmarkEnd w:id="207"/>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noWrap w:val="0"/>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20</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pPr>
              <w:pStyle w:val="2"/>
              <w:bidi w:val="0"/>
              <w:rPr>
                <w:rFonts w:ascii="宋体" w:hAnsi="宋体" w:eastAsia="宋体"/>
                <w:szCs w:val="15"/>
              </w:rPr>
            </w:pPr>
            <w:bookmarkStart w:id="208" w:name="_Toc110851504"/>
            <w:bookmarkStart w:id="209" w:name="_Toc1318576686"/>
            <w:bookmarkStart w:id="210" w:name="_Toc473764242"/>
            <w:bookmarkStart w:id="211" w:name="_Toc1290044525"/>
            <w:r>
              <w:rPr>
                <w:rFonts w:hint="eastAsia"/>
                <w:sz w:val="21"/>
                <w:szCs w:val="21"/>
              </w:rPr>
              <w:t>农业农村管理方面1项</w:t>
            </w:r>
            <w:bookmarkEnd w:id="208"/>
            <w:bookmarkEnd w:id="209"/>
            <w:bookmarkEnd w:id="210"/>
            <w:bookmarkEnd w:id="2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pPr>
              <w:pStyle w:val="2"/>
              <w:bidi w:val="0"/>
              <w:rPr>
                <w:rFonts w:hint="eastAsia"/>
                <w:sz w:val="21"/>
                <w:szCs w:val="21"/>
              </w:rPr>
            </w:pPr>
            <w:bookmarkStart w:id="212" w:name="_Toc2011773058"/>
            <w:bookmarkStart w:id="213" w:name="_Toc110851505"/>
            <w:bookmarkStart w:id="214" w:name="_Toc589852508"/>
            <w:bookmarkStart w:id="215" w:name="_Toc1433492438"/>
            <w:r>
              <w:rPr>
                <w:rFonts w:hint="eastAsia"/>
                <w:sz w:val="21"/>
                <w:szCs w:val="21"/>
              </w:rPr>
              <w:t>卫生健康管理方面12项</w:t>
            </w:r>
            <w:bookmarkEnd w:id="212"/>
            <w:bookmarkEnd w:id="213"/>
            <w:bookmarkEnd w:id="214"/>
            <w:bookmarkEnd w:id="215"/>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未建立禁止吸烟管理制度，做好宣传教育工作且拒不改正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《北京市控制吸烟条例》违反条款：第十三条第一款第（一）项；处罚条款：第二十四条第（一）项，责令限期改正;拒不改正的，处2000元以上5000元以下罚款。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未在禁止吸烟场所设置明显的禁止吸烟标志和举报投诉电话号码标识且拒不改正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《北京市控制吸烟条例》违反条款：第十三条第一款第（二）项；处罚条款：第二十四条第（一）项，责令限期改正;拒不改正的，处2000元以上5000元以下罚款。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在禁止吸烟场所提供烟具和附有烟草广告的物品且拒不改正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《北京市控制吸烟条例》违反条款：第十三条第一款第（三）项；处罚条款：第二十四条第（一）项，责令限期改正;拒不改正的，处2000元以上5000元以下罚款。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未开展禁止吸烟检查工作，制作并留存禁止吸烟检查工作相关记录且拒不改正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《北京市控制吸烟条例》违反条款：第十三条第一款第（四）项；处罚条款：第二十四条第（一）项，责令限期改正;拒不改正的，处2000元以上5000元以下罚款。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在禁止吸烟场所内的吸烟者未予以劝阻，对不听劝阻的吸烟者未要求其离开，对不听劝阻且不离开的吸烟者未投诉举报</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《北京市控制吸烟条例》违反条款：第十三条第一款第（五）项；处罚条款：第二十四条第（二）项，给予警告，并处5000元以上1万元以下罚款。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场所内吸烟者有1人的，警告，并处5000元罚款；</w:t>
            </w:r>
          </w:p>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场所内吸烟者有2-5人的，警告，并处5000元以上（不含）8000元以下（含）罚款；</w:t>
            </w:r>
          </w:p>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场所内吸烟者有5人以上的，警告，并处8000元以上（不含）1万元以下（含）罚款。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在其他禁止吸烟场所或者排队等候队伍中吸烟</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《北京市控制吸烟条例》违反条款：第十四条；处罚条款：第二十五条第一款，责令改正，可以处50元罚款;拒不改正的，处200元罚款。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在禁止吸烟场所或者排队等候队伍中吸烟，处50元罚款；</w:t>
            </w:r>
          </w:p>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在禁止吸烟场所或者排队等候队伍中吸烟，拒不改正，处200元罚款。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32" w:lineRule="exact"/>
              <w:rPr>
                <w:rFonts w:ascii="宋体" w:hAnsi="宋体" w:eastAsia="宋体"/>
                <w:color w:val="000000"/>
                <w:sz w:val="15"/>
                <w:szCs w:val="15"/>
              </w:rPr>
            </w:pPr>
            <w:r>
              <w:rPr>
                <w:rFonts w:hint="eastAsia" w:ascii="宋体" w:hAnsi="宋体" w:eastAsia="宋体"/>
                <w:color w:val="000000"/>
                <w:sz w:val="15"/>
                <w:szCs w:val="15"/>
              </w:rPr>
              <w:t>在幼儿园、中小学校、少年宫、儿童福利机构等以未成年人为主要活动人群的场所吸烟</w:t>
            </w:r>
          </w:p>
        </w:tc>
        <w:tc>
          <w:tcPr>
            <w:tcW w:w="2789" w:type="dxa"/>
            <w:gridSpan w:val="2"/>
            <w:noWrap w:val="0"/>
            <w:vAlign w:val="center"/>
          </w:tcPr>
          <w:p>
            <w:pPr>
              <w:spacing w:line="232" w:lineRule="exact"/>
              <w:rPr>
                <w:rFonts w:ascii="宋体" w:hAnsi="宋体" w:eastAsia="宋体"/>
                <w:color w:val="000000"/>
                <w:sz w:val="15"/>
                <w:szCs w:val="15"/>
              </w:rPr>
            </w:pPr>
            <w:r>
              <w:rPr>
                <w:rFonts w:hint="eastAsia" w:ascii="宋体" w:hAnsi="宋体" w:eastAsia="宋体"/>
                <w:color w:val="000000"/>
                <w:sz w:val="15"/>
                <w:szCs w:val="15"/>
              </w:rPr>
              <w:t>《北京市控制吸烟条例》违反条款：第十四条；处罚条款：第二十五条第一款，责令改正，给予警告，可以并处200元以上500以下罚款。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警告，可以并处200元以上（含）500元以下（含）罚款。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pPr>
              <w:pStyle w:val="2"/>
              <w:bidi w:val="0"/>
              <w:rPr>
                <w:rFonts w:hint="default" w:ascii="宋体" w:hAnsi="宋体" w:eastAsia="宋体" w:cs="Times New Roman"/>
                <w:b/>
                <w:bCs/>
                <w:color w:val="000000"/>
                <w:kern w:val="44"/>
                <w:szCs w:val="15"/>
                <w:lang w:val="en-US" w:eastAsia="zh-CN" w:bidi="ar-SA"/>
              </w:rPr>
            </w:pPr>
            <w:bookmarkStart w:id="216" w:name="_Toc1245423656"/>
            <w:bookmarkStart w:id="217" w:name="_Toc979026322"/>
            <w:r>
              <w:rPr>
                <w:rFonts w:hint="eastAsia"/>
                <w:b/>
                <w:bCs/>
                <w:sz w:val="21"/>
                <w:szCs w:val="21"/>
                <w:lang w:eastAsia="zh-CN"/>
              </w:rPr>
              <w:t>住建部门</w:t>
            </w:r>
            <w:r>
              <w:rPr>
                <w:rFonts w:hint="eastAsia"/>
                <w:b/>
                <w:bCs/>
                <w:sz w:val="21"/>
                <w:szCs w:val="21"/>
                <w:lang w:val="en-US" w:eastAsia="zh-CN"/>
              </w:rPr>
              <w:t>3项</w:t>
            </w:r>
            <w:bookmarkEnd w:id="2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pPr>
              <w:autoSpaceDE w:val="0"/>
              <w:autoSpaceDN w:val="0"/>
              <w:adjustRightInd w:val="0"/>
              <w:spacing w:line="520" w:lineRule="exact"/>
              <w:jc w:val="center"/>
              <w:rPr>
                <w:rFonts w:hint="eastAsia"/>
                <w:sz w:val="21"/>
                <w:szCs w:val="21"/>
                <w:lang w:val="en-US" w:eastAsia="zh-CN"/>
              </w:rPr>
            </w:pPr>
          </w:p>
        </w:tc>
      </w:tr>
      <w:bookmarkEnd w:id="21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8"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center"/>
              <w:rPr>
                <w:rFonts w:hint="eastAsia" w:asciiTheme="minorEastAsia" w:hAnsiTheme="minorEastAsia" w:eastAsiaTheme="minorEastAsia" w:cstheme="minorEastAsia"/>
                <w:sz w:val="21"/>
                <w:szCs w:val="21"/>
                <w:lang w:val="en-US" w:eastAsia="zh-CN"/>
              </w:rPr>
            </w:pP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8"/>
    </w:tbl>
    <w:p>
      <w:pPr>
        <w:pStyle w:val="8"/>
      </w:pPr>
    </w:p>
    <w:p>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icrosoft JhengHei">
    <w:panose1 w:val="020B0604030504040204"/>
    <w:charset w:val="88"/>
    <w:family w:val="swiss"/>
    <w:pitch w:val="default"/>
    <w:sig w:usb0="000002A7" w:usb1="28CF44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8E22E61"/>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10</TotalTime>
  <ScaleCrop>false</ScaleCrop>
  <LinksUpToDate>false</LinksUpToDate>
  <CharactersWithSpaces>134862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2022-09-02T18:35:00Z</dcterms:created>
  <dc:creator>张通</dc:creator>
  <cp:lastModifiedBy>sleep</cp:lastModifiedBy>
  <cp:lastPrinted>2024-09-05T15:37:00Z</cp:lastPrinted>
  <dcterms:modified xsi:type="dcterms:W3CDTF">2024-12-30T09:05:40Z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0B80440A2DE09F57AAA2A066EEE69FF8</vt:lpwstr>
  </property>
</Properties>
</file>