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62" w:rsidRPr="002E1962" w:rsidRDefault="002E1962" w:rsidP="009B504C">
      <w:pPr>
        <w:pStyle w:val="a6"/>
        <w:spacing w:before="0" w:beforeAutospacing="0" w:after="0" w:afterAutospacing="0" w:line="440" w:lineRule="exact"/>
        <w:ind w:firstLine="643"/>
        <w:jc w:val="center"/>
        <w:rPr>
          <w:b/>
          <w:sz w:val="36"/>
          <w:szCs w:val="36"/>
        </w:rPr>
      </w:pPr>
      <w:r w:rsidRPr="002E1962">
        <w:rPr>
          <w:rFonts w:hint="eastAsia"/>
          <w:b/>
          <w:sz w:val="36"/>
          <w:szCs w:val="36"/>
        </w:rPr>
        <w:t>听证标准</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《中华人民共和国行政处罚法》第六十三条</w:t>
      </w:r>
      <w:r w:rsidR="00141A49">
        <w:rPr>
          <w:rFonts w:ascii="仿宋" w:eastAsia="仿宋" w:hAnsi="仿宋" w:hint="eastAsia"/>
          <w:color w:val="000000"/>
          <w:sz w:val="32"/>
          <w:szCs w:val="32"/>
        </w:rPr>
        <w:t>：</w:t>
      </w:r>
      <w:r w:rsidRPr="009B504C">
        <w:rPr>
          <w:rFonts w:ascii="仿宋" w:eastAsia="仿宋" w:hAnsi="仿宋" w:hint="eastAsia"/>
          <w:color w:val="000000"/>
          <w:sz w:val="32"/>
          <w:szCs w:val="32"/>
        </w:rPr>
        <w:t>行政机关拟作出下列行政处罚决定，应当告知当事人有要求听证的权利，当事人要求听证的，行政机关应当组织听证：</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（一）较大数额罚款；（具体金额见下图）</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（二）没收较大数额违法所得、没收较大价值非法财物；</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（三）降低资质等级、吊销许可证件；</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（四）责令停产停业、责令关闭、限制从业；</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（五）其他较重的行政处罚；</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（六）法律、法规、规章规定的其他情形。</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当事人不承担行政机关组织听证的费用。</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《中华人民共和国行政处罚法》第六十四条</w:t>
      </w:r>
      <w:r w:rsidR="00141A49">
        <w:rPr>
          <w:rFonts w:ascii="仿宋" w:eastAsia="仿宋" w:hAnsi="仿宋" w:hint="eastAsia"/>
          <w:color w:val="000000"/>
          <w:sz w:val="32"/>
          <w:szCs w:val="32"/>
        </w:rPr>
        <w:t>：</w:t>
      </w:r>
      <w:r w:rsidRPr="009B504C">
        <w:rPr>
          <w:rFonts w:ascii="仿宋" w:eastAsia="仿宋" w:hAnsi="仿宋" w:hint="eastAsia"/>
          <w:color w:val="000000"/>
          <w:sz w:val="32"/>
          <w:szCs w:val="32"/>
        </w:rPr>
        <w:t>听证应当依照以下程序组织：</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（一）当事人要求听证的，应当在行政机关告知后五日内提出；</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（二）行政机关应当在举行听证的七日前，通知当事人及有关人员听证的时间、地点；</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（三）除涉及国家秘密、商业秘密或者个人隐私依法予以保密外，听证公开举行；</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（四）听证由行政机关指定的非本案调查人员主持；当事人认为主持人与本案有直接利害关系的，有权申请回避；</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lastRenderedPageBreak/>
        <w:t>（五）当事人可以亲自参加听证，也可以委托一至二人代理；</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（六）当事人及其代理人无正当理由拒不出席听证或者未经许可中途退出听证的，视为放弃听证权利，行政机关终止听证；</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（七）举行听证时，调查人员提出当事人违法的事实、证据和行政处罚建议，当事人进行申辩和质证；</w:t>
      </w:r>
    </w:p>
    <w:p w:rsidR="009B504C" w:rsidRPr="009B504C" w:rsidRDefault="009B504C" w:rsidP="009B504C">
      <w:pPr>
        <w:pStyle w:val="a6"/>
        <w:spacing w:line="440" w:lineRule="exact"/>
        <w:ind w:firstLine="640"/>
        <w:rPr>
          <w:rFonts w:ascii="仿宋" w:eastAsia="仿宋" w:hAnsi="仿宋"/>
          <w:color w:val="000000"/>
          <w:sz w:val="32"/>
          <w:szCs w:val="32"/>
        </w:rPr>
      </w:pPr>
      <w:r w:rsidRPr="009B504C">
        <w:rPr>
          <w:rFonts w:ascii="仿宋" w:eastAsia="仿宋" w:hAnsi="仿宋" w:hint="eastAsia"/>
          <w:color w:val="000000"/>
          <w:sz w:val="32"/>
          <w:szCs w:val="32"/>
        </w:rPr>
        <w:t>（八）听证应当制作笔录。笔录应当交当事人或者其代理人核对无误后签字或者盖章。当事人或者其代理人拒绝签字或者盖章的，由听证主持人在笔录中注明。</w:t>
      </w:r>
    </w:p>
    <w:p w:rsidR="003913A0" w:rsidRDefault="009B504C" w:rsidP="009B504C">
      <w:pPr>
        <w:pStyle w:val="a6"/>
        <w:spacing w:before="0" w:beforeAutospacing="0" w:after="0" w:afterAutospacing="0" w:line="440" w:lineRule="exact"/>
        <w:ind w:firstLine="640"/>
        <w:jc w:val="both"/>
        <w:rPr>
          <w:rFonts w:ascii="Calibri" w:hAnsi="Calibri"/>
          <w:sz w:val="21"/>
          <w:szCs w:val="21"/>
        </w:rPr>
      </w:pPr>
      <w:r w:rsidRPr="009B504C">
        <w:rPr>
          <w:rFonts w:ascii="仿宋" w:eastAsia="仿宋" w:hAnsi="仿宋" w:hint="eastAsia"/>
          <w:color w:val="000000"/>
          <w:sz w:val="32"/>
          <w:szCs w:val="32"/>
        </w:rPr>
        <w:t>《中华人民共和国行政处罚法》第六十五条</w:t>
      </w:r>
      <w:r w:rsidR="00141A49">
        <w:rPr>
          <w:rFonts w:ascii="仿宋" w:eastAsia="仿宋" w:hAnsi="仿宋" w:hint="eastAsia"/>
          <w:color w:val="000000"/>
          <w:sz w:val="32"/>
          <w:szCs w:val="32"/>
        </w:rPr>
        <w:t>：</w:t>
      </w:r>
      <w:bookmarkStart w:id="0" w:name="_GoBack"/>
      <w:bookmarkEnd w:id="0"/>
      <w:r w:rsidRPr="009B504C">
        <w:rPr>
          <w:rFonts w:ascii="仿宋" w:eastAsia="仿宋" w:hAnsi="仿宋" w:hint="eastAsia"/>
          <w:color w:val="000000"/>
          <w:sz w:val="32"/>
          <w:szCs w:val="32"/>
        </w:rPr>
        <w:t>听证结束后，行政机关应当根据听证笔录，依照本法第五十七条的规定，作出决定。</w:t>
      </w:r>
    </w:p>
    <w:p w:rsidR="004B1755" w:rsidRPr="003913A0" w:rsidRDefault="004B1755" w:rsidP="009B504C">
      <w:pPr>
        <w:spacing w:line="440" w:lineRule="exact"/>
      </w:pPr>
    </w:p>
    <w:p w:rsidR="003913A0" w:rsidRPr="003913A0" w:rsidRDefault="003913A0" w:rsidP="009B504C">
      <w:pPr>
        <w:adjustRightInd w:val="0"/>
        <w:snapToGrid w:val="0"/>
        <w:spacing w:line="440" w:lineRule="exact"/>
        <w:jc w:val="center"/>
        <w:rPr>
          <w:rFonts w:ascii="仿宋_GB2312" w:eastAsia="仿宋_GB2312" w:hAnsi="仿宋_GB2312" w:cs="仿宋_GB2312"/>
          <w:b/>
          <w:sz w:val="32"/>
          <w:szCs w:val="32"/>
        </w:rPr>
      </w:pPr>
      <w:r w:rsidRPr="003913A0">
        <w:rPr>
          <w:rFonts w:ascii="仿宋_GB2312" w:eastAsia="仿宋_GB2312" w:hAnsi="仿宋_GB2312" w:cs="仿宋_GB2312" w:hint="eastAsia"/>
          <w:b/>
          <w:sz w:val="32"/>
          <w:szCs w:val="32"/>
        </w:rPr>
        <w:t>听证涉案</w:t>
      </w:r>
      <w:r w:rsidRPr="003913A0">
        <w:rPr>
          <w:rFonts w:ascii="仿宋_GB2312" w:eastAsia="仿宋_GB2312" w:hAnsi="仿宋_GB2312" w:cs="仿宋_GB2312"/>
          <w:b/>
          <w:sz w:val="32"/>
          <w:szCs w:val="32"/>
        </w:rPr>
        <w:t>额标准目录</w:t>
      </w:r>
    </w:p>
    <w:tbl>
      <w:tblPr>
        <w:tblStyle w:val="a5"/>
        <w:tblpPr w:leftFromText="180" w:rightFromText="180" w:vertAnchor="text" w:horzAnchor="page" w:tblpX="1838" w:tblpY="323"/>
        <w:tblOverlap w:val="never"/>
        <w:tblW w:w="8613" w:type="dxa"/>
        <w:tblLook w:val="04A0" w:firstRow="1" w:lastRow="0" w:firstColumn="1" w:lastColumn="0" w:noHBand="0" w:noVBand="1"/>
      </w:tblPr>
      <w:tblGrid>
        <w:gridCol w:w="2350"/>
        <w:gridCol w:w="3428"/>
        <w:gridCol w:w="2835"/>
      </w:tblGrid>
      <w:tr w:rsidR="003913A0" w:rsidRPr="003913A0" w:rsidTr="002B7573">
        <w:tc>
          <w:tcPr>
            <w:tcW w:w="2350" w:type="dxa"/>
            <w:vAlign w:val="center"/>
          </w:tcPr>
          <w:p w:rsidR="003913A0" w:rsidRPr="003913A0" w:rsidRDefault="003913A0" w:rsidP="009B504C">
            <w:pPr>
              <w:widowControl/>
              <w:adjustRightInd w:val="0"/>
              <w:snapToGrid w:val="0"/>
              <w:spacing w:line="440" w:lineRule="exact"/>
              <w:ind w:firstLineChars="200" w:firstLine="562"/>
              <w:textAlignment w:val="center"/>
              <w:rPr>
                <w:rFonts w:ascii="宋体" w:eastAsia="宋体" w:hAnsi="宋体" w:cs="宋体"/>
                <w:b/>
                <w:sz w:val="28"/>
                <w:szCs w:val="28"/>
              </w:rPr>
            </w:pPr>
            <w:r w:rsidRPr="003913A0">
              <w:rPr>
                <w:rFonts w:ascii="宋体" w:eastAsia="宋体" w:hAnsi="宋体" w:cs="宋体" w:hint="eastAsia"/>
                <w:b/>
                <w:sz w:val="28"/>
                <w:szCs w:val="28"/>
              </w:rPr>
              <w:t>行业领域</w:t>
            </w:r>
          </w:p>
        </w:tc>
        <w:tc>
          <w:tcPr>
            <w:tcW w:w="3428" w:type="dxa"/>
            <w:vAlign w:val="center"/>
          </w:tcPr>
          <w:p w:rsidR="003913A0" w:rsidRPr="003913A0" w:rsidRDefault="003913A0" w:rsidP="009B504C">
            <w:pPr>
              <w:widowControl/>
              <w:adjustRightInd w:val="0"/>
              <w:snapToGrid w:val="0"/>
              <w:spacing w:line="440" w:lineRule="exact"/>
              <w:ind w:firstLineChars="200" w:firstLine="562"/>
              <w:textAlignment w:val="center"/>
              <w:rPr>
                <w:rFonts w:ascii="宋体" w:eastAsia="宋体" w:hAnsi="宋体" w:cs="宋体"/>
                <w:b/>
                <w:sz w:val="28"/>
                <w:szCs w:val="28"/>
              </w:rPr>
            </w:pPr>
            <w:r w:rsidRPr="003913A0">
              <w:rPr>
                <w:rFonts w:ascii="宋体" w:eastAsia="宋体" w:hAnsi="宋体" w:cs="宋体" w:hint="eastAsia"/>
                <w:b/>
                <w:sz w:val="28"/>
                <w:szCs w:val="28"/>
              </w:rPr>
              <w:t>涉及个人额度</w:t>
            </w:r>
          </w:p>
        </w:tc>
        <w:tc>
          <w:tcPr>
            <w:tcW w:w="2835" w:type="dxa"/>
            <w:vAlign w:val="center"/>
          </w:tcPr>
          <w:p w:rsidR="003913A0" w:rsidRPr="003913A0" w:rsidRDefault="003913A0" w:rsidP="009B504C">
            <w:pPr>
              <w:widowControl/>
              <w:adjustRightInd w:val="0"/>
              <w:snapToGrid w:val="0"/>
              <w:spacing w:line="440" w:lineRule="exact"/>
              <w:textAlignment w:val="center"/>
              <w:rPr>
                <w:rFonts w:ascii="宋体" w:eastAsia="宋体" w:hAnsi="宋体" w:cs="宋体"/>
                <w:b/>
                <w:sz w:val="28"/>
                <w:szCs w:val="28"/>
              </w:rPr>
            </w:pPr>
            <w:r w:rsidRPr="003913A0">
              <w:rPr>
                <w:rFonts w:ascii="宋体" w:eastAsia="宋体" w:hAnsi="宋体" w:cs="宋体" w:hint="eastAsia"/>
                <w:b/>
                <w:sz w:val="28"/>
                <w:szCs w:val="28"/>
              </w:rPr>
              <w:t>涉及单位组织额度</w:t>
            </w:r>
          </w:p>
        </w:tc>
      </w:tr>
      <w:tr w:rsidR="003913A0" w:rsidRPr="003913A0" w:rsidTr="002B7573">
        <w:tc>
          <w:tcPr>
            <w:tcW w:w="2350"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城管</w:t>
            </w:r>
          </w:p>
        </w:tc>
        <w:tc>
          <w:tcPr>
            <w:tcW w:w="3428"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5000元以上（不含）</w:t>
            </w:r>
          </w:p>
        </w:tc>
        <w:tc>
          <w:tcPr>
            <w:tcW w:w="2835"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50000元以上（不含）</w:t>
            </w:r>
          </w:p>
        </w:tc>
      </w:tr>
      <w:tr w:rsidR="003913A0" w:rsidRPr="003913A0" w:rsidTr="002B7573">
        <w:tc>
          <w:tcPr>
            <w:tcW w:w="2350"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环保</w:t>
            </w:r>
          </w:p>
        </w:tc>
        <w:tc>
          <w:tcPr>
            <w:tcW w:w="3428"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5000元以上（含）</w:t>
            </w:r>
          </w:p>
        </w:tc>
        <w:tc>
          <w:tcPr>
            <w:tcW w:w="2835"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50000元以上（含）</w:t>
            </w:r>
          </w:p>
        </w:tc>
      </w:tr>
      <w:tr w:rsidR="003913A0" w:rsidRPr="003913A0" w:rsidTr="002B7573">
        <w:trPr>
          <w:trHeight w:val="375"/>
        </w:trPr>
        <w:tc>
          <w:tcPr>
            <w:tcW w:w="2350" w:type="dxa"/>
            <w:vMerge w:val="restart"/>
            <w:vAlign w:val="center"/>
          </w:tcPr>
          <w:p w:rsidR="003913A0" w:rsidRPr="003913A0" w:rsidRDefault="003913A0" w:rsidP="009B504C">
            <w:pPr>
              <w:adjustRightInd w:val="0"/>
              <w:snapToGrid w:val="0"/>
              <w:spacing w:line="440" w:lineRule="exact"/>
              <w:ind w:firstLineChars="200" w:firstLine="480"/>
              <w:rPr>
                <w:rFonts w:ascii="仿宋_GB2312" w:eastAsia="仿宋_GB2312" w:hAnsi="仿宋_GB2312" w:cs="仿宋_GB2312"/>
                <w:sz w:val="24"/>
                <w:szCs w:val="24"/>
              </w:rPr>
            </w:pPr>
            <w:r w:rsidRPr="003913A0">
              <w:rPr>
                <w:rFonts w:ascii="宋体" w:eastAsia="宋体" w:hAnsi="宋体" w:cs="宋体" w:hint="eastAsia"/>
                <w:sz w:val="24"/>
                <w:szCs w:val="24"/>
              </w:rPr>
              <w:t>卫健</w:t>
            </w:r>
          </w:p>
        </w:tc>
        <w:tc>
          <w:tcPr>
            <w:tcW w:w="3428"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10000元以上（含）</w:t>
            </w:r>
          </w:p>
        </w:tc>
        <w:tc>
          <w:tcPr>
            <w:tcW w:w="2835"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60000元以上（含）</w:t>
            </w:r>
          </w:p>
        </w:tc>
      </w:tr>
      <w:tr w:rsidR="003913A0" w:rsidRPr="003913A0" w:rsidTr="002B7573">
        <w:trPr>
          <w:trHeight w:val="354"/>
        </w:trPr>
        <w:tc>
          <w:tcPr>
            <w:tcW w:w="2350" w:type="dxa"/>
            <w:vMerge/>
            <w:vAlign w:val="center"/>
          </w:tcPr>
          <w:p w:rsidR="003913A0" w:rsidRPr="003913A0" w:rsidRDefault="003913A0" w:rsidP="009B504C">
            <w:pPr>
              <w:adjustRightInd w:val="0"/>
              <w:snapToGrid w:val="0"/>
              <w:spacing w:line="440" w:lineRule="exact"/>
              <w:ind w:firstLineChars="200" w:firstLine="480"/>
              <w:rPr>
                <w:rFonts w:ascii="仿宋_GB2312" w:eastAsia="仿宋_GB2312" w:hAnsi="仿宋_GB2312" w:cs="仿宋_GB2312"/>
                <w:sz w:val="24"/>
                <w:szCs w:val="24"/>
              </w:rPr>
            </w:pPr>
          </w:p>
        </w:tc>
        <w:tc>
          <w:tcPr>
            <w:tcW w:w="6263" w:type="dxa"/>
            <w:gridSpan w:val="2"/>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或涉案金额10万元以上</w:t>
            </w:r>
          </w:p>
        </w:tc>
      </w:tr>
      <w:tr w:rsidR="003913A0" w:rsidRPr="003913A0" w:rsidTr="002B7573">
        <w:tc>
          <w:tcPr>
            <w:tcW w:w="2350"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水</w:t>
            </w:r>
            <w:proofErr w:type="gramStart"/>
            <w:r w:rsidRPr="003913A0">
              <w:rPr>
                <w:rFonts w:ascii="宋体" w:eastAsia="宋体" w:hAnsi="宋体" w:cs="宋体" w:hint="eastAsia"/>
                <w:sz w:val="24"/>
                <w:szCs w:val="24"/>
              </w:rPr>
              <w:t>务</w:t>
            </w:r>
            <w:proofErr w:type="gramEnd"/>
          </w:p>
        </w:tc>
        <w:tc>
          <w:tcPr>
            <w:tcW w:w="3428"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10000元以上（含）</w:t>
            </w:r>
          </w:p>
        </w:tc>
        <w:tc>
          <w:tcPr>
            <w:tcW w:w="2835"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100000元以上（含）</w:t>
            </w:r>
          </w:p>
        </w:tc>
      </w:tr>
      <w:tr w:rsidR="003913A0" w:rsidRPr="003913A0" w:rsidTr="002B7573">
        <w:tc>
          <w:tcPr>
            <w:tcW w:w="2350"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农委</w:t>
            </w:r>
          </w:p>
        </w:tc>
        <w:tc>
          <w:tcPr>
            <w:tcW w:w="3428"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3000元以上（含）</w:t>
            </w:r>
          </w:p>
        </w:tc>
        <w:tc>
          <w:tcPr>
            <w:tcW w:w="2835" w:type="dxa"/>
            <w:vAlign w:val="center"/>
          </w:tcPr>
          <w:p w:rsidR="003913A0" w:rsidRPr="003913A0" w:rsidRDefault="003913A0" w:rsidP="009B504C">
            <w:pPr>
              <w:widowControl/>
              <w:adjustRightInd w:val="0"/>
              <w:snapToGrid w:val="0"/>
              <w:spacing w:line="440" w:lineRule="exact"/>
              <w:ind w:firstLineChars="200" w:firstLine="480"/>
              <w:textAlignment w:val="center"/>
              <w:rPr>
                <w:rFonts w:ascii="宋体" w:eastAsia="宋体" w:hAnsi="宋体" w:cs="宋体"/>
                <w:sz w:val="24"/>
                <w:szCs w:val="24"/>
              </w:rPr>
            </w:pPr>
            <w:r w:rsidRPr="003913A0">
              <w:rPr>
                <w:rFonts w:ascii="宋体" w:eastAsia="宋体" w:hAnsi="宋体" w:cs="宋体" w:hint="eastAsia"/>
                <w:sz w:val="24"/>
                <w:szCs w:val="24"/>
              </w:rPr>
              <w:t>30000元以上（含）</w:t>
            </w:r>
          </w:p>
        </w:tc>
      </w:tr>
    </w:tbl>
    <w:p w:rsidR="003913A0" w:rsidRDefault="003913A0" w:rsidP="009B504C">
      <w:pPr>
        <w:spacing w:line="440" w:lineRule="exact"/>
      </w:pPr>
    </w:p>
    <w:sectPr w:rsidR="003913A0" w:rsidSect="004B17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F2" w:rsidRDefault="00851BF2" w:rsidP="003913A0">
      <w:r>
        <w:separator/>
      </w:r>
    </w:p>
  </w:endnote>
  <w:endnote w:type="continuationSeparator" w:id="0">
    <w:p w:rsidR="00851BF2" w:rsidRDefault="00851BF2" w:rsidP="0039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F2" w:rsidRDefault="00851BF2" w:rsidP="003913A0">
      <w:r>
        <w:separator/>
      </w:r>
    </w:p>
  </w:footnote>
  <w:footnote w:type="continuationSeparator" w:id="0">
    <w:p w:rsidR="00851BF2" w:rsidRDefault="00851BF2" w:rsidP="0039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3A0"/>
    <w:rsid w:val="00141A49"/>
    <w:rsid w:val="00165C14"/>
    <w:rsid w:val="002A3C81"/>
    <w:rsid w:val="002E1962"/>
    <w:rsid w:val="003913A0"/>
    <w:rsid w:val="004443A6"/>
    <w:rsid w:val="004B1755"/>
    <w:rsid w:val="006347E0"/>
    <w:rsid w:val="007513DB"/>
    <w:rsid w:val="00851BF2"/>
    <w:rsid w:val="00991075"/>
    <w:rsid w:val="009B504C"/>
    <w:rsid w:val="00E0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3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3A0"/>
    <w:rPr>
      <w:sz w:val="18"/>
      <w:szCs w:val="18"/>
    </w:rPr>
  </w:style>
  <w:style w:type="paragraph" w:styleId="a4">
    <w:name w:val="footer"/>
    <w:basedOn w:val="a"/>
    <w:link w:val="Char0"/>
    <w:uiPriority w:val="99"/>
    <w:unhideWhenUsed/>
    <w:rsid w:val="003913A0"/>
    <w:pPr>
      <w:tabs>
        <w:tab w:val="center" w:pos="4153"/>
        <w:tab w:val="right" w:pos="8306"/>
      </w:tabs>
      <w:snapToGrid w:val="0"/>
      <w:jc w:val="left"/>
    </w:pPr>
    <w:rPr>
      <w:sz w:val="18"/>
      <w:szCs w:val="18"/>
    </w:rPr>
  </w:style>
  <w:style w:type="character" w:customStyle="1" w:styleId="Char0">
    <w:name w:val="页脚 Char"/>
    <w:basedOn w:val="a0"/>
    <w:link w:val="a4"/>
    <w:uiPriority w:val="99"/>
    <w:rsid w:val="003913A0"/>
    <w:rPr>
      <w:sz w:val="18"/>
      <w:szCs w:val="18"/>
    </w:rPr>
  </w:style>
  <w:style w:type="table" w:styleId="a5">
    <w:name w:val="Table Grid"/>
    <w:basedOn w:val="a1"/>
    <w:qFormat/>
    <w:rsid w:val="003913A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3913A0"/>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3913A0"/>
    <w:rPr>
      <w:strike w:val="0"/>
      <w:dstrike w:val="0"/>
      <w:color w:val="33333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229112">
      <w:bodyDiv w:val="1"/>
      <w:marLeft w:val="0"/>
      <w:marRight w:val="0"/>
      <w:marTop w:val="0"/>
      <w:marBottom w:val="0"/>
      <w:divBdr>
        <w:top w:val="none" w:sz="0" w:space="0" w:color="auto"/>
        <w:left w:val="none" w:sz="0" w:space="0" w:color="auto"/>
        <w:bottom w:val="none" w:sz="0" w:space="0" w:color="auto"/>
        <w:right w:val="none" w:sz="0" w:space="0" w:color="auto"/>
      </w:divBdr>
      <w:divsChild>
        <w:div w:id="2061783652">
          <w:marLeft w:val="0"/>
          <w:marRight w:val="0"/>
          <w:marTop w:val="0"/>
          <w:marBottom w:val="0"/>
          <w:divBdr>
            <w:top w:val="none" w:sz="0" w:space="0" w:color="auto"/>
            <w:left w:val="none" w:sz="0" w:space="0" w:color="auto"/>
            <w:bottom w:val="none" w:sz="0" w:space="0" w:color="auto"/>
            <w:right w:val="none" w:sz="0" w:space="0" w:color="auto"/>
          </w:divBdr>
          <w:divsChild>
            <w:div w:id="347758295">
              <w:marLeft w:val="0"/>
              <w:marRight w:val="0"/>
              <w:marTop w:val="0"/>
              <w:marBottom w:val="0"/>
              <w:divBdr>
                <w:top w:val="none" w:sz="0" w:space="0" w:color="auto"/>
                <w:left w:val="none" w:sz="0" w:space="0" w:color="auto"/>
                <w:bottom w:val="none" w:sz="0" w:space="0" w:color="auto"/>
                <w:right w:val="none" w:sz="0" w:space="0" w:color="auto"/>
              </w:divBdr>
              <w:divsChild>
                <w:div w:id="686566851">
                  <w:marLeft w:val="0"/>
                  <w:marRight w:val="0"/>
                  <w:marTop w:val="0"/>
                  <w:marBottom w:val="0"/>
                  <w:divBdr>
                    <w:top w:val="none" w:sz="0" w:space="0" w:color="auto"/>
                    <w:left w:val="none" w:sz="0" w:space="0" w:color="auto"/>
                    <w:bottom w:val="none" w:sz="0" w:space="0" w:color="auto"/>
                    <w:right w:val="none" w:sz="0" w:space="0" w:color="auto"/>
                  </w:divBdr>
                  <w:divsChild>
                    <w:div w:id="1612588269">
                      <w:marLeft w:val="0"/>
                      <w:marRight w:val="0"/>
                      <w:marTop w:val="0"/>
                      <w:marBottom w:val="0"/>
                      <w:divBdr>
                        <w:top w:val="none" w:sz="0" w:space="0" w:color="auto"/>
                        <w:left w:val="none" w:sz="0" w:space="0" w:color="auto"/>
                        <w:bottom w:val="none" w:sz="0" w:space="0" w:color="auto"/>
                        <w:right w:val="none" w:sz="0" w:space="0" w:color="auto"/>
                      </w:divBdr>
                      <w:divsChild>
                        <w:div w:id="2133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mjp</dc:creator>
  <cp:keywords/>
  <dc:description/>
  <cp:lastModifiedBy>ftqxtb</cp:lastModifiedBy>
  <cp:revision>6</cp:revision>
  <dcterms:created xsi:type="dcterms:W3CDTF">2021-09-15T09:34:00Z</dcterms:created>
  <dcterms:modified xsi:type="dcterms:W3CDTF">2022-03-31T05:27:00Z</dcterms:modified>
</cp:coreProperties>
</file>