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 </w:t>
      </w:r>
    </w:p>
    <w:p>
      <w:pPr>
        <w:ind w:firstLine="420" w:firstLineChars="200"/>
      </w:pPr>
      <w:bookmarkStart w:id="0" w:name="_GoBack"/>
      <w:bookmarkEnd w:id="0"/>
      <w:r>
        <w:t>收到决定书之日起</w:t>
      </w:r>
      <w:r>
        <w:rPr>
          <w:rFonts w:hint="eastAsia"/>
        </w:rPr>
        <w:t>60日内，向北京市丰台区人民政府申请行政复议，也可以在6个月内直接向北京市丰台区人民法院提起行政诉讼。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2024-06-28T03:29:42Z</dcterms:created>
  <dc:creator>lenovo</dc:creator>
  <cp:lastModifiedBy>lenovo</cp:lastModifiedBy>
  <dcterms:modified xsi:type="dcterms:W3CDTF">2024-06-28T03:30:15Z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A429BC6C5B594980A93107DD25AEF2BE</vt:lpwstr>
  </property>
</Properties>
</file>