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eastAsia="方正小标宋简体"/>
          <w:sz w:val="44"/>
          <w:szCs w:val="44"/>
        </w:rPr>
      </w:pPr>
    </w:p>
    <w:p>
      <w:pPr>
        <w:pStyle w:val="21"/>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北京市城管执法行政处罚裁量基准表</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（2023.9无障碍环境建设法实施+住建部门）</w:t>
      </w:r>
    </w:p>
    <w:p>
      <w:pPr>
        <w:pStyle w:val="21"/>
      </w:pPr>
    </w:p>
    <w:sdt>
      <w:sdtPr>
        <w:rPr>
          <w:rFonts w:ascii="宋体" w:hAnsi="宋体"/>
        </w:rPr>
        <w:id w:val="227737608"/>
        <w:docPartObj>
          <w:docPartGallery w:val="Table of Contents"/>
          <w:docPartUnique/>
        </w:docPartObj>
      </w:sdtPr>
      <w:sdtEndPr>
        <w:rPr>
          <w:rFonts w:ascii="Times New Roman" w:hAnsi="Times New Roman"/>
        </w:rPr>
      </w:sdtEndPr>
      <w:sdtContent>
        <w:p>
          <w:pPr>
            <w:jc w:val="center"/>
          </w:pPr>
          <w:r>
            <w:rPr>
              <w:rFonts w:ascii="宋体" w:hAnsi="宋体"/>
            </w:rPr>
            <w:t>目录</w:t>
          </w:r>
        </w:p>
        <w:p>
          <w:pPr>
            <w:pStyle w:val="16"/>
            <w:tabs>
              <w:tab w:val="right" w:leader="dot" w:pos="9582"/>
            </w:tabs>
          </w:pPr>
          <w:r>
            <w:fldChar w:fldCharType="begin"/>
          </w:r>
          <w:r>
            <w:instrText xml:space="preserve">TOC \o "1-3" \h \u </w:instrText>
          </w:r>
          <w:r>
            <w:fldChar w:fldCharType="separate"/>
          </w:r>
          <w:r>
            <w:fldChar w:fldCharType="begin"/>
          </w:r>
          <w:r>
            <w:instrText xml:space="preserve"> HYPERLINK \l "_Toc489598213" </w:instrText>
          </w:r>
          <w:r>
            <w:fldChar w:fldCharType="separate"/>
          </w:r>
          <w:r>
            <w:rPr>
              <w:rFonts w:hint="eastAsia" w:ascii="黑体" w:hAnsi="黑体" w:eastAsia="黑体"/>
              <w:szCs w:val="24"/>
            </w:rPr>
            <w:t>市容环境卫生管理方面</w:t>
          </w:r>
          <w:r>
            <w:tab/>
          </w:r>
          <w:r>
            <w:fldChar w:fldCharType="begin"/>
          </w:r>
          <w:r>
            <w:instrText xml:space="preserve"> PAGEREF _Toc489598213 \h </w:instrText>
          </w:r>
          <w:r>
            <w:fldChar w:fldCharType="separate"/>
          </w:r>
          <w:r>
            <w:t>1</w:t>
          </w:r>
          <w:r>
            <w:fldChar w:fldCharType="end"/>
          </w:r>
          <w:r>
            <w:fldChar w:fldCharType="end"/>
          </w:r>
        </w:p>
        <w:p>
          <w:pPr>
            <w:pStyle w:val="18"/>
            <w:tabs>
              <w:tab w:val="right" w:leader="dot" w:pos="9582"/>
            </w:tabs>
          </w:pPr>
          <w:r>
            <w:fldChar w:fldCharType="begin"/>
          </w:r>
          <w:r>
            <w:instrText xml:space="preserve"> HYPERLINK \l "_Toc1829194283" </w:instrText>
          </w:r>
          <w:r>
            <w:fldChar w:fldCharType="separate"/>
          </w:r>
          <w:r>
            <w:rPr>
              <w:rFonts w:hint="eastAsia" w:asciiTheme="minorEastAsia" w:hAnsiTheme="minorEastAsia" w:eastAsiaTheme="minorEastAsia"/>
              <w:szCs w:val="15"/>
            </w:rPr>
            <w:t>《北京市市容环境卫生条例》案由56项</w:t>
          </w:r>
          <w:r>
            <w:tab/>
          </w:r>
          <w:r>
            <w:fldChar w:fldCharType="begin"/>
          </w:r>
          <w:r>
            <w:instrText xml:space="preserve"> PAGEREF _Toc1829194283 \h </w:instrText>
          </w:r>
          <w:r>
            <w:fldChar w:fldCharType="separate"/>
          </w:r>
          <w:r>
            <w:t>1</w:t>
          </w:r>
          <w:r>
            <w:fldChar w:fldCharType="end"/>
          </w:r>
          <w:r>
            <w:fldChar w:fldCharType="end"/>
          </w:r>
        </w:p>
        <w:p>
          <w:pPr>
            <w:pStyle w:val="18"/>
            <w:tabs>
              <w:tab w:val="right" w:leader="dot" w:pos="9582"/>
            </w:tabs>
          </w:pPr>
          <w:r>
            <w:fldChar w:fldCharType="begin"/>
          </w:r>
          <w:r>
            <w:instrText xml:space="preserve"> HYPERLINK \l "_Toc1688144003" </w:instrText>
          </w:r>
          <w:r>
            <w:fldChar w:fldCharType="separate"/>
          </w:r>
          <w:r>
            <w:rPr>
              <w:rFonts w:hint="eastAsia" w:asciiTheme="minorEastAsia" w:hAnsiTheme="minorEastAsia" w:eastAsiaTheme="minorEastAsia"/>
              <w:szCs w:val="15"/>
            </w:rPr>
            <w:t>《北京市生活垃圾管理条例》案由</w:t>
          </w:r>
          <w:r>
            <w:rPr>
              <w:rFonts w:asciiTheme="minorEastAsia" w:hAnsiTheme="minorEastAsia" w:eastAsiaTheme="minorEastAsia"/>
              <w:szCs w:val="15"/>
            </w:rPr>
            <w:t>36</w:t>
          </w:r>
          <w:r>
            <w:rPr>
              <w:rFonts w:hint="eastAsia" w:asciiTheme="minorEastAsia" w:hAnsiTheme="minorEastAsia" w:eastAsiaTheme="minorEastAsia"/>
              <w:szCs w:val="15"/>
            </w:rPr>
            <w:t>项</w:t>
          </w:r>
          <w:r>
            <w:tab/>
          </w:r>
          <w:r>
            <w:fldChar w:fldCharType="begin"/>
          </w:r>
          <w:r>
            <w:instrText xml:space="preserve"> PAGEREF _Toc1688144003 \h </w:instrText>
          </w:r>
          <w:r>
            <w:fldChar w:fldCharType="separate"/>
          </w:r>
          <w:r>
            <w:t>11</w:t>
          </w:r>
          <w:r>
            <w:fldChar w:fldCharType="end"/>
          </w:r>
          <w:r>
            <w:fldChar w:fldCharType="end"/>
          </w:r>
        </w:p>
        <w:p>
          <w:pPr>
            <w:pStyle w:val="18"/>
            <w:tabs>
              <w:tab w:val="right" w:leader="dot" w:pos="9582"/>
            </w:tabs>
          </w:pPr>
          <w:r>
            <w:fldChar w:fldCharType="begin"/>
          </w:r>
          <w:r>
            <w:instrText xml:space="preserve"> HYPERLINK \l "_Toc518466791" </w:instrText>
          </w:r>
          <w:r>
            <w:fldChar w:fldCharType="separate"/>
          </w:r>
          <w:r>
            <w:rPr>
              <w:rFonts w:hint="eastAsia" w:asciiTheme="minorEastAsia" w:hAnsiTheme="minorEastAsia" w:eastAsiaTheme="minorEastAsia"/>
              <w:szCs w:val="15"/>
            </w:rPr>
            <w:t>《城市生活垃圾管理办法》案由11项</w:t>
          </w:r>
          <w:r>
            <w:tab/>
          </w:r>
          <w:r>
            <w:fldChar w:fldCharType="begin"/>
          </w:r>
          <w:r>
            <w:instrText xml:space="preserve"> PAGEREF _Toc518466791 \h </w:instrText>
          </w:r>
          <w:r>
            <w:fldChar w:fldCharType="separate"/>
          </w:r>
          <w:r>
            <w:t>20</w:t>
          </w:r>
          <w:r>
            <w:fldChar w:fldCharType="end"/>
          </w:r>
          <w:r>
            <w:fldChar w:fldCharType="end"/>
          </w:r>
        </w:p>
        <w:p>
          <w:pPr>
            <w:pStyle w:val="18"/>
            <w:tabs>
              <w:tab w:val="right" w:leader="dot" w:pos="9582"/>
            </w:tabs>
          </w:pPr>
          <w:r>
            <w:fldChar w:fldCharType="begin"/>
          </w:r>
          <w:r>
            <w:instrText xml:space="preserve"> HYPERLINK \l "_Toc716781063" </w:instrText>
          </w:r>
          <w:r>
            <w:fldChar w:fldCharType="separate"/>
          </w:r>
          <w:r>
            <w:rPr>
              <w:rFonts w:hint="eastAsia" w:asciiTheme="minorEastAsia" w:hAnsiTheme="minorEastAsia" w:eastAsiaTheme="minorEastAsia"/>
              <w:szCs w:val="15"/>
            </w:rPr>
            <w:t>《城市建筑垃圾管理规定》案由11项</w:t>
          </w:r>
          <w:r>
            <w:tab/>
          </w:r>
          <w:r>
            <w:fldChar w:fldCharType="begin"/>
          </w:r>
          <w:r>
            <w:instrText xml:space="preserve"> PAGEREF _Toc716781063 \h </w:instrText>
          </w:r>
          <w:r>
            <w:fldChar w:fldCharType="separate"/>
          </w:r>
          <w:r>
            <w:t>22</w:t>
          </w:r>
          <w:r>
            <w:fldChar w:fldCharType="end"/>
          </w:r>
          <w:r>
            <w:fldChar w:fldCharType="end"/>
          </w:r>
        </w:p>
        <w:p>
          <w:pPr>
            <w:pStyle w:val="18"/>
            <w:tabs>
              <w:tab w:val="right" w:leader="dot" w:pos="9582"/>
            </w:tabs>
          </w:pPr>
          <w:r>
            <w:fldChar w:fldCharType="begin"/>
          </w:r>
          <w:r>
            <w:instrText xml:space="preserve"> HYPERLINK \l "_Toc1434526632" </w:instrText>
          </w:r>
          <w:r>
            <w:fldChar w:fldCharType="separate"/>
          </w:r>
          <w:r>
            <w:rPr>
              <w:rFonts w:hint="eastAsia" w:asciiTheme="minorEastAsia" w:hAnsiTheme="minorEastAsia" w:eastAsiaTheme="minorEastAsia"/>
              <w:szCs w:val="15"/>
            </w:rPr>
            <w:t>《中华人民共和国固体废物污染环境防治法》案由</w:t>
          </w:r>
          <w:r>
            <w:rPr>
              <w:rFonts w:asciiTheme="minorEastAsia" w:hAnsiTheme="minorEastAsia" w:eastAsiaTheme="minorEastAsia"/>
              <w:szCs w:val="15"/>
            </w:rPr>
            <w:t>10</w:t>
          </w:r>
          <w:r>
            <w:rPr>
              <w:rFonts w:hint="eastAsia" w:asciiTheme="minorEastAsia" w:hAnsiTheme="minorEastAsia" w:eastAsiaTheme="minorEastAsia"/>
              <w:szCs w:val="15"/>
            </w:rPr>
            <w:t>项</w:t>
          </w:r>
          <w:r>
            <w:tab/>
          </w:r>
          <w:r>
            <w:fldChar w:fldCharType="begin"/>
          </w:r>
          <w:r>
            <w:instrText xml:space="preserve"> PAGEREF _Toc1434526632 \h </w:instrText>
          </w:r>
          <w:r>
            <w:fldChar w:fldCharType="separate"/>
          </w:r>
          <w:r>
            <w:t>24</w:t>
          </w:r>
          <w:r>
            <w:fldChar w:fldCharType="end"/>
          </w:r>
          <w:r>
            <w:fldChar w:fldCharType="end"/>
          </w:r>
        </w:p>
        <w:p>
          <w:pPr>
            <w:pStyle w:val="18"/>
            <w:tabs>
              <w:tab w:val="right" w:leader="dot" w:pos="9582"/>
            </w:tabs>
          </w:pPr>
          <w:r>
            <w:fldChar w:fldCharType="begin"/>
          </w:r>
          <w:r>
            <w:instrText xml:space="preserve"> HYPERLINK \l "_Toc1190756898" </w:instrText>
          </w:r>
          <w:r>
            <w:fldChar w:fldCharType="separate"/>
          </w:r>
          <w:r>
            <w:rPr>
              <w:rFonts w:hint="eastAsia" w:asciiTheme="minorEastAsia" w:hAnsiTheme="minorEastAsia" w:eastAsiaTheme="minorEastAsia"/>
              <w:szCs w:val="15"/>
            </w:rPr>
            <w:t>《北京市“门前三包”责任制管理办法》案由1项</w:t>
          </w:r>
          <w:r>
            <w:tab/>
          </w:r>
          <w:r>
            <w:fldChar w:fldCharType="begin"/>
          </w:r>
          <w:r>
            <w:instrText xml:space="preserve"> PAGEREF _Toc1190756898 \h </w:instrText>
          </w:r>
          <w:r>
            <w:fldChar w:fldCharType="separate"/>
          </w:r>
          <w:r>
            <w:t>26</w:t>
          </w:r>
          <w:r>
            <w:fldChar w:fldCharType="end"/>
          </w:r>
          <w:r>
            <w:fldChar w:fldCharType="end"/>
          </w:r>
        </w:p>
        <w:p>
          <w:pPr>
            <w:pStyle w:val="18"/>
            <w:tabs>
              <w:tab w:val="right" w:leader="dot" w:pos="9582"/>
            </w:tabs>
          </w:pPr>
          <w:r>
            <w:fldChar w:fldCharType="begin"/>
          </w:r>
          <w:r>
            <w:instrText xml:space="preserve"> HYPERLINK \l "_Toc474941224" </w:instrText>
          </w:r>
          <w:r>
            <w:fldChar w:fldCharType="separate"/>
          </w:r>
          <w:r>
            <w:rPr>
              <w:rFonts w:hint="eastAsia" w:asciiTheme="minorEastAsia" w:hAnsiTheme="minorEastAsia" w:eastAsiaTheme="minorEastAsia"/>
              <w:szCs w:val="15"/>
            </w:rPr>
            <w:t>《北京市人民政府关于扫雪铲冰管理的规定》案由1项</w:t>
          </w:r>
          <w:r>
            <w:tab/>
          </w:r>
          <w:r>
            <w:fldChar w:fldCharType="begin"/>
          </w:r>
          <w:r>
            <w:instrText xml:space="preserve"> PAGEREF _Toc474941224 \h </w:instrText>
          </w:r>
          <w:r>
            <w:fldChar w:fldCharType="separate"/>
          </w:r>
          <w:r>
            <w:t>27</w:t>
          </w:r>
          <w:r>
            <w:fldChar w:fldCharType="end"/>
          </w:r>
          <w:r>
            <w:fldChar w:fldCharType="end"/>
          </w:r>
        </w:p>
        <w:p>
          <w:pPr>
            <w:pStyle w:val="18"/>
            <w:tabs>
              <w:tab w:val="right" w:leader="dot" w:pos="9582"/>
            </w:tabs>
          </w:pPr>
          <w:r>
            <w:fldChar w:fldCharType="begin"/>
          </w:r>
          <w:r>
            <w:instrText xml:space="preserve"> HYPERLINK \l "_Toc863425082" </w:instrText>
          </w:r>
          <w:r>
            <w:fldChar w:fldCharType="separate"/>
          </w:r>
          <w:r>
            <w:rPr>
              <w:rFonts w:hint="eastAsia" w:asciiTheme="minorEastAsia" w:hAnsiTheme="minorEastAsia" w:eastAsiaTheme="minorEastAsia"/>
              <w:szCs w:val="15"/>
            </w:rPr>
            <w:t>《北京市户外广告设施、牌匾标识和标语宣传品设置管理条例》案由14项</w:t>
          </w:r>
          <w:r>
            <w:tab/>
          </w:r>
          <w:r>
            <w:fldChar w:fldCharType="begin"/>
          </w:r>
          <w:r>
            <w:instrText xml:space="preserve"> PAGEREF _Toc863425082 \h </w:instrText>
          </w:r>
          <w:r>
            <w:fldChar w:fldCharType="separate"/>
          </w:r>
          <w:r>
            <w:t>27</w:t>
          </w:r>
          <w:r>
            <w:fldChar w:fldCharType="end"/>
          </w:r>
          <w:r>
            <w:fldChar w:fldCharType="end"/>
          </w:r>
        </w:p>
        <w:p>
          <w:pPr>
            <w:pStyle w:val="18"/>
            <w:tabs>
              <w:tab w:val="right" w:leader="dot" w:pos="9582"/>
            </w:tabs>
          </w:pPr>
          <w:r>
            <w:fldChar w:fldCharType="begin"/>
          </w:r>
          <w:r>
            <w:instrText xml:space="preserve"> HYPERLINK \l "_Toc1259272913" </w:instrText>
          </w:r>
          <w:r>
            <w:fldChar w:fldCharType="separate"/>
          </w:r>
          <w:r>
            <w:rPr>
              <w:rFonts w:hint="eastAsia" w:asciiTheme="minorEastAsia" w:hAnsiTheme="minorEastAsia" w:eastAsiaTheme="minorEastAsia"/>
              <w:szCs w:val="15"/>
            </w:rPr>
            <w:t>《北京市标语宣传品设置管理规定》案由6项</w:t>
          </w:r>
          <w:r>
            <w:tab/>
          </w:r>
          <w:r>
            <w:fldChar w:fldCharType="begin"/>
          </w:r>
          <w:r>
            <w:instrText xml:space="preserve"> PAGEREF _Toc1259272913 \h </w:instrText>
          </w:r>
          <w:r>
            <w:fldChar w:fldCharType="separate"/>
          </w:r>
          <w:r>
            <w:t>29</w:t>
          </w:r>
          <w:r>
            <w:fldChar w:fldCharType="end"/>
          </w:r>
          <w:r>
            <w:fldChar w:fldCharType="end"/>
          </w:r>
        </w:p>
        <w:p>
          <w:pPr>
            <w:pStyle w:val="18"/>
            <w:tabs>
              <w:tab w:val="right" w:leader="dot" w:pos="9582"/>
            </w:tabs>
          </w:pPr>
          <w:r>
            <w:fldChar w:fldCharType="begin"/>
          </w:r>
          <w:r>
            <w:instrText xml:space="preserve"> HYPERLINK \l "_Toc106972444" </w:instrText>
          </w:r>
          <w:r>
            <w:fldChar w:fldCharType="separate"/>
          </w:r>
          <w:r>
            <w:rPr>
              <w:rFonts w:hint="eastAsia" w:asciiTheme="minorEastAsia" w:hAnsiTheme="minorEastAsia" w:eastAsiaTheme="minorEastAsia"/>
              <w:szCs w:val="15"/>
            </w:rPr>
            <w:t>《北京市城市道路和公共场所环境卫生管理若干规定》案由7项</w:t>
          </w:r>
          <w:r>
            <w:tab/>
          </w:r>
          <w:r>
            <w:fldChar w:fldCharType="begin"/>
          </w:r>
          <w:r>
            <w:instrText xml:space="preserve"> PAGEREF _Toc106972444 \h </w:instrText>
          </w:r>
          <w:r>
            <w:fldChar w:fldCharType="separate"/>
          </w:r>
          <w:r>
            <w:t>31</w:t>
          </w:r>
          <w:r>
            <w:fldChar w:fldCharType="end"/>
          </w:r>
          <w:r>
            <w:fldChar w:fldCharType="end"/>
          </w:r>
        </w:p>
        <w:p>
          <w:pPr>
            <w:pStyle w:val="18"/>
            <w:tabs>
              <w:tab w:val="right" w:leader="dot" w:pos="9582"/>
            </w:tabs>
          </w:pPr>
          <w:r>
            <w:fldChar w:fldCharType="begin"/>
          </w:r>
          <w:r>
            <w:instrText xml:space="preserve"> HYPERLINK \l "_Toc1270094260" </w:instrText>
          </w:r>
          <w:r>
            <w:fldChar w:fldCharType="separate"/>
          </w:r>
          <w:r>
            <w:rPr>
              <w:rFonts w:hint="eastAsia" w:asciiTheme="minorEastAsia" w:hAnsiTheme="minorEastAsia" w:eastAsiaTheme="minorEastAsia"/>
              <w:szCs w:val="15"/>
            </w:rPr>
            <w:t>《北京市建筑</w:t>
          </w:r>
          <w:r>
            <w:rPr>
              <w:rFonts w:asciiTheme="minorEastAsia" w:hAnsiTheme="minorEastAsia" w:eastAsiaTheme="minorEastAsia"/>
              <w:szCs w:val="15"/>
            </w:rPr>
            <w:t>垃圾处置管理规定</w:t>
          </w:r>
          <w:r>
            <w:rPr>
              <w:rFonts w:hint="eastAsia" w:asciiTheme="minorEastAsia" w:hAnsiTheme="minorEastAsia" w:eastAsiaTheme="minorEastAsia"/>
              <w:szCs w:val="15"/>
            </w:rPr>
            <w:t>》案由</w:t>
          </w:r>
          <w:r>
            <w:rPr>
              <w:rFonts w:asciiTheme="minorEastAsia" w:hAnsiTheme="minorEastAsia" w:eastAsiaTheme="minorEastAsia"/>
              <w:szCs w:val="15"/>
            </w:rPr>
            <w:t>24</w:t>
          </w:r>
          <w:r>
            <w:rPr>
              <w:rFonts w:hint="eastAsia" w:asciiTheme="minorEastAsia" w:hAnsiTheme="minorEastAsia" w:eastAsiaTheme="minorEastAsia"/>
              <w:szCs w:val="15"/>
            </w:rPr>
            <w:t>项</w:t>
          </w:r>
          <w:r>
            <w:tab/>
          </w:r>
          <w:r>
            <w:fldChar w:fldCharType="begin"/>
          </w:r>
          <w:r>
            <w:instrText xml:space="preserve"> PAGEREF _Toc1270094260 \h </w:instrText>
          </w:r>
          <w:r>
            <w:fldChar w:fldCharType="separate"/>
          </w:r>
          <w:r>
            <w:t>31</w:t>
          </w:r>
          <w:r>
            <w:fldChar w:fldCharType="end"/>
          </w:r>
          <w:r>
            <w:fldChar w:fldCharType="end"/>
          </w:r>
        </w:p>
        <w:p>
          <w:pPr>
            <w:pStyle w:val="18"/>
            <w:tabs>
              <w:tab w:val="right" w:leader="dot" w:pos="9582"/>
            </w:tabs>
          </w:pPr>
          <w:r>
            <w:fldChar w:fldCharType="begin"/>
          </w:r>
          <w:r>
            <w:instrText xml:space="preserve"> HYPERLINK \l "_Toc2067813418" </w:instrText>
          </w:r>
          <w:r>
            <w:fldChar w:fldCharType="separate"/>
          </w:r>
          <w:r>
            <w:rPr>
              <w:rFonts w:hint="eastAsia" w:asciiTheme="minorEastAsia" w:hAnsiTheme="minorEastAsia" w:eastAsiaTheme="minorEastAsia"/>
              <w:szCs w:val="15"/>
            </w:rPr>
            <w:t>《北京市养犬管理规定》案由1项</w:t>
          </w:r>
          <w:r>
            <w:tab/>
          </w:r>
          <w:r>
            <w:fldChar w:fldCharType="begin"/>
          </w:r>
          <w:r>
            <w:instrText xml:space="preserve"> PAGEREF _Toc2067813418 \h </w:instrText>
          </w:r>
          <w:r>
            <w:fldChar w:fldCharType="separate"/>
          </w:r>
          <w:r>
            <w:t>40</w:t>
          </w:r>
          <w:r>
            <w:fldChar w:fldCharType="end"/>
          </w:r>
          <w:r>
            <w:fldChar w:fldCharType="end"/>
          </w:r>
        </w:p>
        <w:p>
          <w:pPr>
            <w:pStyle w:val="18"/>
            <w:tabs>
              <w:tab w:val="right" w:leader="dot" w:pos="9582"/>
            </w:tabs>
          </w:pPr>
          <w:r>
            <w:fldChar w:fldCharType="begin"/>
          </w:r>
          <w:r>
            <w:instrText xml:space="preserve"> HYPERLINK \l "_Toc1582196544" </w:instrText>
          </w:r>
          <w:r>
            <w:fldChar w:fldCharType="separate"/>
          </w:r>
          <w:r>
            <w:rPr>
              <w:rFonts w:hint="eastAsia" w:asciiTheme="minorEastAsia" w:hAnsiTheme="minorEastAsia" w:eastAsiaTheme="minorEastAsia"/>
              <w:szCs w:val="15"/>
            </w:rPr>
            <w:t>《北京市长城保护管理办法》案由1项</w:t>
          </w:r>
          <w:r>
            <w:tab/>
          </w:r>
          <w:r>
            <w:fldChar w:fldCharType="begin"/>
          </w:r>
          <w:r>
            <w:instrText xml:space="preserve"> PAGEREF _Toc1582196544 \h </w:instrText>
          </w:r>
          <w:r>
            <w:fldChar w:fldCharType="separate"/>
          </w:r>
          <w:r>
            <w:t>40</w:t>
          </w:r>
          <w:r>
            <w:fldChar w:fldCharType="end"/>
          </w:r>
          <w:r>
            <w:fldChar w:fldCharType="end"/>
          </w:r>
        </w:p>
        <w:p>
          <w:pPr>
            <w:pStyle w:val="18"/>
            <w:tabs>
              <w:tab w:val="right" w:leader="dot" w:pos="9582"/>
            </w:tabs>
          </w:pPr>
          <w:r>
            <w:fldChar w:fldCharType="begin"/>
          </w:r>
          <w:r>
            <w:instrText xml:space="preserve"> HYPERLINK \l "_Toc29457572" </w:instrText>
          </w:r>
          <w:r>
            <w:fldChar w:fldCharType="separate"/>
          </w:r>
          <w:r>
            <w:rPr>
              <w:rFonts w:hint="eastAsia" w:asciiTheme="minorEastAsia" w:hAnsiTheme="minorEastAsia" w:eastAsiaTheme="minorEastAsia"/>
              <w:szCs w:val="15"/>
            </w:rPr>
            <w:t>《北京历史文化名城保护条例》案由1项</w:t>
          </w:r>
          <w:r>
            <w:tab/>
          </w:r>
          <w:r>
            <w:fldChar w:fldCharType="begin"/>
          </w:r>
          <w:r>
            <w:instrText xml:space="preserve"> PAGEREF _Toc29457572 \h </w:instrText>
          </w:r>
          <w:r>
            <w:fldChar w:fldCharType="separate"/>
          </w:r>
          <w:r>
            <w:t>40</w:t>
          </w:r>
          <w:r>
            <w:fldChar w:fldCharType="end"/>
          </w:r>
          <w:r>
            <w:fldChar w:fldCharType="end"/>
          </w:r>
        </w:p>
        <w:p>
          <w:pPr>
            <w:pStyle w:val="18"/>
            <w:tabs>
              <w:tab w:val="right" w:leader="dot" w:pos="9582"/>
            </w:tabs>
          </w:pPr>
          <w:r>
            <w:fldChar w:fldCharType="begin"/>
          </w:r>
          <w:r>
            <w:instrText xml:space="preserve"> HYPERLINK \l "_Toc1990907407" </w:instrText>
          </w:r>
          <w:r>
            <w:fldChar w:fldCharType="separate"/>
          </w:r>
          <w:r>
            <w:rPr>
              <w:rFonts w:hint="eastAsia" w:asciiTheme="minorEastAsia" w:hAnsiTheme="minorEastAsia" w:eastAsiaTheme="minorEastAsia"/>
              <w:szCs w:val="15"/>
            </w:rPr>
            <w:t>《北京市架空线管理若干规定》案由</w:t>
          </w:r>
          <w:r>
            <w:rPr>
              <w:rFonts w:asciiTheme="minorEastAsia" w:hAnsiTheme="minorEastAsia" w:eastAsiaTheme="minorEastAsia"/>
              <w:szCs w:val="15"/>
            </w:rPr>
            <w:t>7</w:t>
          </w:r>
          <w:r>
            <w:rPr>
              <w:rFonts w:hint="eastAsia" w:asciiTheme="minorEastAsia" w:hAnsiTheme="minorEastAsia" w:eastAsiaTheme="minorEastAsia"/>
              <w:szCs w:val="15"/>
            </w:rPr>
            <w:t>项</w:t>
          </w:r>
          <w:r>
            <w:tab/>
          </w:r>
          <w:r>
            <w:fldChar w:fldCharType="begin"/>
          </w:r>
          <w:r>
            <w:instrText xml:space="preserve"> PAGEREF _Toc1990907407 \h </w:instrText>
          </w:r>
          <w:r>
            <w:fldChar w:fldCharType="separate"/>
          </w:r>
          <w:r>
            <w:t>41</w:t>
          </w:r>
          <w:r>
            <w:fldChar w:fldCharType="end"/>
          </w:r>
          <w:r>
            <w:fldChar w:fldCharType="end"/>
          </w:r>
        </w:p>
        <w:p>
          <w:pPr>
            <w:pStyle w:val="18"/>
            <w:tabs>
              <w:tab w:val="right" w:leader="dot" w:pos="9582"/>
            </w:tabs>
          </w:pPr>
          <w:r>
            <w:fldChar w:fldCharType="begin"/>
          </w:r>
          <w:r>
            <w:instrText xml:space="preserve"> HYPERLINK \l "_Toc1265824748" </w:instrText>
          </w:r>
          <w:r>
            <w:fldChar w:fldCharType="separate"/>
          </w:r>
          <w:r>
            <w:rPr>
              <w:rFonts w:hint="eastAsia" w:asciiTheme="minorEastAsia" w:hAnsiTheme="minorEastAsia" w:eastAsiaTheme="minorEastAsia"/>
              <w:szCs w:val="15"/>
            </w:rPr>
            <w:t>《城市照明管理规定》案由2项</w:t>
          </w:r>
          <w:r>
            <w:tab/>
          </w:r>
          <w:r>
            <w:fldChar w:fldCharType="begin"/>
          </w:r>
          <w:r>
            <w:instrText xml:space="preserve"> PAGEREF _Toc1265824748 \h </w:instrText>
          </w:r>
          <w:r>
            <w:fldChar w:fldCharType="separate"/>
          </w:r>
          <w:r>
            <w:t>42</w:t>
          </w:r>
          <w:r>
            <w:fldChar w:fldCharType="end"/>
          </w:r>
          <w:r>
            <w:fldChar w:fldCharType="end"/>
          </w:r>
        </w:p>
        <w:p>
          <w:pPr>
            <w:pStyle w:val="18"/>
            <w:tabs>
              <w:tab w:val="right" w:leader="dot" w:pos="9582"/>
            </w:tabs>
          </w:pPr>
          <w:r>
            <w:fldChar w:fldCharType="begin"/>
          </w:r>
          <w:r>
            <w:instrText xml:space="preserve"> HYPERLINK \l "_Toc1124716628" </w:instrText>
          </w:r>
          <w:r>
            <w:fldChar w:fldCharType="separate"/>
          </w:r>
          <w:r>
            <w:rPr>
              <w:rFonts w:hint="eastAsia" w:asciiTheme="minorEastAsia" w:hAnsiTheme="minorEastAsia" w:eastAsiaTheme="minorEastAsia"/>
              <w:szCs w:val="15"/>
            </w:rPr>
            <w:t>《北京市</w:t>
          </w:r>
          <w:r>
            <w:rPr>
              <w:rFonts w:asciiTheme="minorEastAsia" w:hAnsiTheme="minorEastAsia" w:eastAsiaTheme="minorEastAsia"/>
              <w:szCs w:val="15"/>
            </w:rPr>
            <w:t>物业管理条例</w:t>
          </w:r>
          <w:r>
            <w:rPr>
              <w:rFonts w:hint="eastAsia" w:asciiTheme="minorEastAsia" w:hAnsiTheme="minorEastAsia" w:eastAsiaTheme="minorEastAsia"/>
              <w:szCs w:val="15"/>
            </w:rPr>
            <w:t>》案由1项</w:t>
          </w:r>
          <w:r>
            <w:tab/>
          </w:r>
          <w:r>
            <w:fldChar w:fldCharType="begin"/>
          </w:r>
          <w:r>
            <w:instrText xml:space="preserve"> PAGEREF _Toc1124716628 \h </w:instrText>
          </w:r>
          <w:r>
            <w:fldChar w:fldCharType="separate"/>
          </w:r>
          <w:r>
            <w:t>42</w:t>
          </w:r>
          <w:r>
            <w:fldChar w:fldCharType="end"/>
          </w:r>
          <w:r>
            <w:fldChar w:fldCharType="end"/>
          </w:r>
        </w:p>
        <w:p>
          <w:pPr>
            <w:pStyle w:val="18"/>
            <w:tabs>
              <w:tab w:val="right" w:leader="dot" w:pos="9582"/>
            </w:tabs>
          </w:pPr>
          <w:r>
            <w:fldChar w:fldCharType="begin"/>
          </w:r>
          <w:r>
            <w:instrText xml:space="preserve"> HYPERLINK \l "_Toc1648797625" </w:instrText>
          </w:r>
          <w:r>
            <w:fldChar w:fldCharType="separate"/>
          </w:r>
          <w:r>
            <w:rPr>
              <w:rFonts w:hint="eastAsia" w:asciiTheme="minorEastAsia" w:hAnsiTheme="minorEastAsia" w:eastAsiaTheme="minorEastAsia"/>
              <w:szCs w:val="15"/>
            </w:rPr>
            <w:t>《</w:t>
          </w:r>
          <w:r>
            <w:rPr>
              <w:rFonts w:hint="eastAsia" w:asciiTheme="minorEastAsia" w:hAnsiTheme="minorEastAsia" w:eastAsiaTheme="minorEastAsia"/>
              <w:szCs w:val="15"/>
              <w:lang w:val="zh-CN"/>
            </w:rPr>
            <w:t>北京市国际交往语言环境建设条例</w:t>
          </w:r>
          <w:r>
            <w:rPr>
              <w:rFonts w:hint="eastAsia" w:asciiTheme="minorEastAsia" w:hAnsiTheme="minorEastAsia" w:eastAsiaTheme="minorEastAsia"/>
              <w:szCs w:val="15"/>
            </w:rPr>
            <w:t>》案由4项</w:t>
          </w:r>
          <w:r>
            <w:tab/>
          </w:r>
          <w:r>
            <w:fldChar w:fldCharType="begin"/>
          </w:r>
          <w:r>
            <w:instrText xml:space="preserve"> PAGEREF _Toc1648797625 \h </w:instrText>
          </w:r>
          <w:r>
            <w:fldChar w:fldCharType="separate"/>
          </w:r>
          <w:r>
            <w:t>42</w:t>
          </w:r>
          <w:r>
            <w:fldChar w:fldCharType="end"/>
          </w:r>
          <w:r>
            <w:fldChar w:fldCharType="end"/>
          </w:r>
        </w:p>
        <w:p>
          <w:pPr>
            <w:pStyle w:val="16"/>
            <w:tabs>
              <w:tab w:val="right" w:leader="dot" w:pos="9582"/>
            </w:tabs>
          </w:pPr>
          <w:r>
            <w:fldChar w:fldCharType="begin"/>
          </w:r>
          <w:r>
            <w:instrText xml:space="preserve"> HYPERLINK \l "_Toc1501393034" </w:instrText>
          </w:r>
          <w:r>
            <w:fldChar w:fldCharType="separate"/>
          </w:r>
          <w:r>
            <w:rPr>
              <w:rFonts w:hint="eastAsia" w:ascii="黑体" w:hAnsi="黑体" w:eastAsia="黑体" w:cs="黑体"/>
            </w:rPr>
            <w:t>市政管理方面</w:t>
          </w:r>
          <w:r>
            <w:tab/>
          </w:r>
          <w:r>
            <w:fldChar w:fldCharType="begin"/>
          </w:r>
          <w:r>
            <w:instrText xml:space="preserve"> PAGEREF _Toc1501393034 \h </w:instrText>
          </w:r>
          <w:r>
            <w:fldChar w:fldCharType="separate"/>
          </w:r>
          <w:r>
            <w:t>43</w:t>
          </w:r>
          <w:r>
            <w:fldChar w:fldCharType="end"/>
          </w:r>
          <w:r>
            <w:fldChar w:fldCharType="end"/>
          </w:r>
        </w:p>
        <w:p>
          <w:pPr>
            <w:pStyle w:val="18"/>
            <w:tabs>
              <w:tab w:val="right" w:leader="dot" w:pos="9582"/>
            </w:tabs>
            <w:rPr>
              <w:highlight w:val="yellow"/>
            </w:rPr>
          </w:pPr>
          <w:r>
            <w:fldChar w:fldCharType="begin"/>
          </w:r>
          <w:r>
            <w:instrText xml:space="preserve"> HYPERLINK \l "_Toc988225114" </w:instrText>
          </w:r>
          <w:r>
            <w:fldChar w:fldCharType="separate"/>
          </w:r>
          <w:r>
            <w:rPr>
              <w:rFonts w:hint="eastAsia"/>
              <w:szCs w:val="15"/>
              <w:highlight w:val="yellow"/>
            </w:rPr>
            <w:t>《中华人民共和国无障碍环境建设法》案由2项</w:t>
          </w:r>
          <w:r>
            <w:rPr>
              <w:highlight w:val="yellow"/>
            </w:rPr>
            <w:tab/>
          </w:r>
          <w:r>
            <w:rPr>
              <w:highlight w:val="yellow"/>
            </w:rPr>
            <w:fldChar w:fldCharType="begin"/>
          </w:r>
          <w:r>
            <w:rPr>
              <w:highlight w:val="yellow"/>
            </w:rPr>
            <w:instrText xml:space="preserve"> PAGEREF _Toc988225114 \h </w:instrText>
          </w:r>
          <w:r>
            <w:rPr>
              <w:highlight w:val="yellow"/>
            </w:rPr>
            <w:fldChar w:fldCharType="separate"/>
          </w:r>
          <w:r>
            <w:rPr>
              <w:highlight w:val="yellow"/>
            </w:rPr>
            <w:t>43</w:t>
          </w:r>
          <w:r>
            <w:rPr>
              <w:highlight w:val="yellow"/>
            </w:rPr>
            <w:fldChar w:fldCharType="end"/>
          </w:r>
          <w:r>
            <w:rPr>
              <w:highlight w:val="yellow"/>
            </w:rPr>
            <w:fldChar w:fldCharType="end"/>
          </w:r>
        </w:p>
        <w:p>
          <w:pPr>
            <w:pStyle w:val="18"/>
            <w:tabs>
              <w:tab w:val="right" w:leader="dot" w:pos="9582"/>
            </w:tabs>
          </w:pPr>
          <w:r>
            <w:fldChar w:fldCharType="begin"/>
          </w:r>
          <w:r>
            <w:instrText xml:space="preserve"> HYPERLINK \l "_Toc1931437739" </w:instrText>
          </w:r>
          <w:r>
            <w:fldChar w:fldCharType="separate"/>
          </w:r>
          <w:r>
            <w:rPr>
              <w:rFonts w:hint="eastAsia"/>
              <w:szCs w:val="15"/>
            </w:rPr>
            <w:t>《北京市无障碍环境建设条例》案由6项</w:t>
          </w:r>
          <w:r>
            <w:tab/>
          </w:r>
          <w:r>
            <w:fldChar w:fldCharType="begin"/>
          </w:r>
          <w:r>
            <w:instrText xml:space="preserve"> PAGEREF _Toc1931437739 \h </w:instrText>
          </w:r>
          <w:r>
            <w:fldChar w:fldCharType="separate"/>
          </w:r>
          <w:r>
            <w:t>44</w:t>
          </w:r>
          <w:r>
            <w:fldChar w:fldCharType="end"/>
          </w:r>
          <w:r>
            <w:fldChar w:fldCharType="end"/>
          </w:r>
        </w:p>
        <w:p>
          <w:pPr>
            <w:pStyle w:val="18"/>
            <w:tabs>
              <w:tab w:val="right" w:leader="dot" w:pos="9582"/>
            </w:tabs>
          </w:pPr>
          <w:r>
            <w:fldChar w:fldCharType="begin"/>
          </w:r>
          <w:r>
            <w:instrText xml:space="preserve"> HYPERLINK \l "_Toc1076292788" </w:instrText>
          </w:r>
          <w:r>
            <w:fldChar w:fldCharType="separate"/>
          </w:r>
          <w:r>
            <w:rPr>
              <w:rFonts w:hint="eastAsia"/>
              <w:szCs w:val="15"/>
            </w:rPr>
            <w:t>《城市道路管理条例》《北京市城市道路管理办法》案由16项</w:t>
          </w:r>
          <w:r>
            <w:tab/>
          </w:r>
          <w:r>
            <w:fldChar w:fldCharType="begin"/>
          </w:r>
          <w:r>
            <w:instrText xml:space="preserve"> PAGEREF _Toc1076292788 \h </w:instrText>
          </w:r>
          <w:r>
            <w:fldChar w:fldCharType="separate"/>
          </w:r>
          <w:r>
            <w:t>45</w:t>
          </w:r>
          <w:r>
            <w:fldChar w:fldCharType="end"/>
          </w:r>
          <w:r>
            <w:fldChar w:fldCharType="end"/>
          </w:r>
        </w:p>
        <w:p>
          <w:pPr>
            <w:pStyle w:val="18"/>
            <w:tabs>
              <w:tab w:val="right" w:leader="dot" w:pos="9582"/>
            </w:tabs>
          </w:pPr>
          <w:r>
            <w:fldChar w:fldCharType="begin"/>
          </w:r>
          <w:r>
            <w:instrText xml:space="preserve"> HYPERLINK \l "_Toc2100296052" </w:instrText>
          </w:r>
          <w:r>
            <w:fldChar w:fldCharType="separate"/>
          </w:r>
          <w:r>
            <w:rPr>
              <w:rFonts w:hint="eastAsia" w:asciiTheme="minorEastAsia" w:hAnsiTheme="minorEastAsia" w:eastAsiaTheme="minorEastAsia"/>
              <w:szCs w:val="15"/>
            </w:rPr>
            <w:t>《北京市地下设施检查井井盖管理规定》案由5项</w:t>
          </w:r>
          <w:r>
            <w:tab/>
          </w:r>
          <w:r>
            <w:fldChar w:fldCharType="begin"/>
          </w:r>
          <w:r>
            <w:instrText xml:space="preserve"> PAGEREF _Toc2100296052 \h </w:instrText>
          </w:r>
          <w:r>
            <w:fldChar w:fldCharType="separate"/>
          </w:r>
          <w:r>
            <w:t>47</w:t>
          </w:r>
          <w:r>
            <w:fldChar w:fldCharType="end"/>
          </w:r>
          <w:r>
            <w:fldChar w:fldCharType="end"/>
          </w:r>
        </w:p>
        <w:p>
          <w:pPr>
            <w:pStyle w:val="16"/>
            <w:tabs>
              <w:tab w:val="right" w:leader="dot" w:pos="9582"/>
            </w:tabs>
          </w:pPr>
          <w:r>
            <w:fldChar w:fldCharType="begin"/>
          </w:r>
          <w:r>
            <w:instrText xml:space="preserve"> HYPERLINK \l "_Toc980030273" </w:instrText>
          </w:r>
          <w:r>
            <w:fldChar w:fldCharType="separate"/>
          </w:r>
          <w:r>
            <w:rPr>
              <w:rFonts w:hint="eastAsia" w:ascii="黑体" w:hAnsi="黑体" w:eastAsia="黑体"/>
              <w:szCs w:val="24"/>
            </w:rPr>
            <w:t>公用事业管理方面</w:t>
          </w:r>
          <w:r>
            <w:tab/>
          </w:r>
          <w:r>
            <w:fldChar w:fldCharType="begin"/>
          </w:r>
          <w:r>
            <w:instrText xml:space="preserve"> PAGEREF _Toc980030273 \h </w:instrText>
          </w:r>
          <w:r>
            <w:fldChar w:fldCharType="separate"/>
          </w:r>
          <w:r>
            <w:t>48</w:t>
          </w:r>
          <w:r>
            <w:fldChar w:fldCharType="end"/>
          </w:r>
          <w:r>
            <w:fldChar w:fldCharType="end"/>
          </w:r>
        </w:p>
        <w:p>
          <w:pPr>
            <w:pStyle w:val="18"/>
            <w:tabs>
              <w:tab w:val="right" w:leader="dot" w:pos="9582"/>
            </w:tabs>
          </w:pPr>
          <w:r>
            <w:fldChar w:fldCharType="begin"/>
          </w:r>
          <w:r>
            <w:instrText xml:space="preserve"> HYPERLINK \l "_Toc1148468323" </w:instrText>
          </w:r>
          <w:r>
            <w:fldChar w:fldCharType="separate"/>
          </w:r>
          <w:r>
            <w:rPr>
              <w:rFonts w:hint="eastAsia" w:asciiTheme="minorEastAsia" w:hAnsiTheme="minorEastAsia" w:eastAsiaTheme="minorEastAsia"/>
              <w:szCs w:val="15"/>
            </w:rPr>
            <w:t>《城镇燃气管理条例》案由30项</w:t>
          </w:r>
          <w:r>
            <w:tab/>
          </w:r>
          <w:r>
            <w:fldChar w:fldCharType="begin"/>
          </w:r>
          <w:r>
            <w:instrText xml:space="preserve"> PAGEREF _Toc1148468323 \h </w:instrText>
          </w:r>
          <w:r>
            <w:fldChar w:fldCharType="separate"/>
          </w:r>
          <w:r>
            <w:t>48</w:t>
          </w:r>
          <w:r>
            <w:fldChar w:fldCharType="end"/>
          </w:r>
          <w:r>
            <w:fldChar w:fldCharType="end"/>
          </w:r>
        </w:p>
        <w:p>
          <w:pPr>
            <w:pStyle w:val="18"/>
            <w:tabs>
              <w:tab w:val="right" w:leader="dot" w:pos="9582"/>
            </w:tabs>
          </w:pPr>
          <w:r>
            <w:fldChar w:fldCharType="begin"/>
          </w:r>
          <w:r>
            <w:instrText xml:space="preserve"> HYPERLINK \l "_Toc1068884086" </w:instrText>
          </w:r>
          <w:r>
            <w:fldChar w:fldCharType="separate"/>
          </w:r>
          <w:r>
            <w:rPr>
              <w:rFonts w:hint="eastAsia" w:asciiTheme="minorEastAsia" w:hAnsiTheme="minorEastAsia" w:eastAsiaTheme="minorEastAsia"/>
              <w:szCs w:val="15"/>
            </w:rPr>
            <w:t>《北京市燃气管理条例》案由26项</w:t>
          </w:r>
          <w:r>
            <w:tab/>
          </w:r>
          <w:r>
            <w:fldChar w:fldCharType="begin"/>
          </w:r>
          <w:r>
            <w:instrText xml:space="preserve"> PAGEREF _Toc1068884086 \h </w:instrText>
          </w:r>
          <w:r>
            <w:fldChar w:fldCharType="separate"/>
          </w:r>
          <w:r>
            <w:t>56</w:t>
          </w:r>
          <w:r>
            <w:fldChar w:fldCharType="end"/>
          </w:r>
          <w:r>
            <w:fldChar w:fldCharType="end"/>
          </w:r>
        </w:p>
        <w:p>
          <w:pPr>
            <w:pStyle w:val="18"/>
            <w:tabs>
              <w:tab w:val="right" w:leader="dot" w:pos="9582"/>
            </w:tabs>
          </w:pPr>
          <w:r>
            <w:fldChar w:fldCharType="begin"/>
          </w:r>
          <w:r>
            <w:instrText xml:space="preserve"> HYPERLINK \l "_Toc1453602417" </w:instrText>
          </w:r>
          <w:r>
            <w:fldChar w:fldCharType="separate"/>
          </w:r>
          <w:r>
            <w:rPr>
              <w:rFonts w:hint="eastAsia" w:asciiTheme="minorEastAsia" w:hAnsiTheme="minorEastAsia" w:eastAsiaTheme="minorEastAsia"/>
              <w:szCs w:val="15"/>
            </w:rPr>
            <w:t>《北京市消防条例》案由1项</w:t>
          </w:r>
          <w:r>
            <w:tab/>
          </w:r>
          <w:r>
            <w:fldChar w:fldCharType="begin"/>
          </w:r>
          <w:r>
            <w:instrText xml:space="preserve"> PAGEREF _Toc1453602417 \h </w:instrText>
          </w:r>
          <w:r>
            <w:fldChar w:fldCharType="separate"/>
          </w:r>
          <w:r>
            <w:t>64</w:t>
          </w:r>
          <w:r>
            <w:fldChar w:fldCharType="end"/>
          </w:r>
          <w:r>
            <w:fldChar w:fldCharType="end"/>
          </w:r>
        </w:p>
        <w:p>
          <w:pPr>
            <w:pStyle w:val="18"/>
            <w:tabs>
              <w:tab w:val="right" w:leader="dot" w:pos="9582"/>
            </w:tabs>
          </w:pPr>
          <w:r>
            <w:fldChar w:fldCharType="begin"/>
          </w:r>
          <w:r>
            <w:instrText xml:space="preserve"> HYPERLINK \l "_Toc1655805283" </w:instrText>
          </w:r>
          <w:r>
            <w:fldChar w:fldCharType="separate"/>
          </w:r>
          <w:r>
            <w:rPr>
              <w:rFonts w:hint="eastAsia" w:asciiTheme="minorEastAsia" w:hAnsiTheme="minorEastAsia" w:eastAsiaTheme="minorEastAsia"/>
              <w:szCs w:val="15"/>
            </w:rPr>
            <w:t>《北京市清洁燃料车辆加气站管理规定》案由7项</w:t>
          </w:r>
          <w:r>
            <w:tab/>
          </w:r>
          <w:r>
            <w:fldChar w:fldCharType="begin"/>
          </w:r>
          <w:r>
            <w:instrText xml:space="preserve"> PAGEREF _Toc1655805283 \h </w:instrText>
          </w:r>
          <w:r>
            <w:fldChar w:fldCharType="separate"/>
          </w:r>
          <w:r>
            <w:t>65</w:t>
          </w:r>
          <w:r>
            <w:fldChar w:fldCharType="end"/>
          </w:r>
          <w:r>
            <w:fldChar w:fldCharType="end"/>
          </w:r>
        </w:p>
        <w:p>
          <w:pPr>
            <w:pStyle w:val="18"/>
            <w:tabs>
              <w:tab w:val="right" w:leader="dot" w:pos="9582"/>
            </w:tabs>
          </w:pPr>
          <w:r>
            <w:fldChar w:fldCharType="begin"/>
          </w:r>
          <w:r>
            <w:instrText xml:space="preserve"> HYPERLINK \l "_Toc368634635" </w:instrText>
          </w:r>
          <w:r>
            <w:fldChar w:fldCharType="separate"/>
          </w:r>
          <w:r>
            <w:rPr>
              <w:rFonts w:hint="eastAsia" w:asciiTheme="minorEastAsia" w:hAnsiTheme="minorEastAsia" w:eastAsiaTheme="minorEastAsia"/>
              <w:szCs w:val="15"/>
            </w:rPr>
            <w:t>《</w:t>
          </w:r>
          <w:r>
            <w:rPr>
              <w:rFonts w:asciiTheme="minorEastAsia" w:hAnsiTheme="minorEastAsia" w:eastAsiaTheme="minorEastAsia"/>
              <w:szCs w:val="15"/>
            </w:rPr>
            <w:t>北京市供热采暖管理办法</w:t>
          </w:r>
          <w:r>
            <w:rPr>
              <w:rFonts w:hint="eastAsia" w:asciiTheme="minorEastAsia" w:hAnsiTheme="minorEastAsia" w:eastAsiaTheme="minorEastAsia"/>
              <w:szCs w:val="15"/>
            </w:rPr>
            <w:t>》案由19项</w:t>
          </w:r>
          <w:r>
            <w:tab/>
          </w:r>
          <w:r>
            <w:fldChar w:fldCharType="begin"/>
          </w:r>
          <w:r>
            <w:instrText xml:space="preserve"> PAGEREF _Toc368634635 \h </w:instrText>
          </w:r>
          <w:r>
            <w:fldChar w:fldCharType="separate"/>
          </w:r>
          <w:r>
            <w:t>66</w:t>
          </w:r>
          <w:r>
            <w:fldChar w:fldCharType="end"/>
          </w:r>
          <w:r>
            <w:fldChar w:fldCharType="end"/>
          </w:r>
        </w:p>
        <w:p>
          <w:pPr>
            <w:pStyle w:val="18"/>
            <w:tabs>
              <w:tab w:val="right" w:leader="dot" w:pos="9582"/>
            </w:tabs>
          </w:pPr>
          <w:r>
            <w:fldChar w:fldCharType="begin"/>
          </w:r>
          <w:r>
            <w:instrText xml:space="preserve"> HYPERLINK \l "_Toc493501912" </w:instrText>
          </w:r>
          <w:r>
            <w:fldChar w:fldCharType="separate"/>
          </w:r>
          <w:r>
            <w:rPr>
              <w:rFonts w:hint="eastAsia" w:asciiTheme="minorEastAsia" w:hAnsiTheme="minorEastAsia" w:eastAsiaTheme="minorEastAsia"/>
              <w:szCs w:val="15"/>
            </w:rPr>
            <w:t>《北京市民用建筑节能管理办法》案由2项</w:t>
          </w:r>
          <w:r>
            <w:tab/>
          </w:r>
          <w:r>
            <w:fldChar w:fldCharType="begin"/>
          </w:r>
          <w:r>
            <w:instrText xml:space="preserve"> PAGEREF _Toc493501912 \h </w:instrText>
          </w:r>
          <w:r>
            <w:fldChar w:fldCharType="separate"/>
          </w:r>
          <w:r>
            <w:t>68</w:t>
          </w:r>
          <w:r>
            <w:fldChar w:fldCharType="end"/>
          </w:r>
          <w:r>
            <w:fldChar w:fldCharType="end"/>
          </w:r>
        </w:p>
        <w:p>
          <w:pPr>
            <w:pStyle w:val="18"/>
            <w:tabs>
              <w:tab w:val="right" w:leader="dot" w:pos="9582"/>
            </w:tabs>
          </w:pPr>
          <w:r>
            <w:fldChar w:fldCharType="begin"/>
          </w:r>
          <w:r>
            <w:instrText xml:space="preserve"> HYPERLINK \l "_Toc2145403497" </w:instrText>
          </w:r>
          <w:r>
            <w:fldChar w:fldCharType="separate"/>
          </w:r>
          <w:r>
            <w:rPr>
              <w:rFonts w:asciiTheme="minorEastAsia" w:hAnsiTheme="minorEastAsia" w:eastAsiaTheme="minorEastAsia"/>
              <w:szCs w:val="15"/>
              <w:lang w:eastAsia="zh-Hans"/>
            </w:rPr>
            <w:t>《</w:t>
          </w:r>
          <w:r>
            <w:rPr>
              <w:rFonts w:hint="eastAsia" w:asciiTheme="minorEastAsia" w:hAnsiTheme="minorEastAsia" w:eastAsiaTheme="minorEastAsia"/>
              <w:szCs w:val="15"/>
              <w:lang w:eastAsia="zh-Hans"/>
            </w:rPr>
            <w:t>中华人民共和国安全生产法</w:t>
          </w:r>
          <w:r>
            <w:rPr>
              <w:rFonts w:asciiTheme="minorEastAsia" w:hAnsiTheme="minorEastAsia" w:eastAsiaTheme="minorEastAsia"/>
              <w:szCs w:val="15"/>
              <w:lang w:eastAsia="zh-Hans"/>
            </w:rPr>
            <w:t>》</w:t>
          </w:r>
          <w:r>
            <w:rPr>
              <w:rFonts w:hint="eastAsia" w:asciiTheme="minorEastAsia" w:hAnsiTheme="minorEastAsia" w:eastAsiaTheme="minorEastAsia"/>
              <w:szCs w:val="15"/>
            </w:rPr>
            <w:t>《北京市安全生产条例》</w:t>
          </w:r>
          <w:r>
            <w:rPr>
              <w:rFonts w:asciiTheme="minorEastAsia" w:hAnsiTheme="minorEastAsia" w:eastAsiaTheme="minorEastAsia"/>
              <w:szCs w:val="15"/>
              <w:lang w:eastAsia="zh-Hans"/>
            </w:rPr>
            <w:t>案由</w:t>
          </w:r>
          <w:r>
            <w:rPr>
              <w:rFonts w:hint="eastAsia" w:asciiTheme="minorEastAsia" w:hAnsiTheme="minorEastAsia" w:eastAsiaTheme="minorEastAsia"/>
              <w:szCs w:val="15"/>
            </w:rPr>
            <w:t>12</w:t>
          </w:r>
          <w:r>
            <w:rPr>
              <w:rFonts w:asciiTheme="minorEastAsia" w:hAnsiTheme="minorEastAsia" w:eastAsiaTheme="minorEastAsia"/>
              <w:szCs w:val="15"/>
              <w:lang w:eastAsia="zh-Hans"/>
            </w:rPr>
            <w:t>项</w:t>
          </w:r>
          <w:r>
            <w:tab/>
          </w:r>
          <w:r>
            <w:fldChar w:fldCharType="begin"/>
          </w:r>
          <w:r>
            <w:instrText xml:space="preserve"> PAGEREF _Toc2145403497 \h </w:instrText>
          </w:r>
          <w:r>
            <w:fldChar w:fldCharType="separate"/>
          </w:r>
          <w:r>
            <w:t>69</w:t>
          </w:r>
          <w:r>
            <w:fldChar w:fldCharType="end"/>
          </w:r>
          <w:r>
            <w:fldChar w:fldCharType="end"/>
          </w:r>
        </w:p>
        <w:p>
          <w:pPr>
            <w:pStyle w:val="18"/>
            <w:tabs>
              <w:tab w:val="right" w:leader="dot" w:pos="9582"/>
            </w:tabs>
          </w:pPr>
          <w:r>
            <w:fldChar w:fldCharType="begin"/>
          </w:r>
          <w:r>
            <w:instrText xml:space="preserve"> HYPERLINK \l "_Toc50345271" </w:instrText>
          </w:r>
          <w:r>
            <w:fldChar w:fldCharType="separate"/>
          </w:r>
          <w:r>
            <w:rPr>
              <w:rFonts w:hint="eastAsia" w:asciiTheme="minorEastAsia" w:hAnsiTheme="minorEastAsia" w:eastAsiaTheme="minorEastAsia"/>
              <w:szCs w:val="15"/>
            </w:rPr>
            <w:t>《北京市生产安全事故隐患排查治理办法》</w:t>
          </w:r>
          <w:r>
            <w:rPr>
              <w:rFonts w:hint="eastAsia" w:asciiTheme="minorEastAsia" w:hAnsiTheme="minorEastAsia" w:eastAsiaTheme="minorEastAsia"/>
              <w:szCs w:val="15"/>
              <w:lang w:eastAsia="zh-Hans"/>
            </w:rPr>
            <w:t>案由</w:t>
          </w:r>
          <w:r>
            <w:rPr>
              <w:rFonts w:asciiTheme="minorEastAsia" w:hAnsiTheme="minorEastAsia" w:eastAsiaTheme="minorEastAsia"/>
              <w:szCs w:val="15"/>
              <w:lang w:eastAsia="zh-Hans"/>
            </w:rPr>
            <w:t>2</w:t>
          </w:r>
          <w:r>
            <w:rPr>
              <w:rFonts w:hint="eastAsia" w:asciiTheme="minorEastAsia" w:hAnsiTheme="minorEastAsia" w:eastAsiaTheme="minorEastAsia"/>
              <w:szCs w:val="15"/>
              <w:lang w:eastAsia="zh-Hans"/>
            </w:rPr>
            <w:t>项</w:t>
          </w:r>
          <w:r>
            <w:tab/>
          </w:r>
          <w:r>
            <w:fldChar w:fldCharType="begin"/>
          </w:r>
          <w:r>
            <w:instrText xml:space="preserve"> PAGEREF _Toc50345271 \h </w:instrText>
          </w:r>
          <w:r>
            <w:fldChar w:fldCharType="separate"/>
          </w:r>
          <w:r>
            <w:t>72</w:t>
          </w:r>
          <w:r>
            <w:fldChar w:fldCharType="end"/>
          </w:r>
          <w:r>
            <w:fldChar w:fldCharType="end"/>
          </w:r>
        </w:p>
        <w:p>
          <w:pPr>
            <w:pStyle w:val="18"/>
            <w:tabs>
              <w:tab w:val="right" w:leader="dot" w:pos="9582"/>
            </w:tabs>
          </w:pPr>
          <w:r>
            <w:fldChar w:fldCharType="begin"/>
          </w:r>
          <w:r>
            <w:instrText xml:space="preserve"> HYPERLINK \l "_Toc34162267" </w:instrText>
          </w:r>
          <w:r>
            <w:fldChar w:fldCharType="separate"/>
          </w:r>
          <w:r>
            <w:rPr>
              <w:rFonts w:hint="eastAsia" w:asciiTheme="minorEastAsia" w:hAnsiTheme="minorEastAsia" w:eastAsiaTheme="minorEastAsia"/>
              <w:szCs w:val="15"/>
            </w:rPr>
            <w:t>《北京市单用途预付卡管理条例》案由7项</w:t>
          </w:r>
          <w:r>
            <w:tab/>
          </w:r>
          <w:r>
            <w:fldChar w:fldCharType="begin"/>
          </w:r>
          <w:r>
            <w:instrText xml:space="preserve"> PAGEREF _Toc34162267 \h </w:instrText>
          </w:r>
          <w:r>
            <w:fldChar w:fldCharType="separate"/>
          </w:r>
          <w:r>
            <w:t>72</w:t>
          </w:r>
          <w:r>
            <w:fldChar w:fldCharType="end"/>
          </w:r>
          <w:r>
            <w:fldChar w:fldCharType="end"/>
          </w:r>
        </w:p>
        <w:p>
          <w:pPr>
            <w:pStyle w:val="16"/>
            <w:tabs>
              <w:tab w:val="right" w:leader="dot" w:pos="9582"/>
            </w:tabs>
          </w:pPr>
          <w:r>
            <w:fldChar w:fldCharType="begin"/>
          </w:r>
          <w:r>
            <w:instrText xml:space="preserve"> HYPERLINK \l "_Toc516386640" </w:instrText>
          </w:r>
          <w:r>
            <w:fldChar w:fldCharType="separate"/>
          </w:r>
          <w:r>
            <w:rPr>
              <w:rFonts w:hint="eastAsia" w:ascii="黑体" w:hAnsi="黑体" w:eastAsia="黑体"/>
              <w:szCs w:val="24"/>
            </w:rPr>
            <w:t>园林绿化管理方面</w:t>
          </w:r>
          <w:r>
            <w:tab/>
          </w:r>
          <w:r>
            <w:fldChar w:fldCharType="begin"/>
          </w:r>
          <w:r>
            <w:instrText xml:space="preserve"> PAGEREF _Toc516386640 \h </w:instrText>
          </w:r>
          <w:r>
            <w:fldChar w:fldCharType="separate"/>
          </w:r>
          <w:r>
            <w:t>74</w:t>
          </w:r>
          <w:r>
            <w:fldChar w:fldCharType="end"/>
          </w:r>
          <w:r>
            <w:fldChar w:fldCharType="end"/>
          </w:r>
        </w:p>
        <w:p>
          <w:pPr>
            <w:pStyle w:val="18"/>
            <w:tabs>
              <w:tab w:val="right" w:leader="dot" w:pos="9582"/>
            </w:tabs>
          </w:pPr>
          <w:r>
            <w:fldChar w:fldCharType="begin"/>
          </w:r>
          <w:r>
            <w:instrText xml:space="preserve"> HYPERLINK \l "_Toc767126334" </w:instrText>
          </w:r>
          <w:r>
            <w:fldChar w:fldCharType="separate"/>
          </w:r>
          <w:r>
            <w:rPr>
              <w:rFonts w:hint="eastAsia" w:asciiTheme="minorEastAsia" w:hAnsiTheme="minorEastAsia" w:eastAsiaTheme="minorEastAsia"/>
              <w:szCs w:val="15"/>
            </w:rPr>
            <w:t>《北京市绿化条例》案由16项</w:t>
          </w:r>
          <w:r>
            <w:tab/>
          </w:r>
          <w:r>
            <w:fldChar w:fldCharType="begin"/>
          </w:r>
          <w:r>
            <w:instrText xml:space="preserve"> PAGEREF _Toc767126334 \h </w:instrText>
          </w:r>
          <w:r>
            <w:fldChar w:fldCharType="separate"/>
          </w:r>
          <w:r>
            <w:t>74</w:t>
          </w:r>
          <w:r>
            <w:fldChar w:fldCharType="end"/>
          </w:r>
          <w:r>
            <w:fldChar w:fldCharType="end"/>
          </w:r>
        </w:p>
        <w:p>
          <w:pPr>
            <w:pStyle w:val="18"/>
            <w:tabs>
              <w:tab w:val="right" w:leader="dot" w:pos="9582"/>
            </w:tabs>
          </w:pPr>
          <w:r>
            <w:fldChar w:fldCharType="begin"/>
          </w:r>
          <w:r>
            <w:instrText xml:space="preserve"> HYPERLINK \l "_Toc1468688899" </w:instrText>
          </w:r>
          <w:r>
            <w:fldChar w:fldCharType="separate"/>
          </w:r>
          <w:r>
            <w:rPr>
              <w:rFonts w:hint="eastAsia" w:asciiTheme="minorEastAsia" w:hAnsiTheme="minorEastAsia" w:eastAsiaTheme="minorEastAsia"/>
              <w:szCs w:val="15"/>
            </w:rPr>
            <w:t>《北京市物业</w:t>
          </w:r>
          <w:r>
            <w:rPr>
              <w:rFonts w:asciiTheme="minorEastAsia" w:hAnsiTheme="minorEastAsia" w:eastAsiaTheme="minorEastAsia"/>
              <w:szCs w:val="15"/>
            </w:rPr>
            <w:t>管理条例</w:t>
          </w:r>
          <w:r>
            <w:rPr>
              <w:rFonts w:hint="eastAsia" w:asciiTheme="minorEastAsia" w:hAnsiTheme="minorEastAsia" w:eastAsiaTheme="minorEastAsia"/>
              <w:szCs w:val="15"/>
            </w:rPr>
            <w:t>》案由1项</w:t>
          </w:r>
          <w:r>
            <w:tab/>
          </w:r>
          <w:r>
            <w:fldChar w:fldCharType="begin"/>
          </w:r>
          <w:r>
            <w:instrText xml:space="preserve"> PAGEREF _Toc1468688899 \h </w:instrText>
          </w:r>
          <w:r>
            <w:fldChar w:fldCharType="separate"/>
          </w:r>
          <w:r>
            <w:t>76</w:t>
          </w:r>
          <w:r>
            <w:fldChar w:fldCharType="end"/>
          </w:r>
          <w:r>
            <w:fldChar w:fldCharType="end"/>
          </w:r>
        </w:p>
        <w:p>
          <w:pPr>
            <w:pStyle w:val="18"/>
            <w:tabs>
              <w:tab w:val="right" w:leader="dot" w:pos="9582"/>
            </w:tabs>
          </w:pPr>
          <w:r>
            <w:fldChar w:fldCharType="begin"/>
          </w:r>
          <w:r>
            <w:instrText xml:space="preserve"> HYPERLINK \l "_Toc1707143538" </w:instrText>
          </w:r>
          <w:r>
            <w:fldChar w:fldCharType="separate"/>
          </w:r>
          <w:r>
            <w:rPr>
              <w:rFonts w:hint="eastAsia" w:asciiTheme="minorEastAsia" w:hAnsiTheme="minorEastAsia" w:eastAsiaTheme="minorEastAsia"/>
              <w:szCs w:val="15"/>
            </w:rPr>
            <w:t>《北京市古树名木保护管理条例》案由11项</w:t>
          </w:r>
          <w:r>
            <w:tab/>
          </w:r>
          <w:r>
            <w:fldChar w:fldCharType="begin"/>
          </w:r>
          <w:r>
            <w:instrText xml:space="preserve"> PAGEREF _Toc1707143538 \h </w:instrText>
          </w:r>
          <w:r>
            <w:fldChar w:fldCharType="separate"/>
          </w:r>
          <w:r>
            <w:t>77</w:t>
          </w:r>
          <w:r>
            <w:fldChar w:fldCharType="end"/>
          </w:r>
          <w:r>
            <w:fldChar w:fldCharType="end"/>
          </w:r>
        </w:p>
        <w:p>
          <w:pPr>
            <w:pStyle w:val="18"/>
            <w:tabs>
              <w:tab w:val="right" w:leader="dot" w:pos="9582"/>
            </w:tabs>
          </w:pPr>
          <w:r>
            <w:fldChar w:fldCharType="begin"/>
          </w:r>
          <w:r>
            <w:instrText xml:space="preserve"> HYPERLINK \l "_Toc1242067558" </w:instrText>
          </w:r>
          <w:r>
            <w:fldChar w:fldCharType="separate"/>
          </w:r>
          <w:r>
            <w:rPr>
              <w:rFonts w:hint="eastAsia" w:asciiTheme="minorEastAsia" w:hAnsiTheme="minorEastAsia" w:eastAsiaTheme="minorEastAsia"/>
              <w:szCs w:val="15"/>
            </w:rPr>
            <w:t>《北京市公园条例》案由</w:t>
          </w:r>
          <w:r>
            <w:rPr>
              <w:rFonts w:asciiTheme="minorEastAsia" w:hAnsiTheme="minorEastAsia" w:eastAsiaTheme="minorEastAsia"/>
              <w:szCs w:val="15"/>
            </w:rPr>
            <w:t xml:space="preserve"> 18</w:t>
          </w:r>
          <w:r>
            <w:rPr>
              <w:rFonts w:hint="eastAsia" w:asciiTheme="minorEastAsia" w:hAnsiTheme="minorEastAsia" w:eastAsiaTheme="minorEastAsia"/>
              <w:szCs w:val="15"/>
            </w:rPr>
            <w:t>项</w:t>
          </w:r>
          <w:r>
            <w:tab/>
          </w:r>
          <w:r>
            <w:fldChar w:fldCharType="begin"/>
          </w:r>
          <w:r>
            <w:instrText xml:space="preserve"> PAGEREF _Toc1242067558 \h </w:instrText>
          </w:r>
          <w:r>
            <w:fldChar w:fldCharType="separate"/>
          </w:r>
          <w:r>
            <w:t>80</w:t>
          </w:r>
          <w:r>
            <w:fldChar w:fldCharType="end"/>
          </w:r>
          <w:r>
            <w:fldChar w:fldCharType="end"/>
          </w:r>
        </w:p>
        <w:p>
          <w:pPr>
            <w:pStyle w:val="16"/>
            <w:tabs>
              <w:tab w:val="right" w:leader="dot" w:pos="9582"/>
            </w:tabs>
          </w:pPr>
          <w:r>
            <w:fldChar w:fldCharType="begin"/>
          </w:r>
          <w:r>
            <w:instrText xml:space="preserve"> HYPERLINK \l "_Toc184630334" </w:instrText>
          </w:r>
          <w:r>
            <w:fldChar w:fldCharType="separate"/>
          </w:r>
          <w:r>
            <w:rPr>
              <w:rFonts w:hint="eastAsia" w:ascii="黑体" w:hAnsi="黑体" w:eastAsia="黑体" w:cs="黑体"/>
            </w:rPr>
            <w:t>环境保护管理方面</w:t>
          </w:r>
          <w:r>
            <w:tab/>
          </w:r>
          <w:r>
            <w:fldChar w:fldCharType="begin"/>
          </w:r>
          <w:r>
            <w:instrText xml:space="preserve"> PAGEREF _Toc184630334 \h </w:instrText>
          </w:r>
          <w:r>
            <w:fldChar w:fldCharType="separate"/>
          </w:r>
          <w:r>
            <w:t>82</w:t>
          </w:r>
          <w:r>
            <w:fldChar w:fldCharType="end"/>
          </w:r>
          <w:r>
            <w:fldChar w:fldCharType="end"/>
          </w:r>
        </w:p>
        <w:p>
          <w:pPr>
            <w:pStyle w:val="18"/>
            <w:tabs>
              <w:tab w:val="right" w:leader="dot" w:pos="9582"/>
            </w:tabs>
          </w:pPr>
          <w:r>
            <w:fldChar w:fldCharType="begin"/>
          </w:r>
          <w:r>
            <w:instrText xml:space="preserve"> HYPERLINK \l "_Toc818932803" </w:instrText>
          </w:r>
          <w:r>
            <w:fldChar w:fldCharType="separate"/>
          </w:r>
          <w:r>
            <w:rPr>
              <w:rFonts w:hint="eastAsia"/>
              <w:szCs w:val="15"/>
            </w:rPr>
            <w:t>《中华人民共和国大气污染防治法》案由18项</w:t>
          </w:r>
          <w:r>
            <w:tab/>
          </w:r>
          <w:r>
            <w:fldChar w:fldCharType="begin"/>
          </w:r>
          <w:r>
            <w:instrText xml:space="preserve"> PAGEREF _Toc818932803 \h </w:instrText>
          </w:r>
          <w:r>
            <w:fldChar w:fldCharType="separate"/>
          </w:r>
          <w:r>
            <w:t>82</w:t>
          </w:r>
          <w:r>
            <w:fldChar w:fldCharType="end"/>
          </w:r>
          <w:r>
            <w:fldChar w:fldCharType="end"/>
          </w:r>
        </w:p>
        <w:p>
          <w:pPr>
            <w:pStyle w:val="18"/>
            <w:tabs>
              <w:tab w:val="right" w:leader="dot" w:pos="9582"/>
            </w:tabs>
          </w:pPr>
          <w:r>
            <w:fldChar w:fldCharType="begin"/>
          </w:r>
          <w:r>
            <w:instrText xml:space="preserve"> HYPERLINK \l "_Toc1349040002" </w:instrText>
          </w:r>
          <w:r>
            <w:fldChar w:fldCharType="separate"/>
          </w:r>
          <w:r>
            <w:rPr>
              <w:rFonts w:hint="eastAsia"/>
              <w:szCs w:val="15"/>
            </w:rPr>
            <w:t>《北京市大气污染防治条例》案由8项</w:t>
          </w:r>
          <w:r>
            <w:tab/>
          </w:r>
          <w:r>
            <w:fldChar w:fldCharType="begin"/>
          </w:r>
          <w:r>
            <w:instrText xml:space="preserve"> PAGEREF _Toc1349040002 \h </w:instrText>
          </w:r>
          <w:r>
            <w:fldChar w:fldCharType="separate"/>
          </w:r>
          <w:r>
            <w:t>85</w:t>
          </w:r>
          <w:r>
            <w:fldChar w:fldCharType="end"/>
          </w:r>
          <w:r>
            <w:fldChar w:fldCharType="end"/>
          </w:r>
        </w:p>
        <w:p>
          <w:pPr>
            <w:pStyle w:val="18"/>
            <w:tabs>
              <w:tab w:val="right" w:leader="dot" w:pos="9582"/>
            </w:tabs>
          </w:pPr>
          <w:r>
            <w:fldChar w:fldCharType="begin"/>
          </w:r>
          <w:r>
            <w:instrText xml:space="preserve"> HYPERLINK \l "_Toc1454724594" </w:instrText>
          </w:r>
          <w:r>
            <w:fldChar w:fldCharType="separate"/>
          </w:r>
          <w:r>
            <w:rPr>
              <w:rFonts w:hint="eastAsia" w:asciiTheme="minorEastAsia" w:hAnsiTheme="minorEastAsia" w:eastAsiaTheme="minorEastAsia"/>
              <w:szCs w:val="15"/>
            </w:rPr>
            <w:t>《北京市环境噪声污染防治办法》案由2项</w:t>
          </w:r>
          <w:r>
            <w:tab/>
          </w:r>
          <w:r>
            <w:fldChar w:fldCharType="begin"/>
          </w:r>
          <w:r>
            <w:instrText xml:space="preserve"> PAGEREF _Toc1454724594 \h </w:instrText>
          </w:r>
          <w:r>
            <w:fldChar w:fldCharType="separate"/>
          </w:r>
          <w:r>
            <w:t>86</w:t>
          </w:r>
          <w:r>
            <w:fldChar w:fldCharType="end"/>
          </w:r>
          <w:r>
            <w:fldChar w:fldCharType="end"/>
          </w:r>
        </w:p>
        <w:p>
          <w:pPr>
            <w:pStyle w:val="18"/>
            <w:tabs>
              <w:tab w:val="right" w:leader="dot" w:pos="9582"/>
            </w:tabs>
          </w:pPr>
          <w:r>
            <w:fldChar w:fldCharType="begin"/>
          </w:r>
          <w:r>
            <w:instrText xml:space="preserve"> HYPERLINK \l "_Toc739262574" </w:instrText>
          </w:r>
          <w:r>
            <w:fldChar w:fldCharType="separate"/>
          </w:r>
          <w:r>
            <w:rPr>
              <w:rFonts w:hint="eastAsia" w:asciiTheme="minorEastAsia" w:hAnsiTheme="minorEastAsia" w:eastAsiaTheme="minorEastAsia"/>
              <w:szCs w:val="15"/>
            </w:rPr>
            <w:t>《中华人民共和国噪声污染防治法》案由3项</w:t>
          </w:r>
          <w:r>
            <w:tab/>
          </w:r>
          <w:r>
            <w:fldChar w:fldCharType="begin"/>
          </w:r>
          <w:r>
            <w:instrText xml:space="preserve"> PAGEREF _Toc739262574 \h </w:instrText>
          </w:r>
          <w:r>
            <w:fldChar w:fldCharType="separate"/>
          </w:r>
          <w:r>
            <w:t>87</w:t>
          </w:r>
          <w:r>
            <w:fldChar w:fldCharType="end"/>
          </w:r>
          <w:r>
            <w:fldChar w:fldCharType="end"/>
          </w:r>
        </w:p>
        <w:p>
          <w:pPr>
            <w:pStyle w:val="16"/>
            <w:tabs>
              <w:tab w:val="right" w:leader="dot" w:pos="9582"/>
            </w:tabs>
          </w:pPr>
          <w:r>
            <w:fldChar w:fldCharType="begin"/>
          </w:r>
          <w:r>
            <w:instrText xml:space="preserve"> HYPERLINK \l "_Toc783752899" </w:instrText>
          </w:r>
          <w:r>
            <w:fldChar w:fldCharType="separate"/>
          </w:r>
          <w:r>
            <w:rPr>
              <w:rFonts w:hint="eastAsia" w:ascii="黑体" w:hAnsi="黑体" w:eastAsia="黑体"/>
              <w:szCs w:val="24"/>
            </w:rPr>
            <w:t>施工现场管理方面</w:t>
          </w:r>
          <w:r>
            <w:tab/>
          </w:r>
          <w:r>
            <w:fldChar w:fldCharType="begin"/>
          </w:r>
          <w:r>
            <w:instrText xml:space="preserve"> PAGEREF _Toc783752899 \h </w:instrText>
          </w:r>
          <w:r>
            <w:fldChar w:fldCharType="separate"/>
          </w:r>
          <w:r>
            <w:t>88</w:t>
          </w:r>
          <w:r>
            <w:fldChar w:fldCharType="end"/>
          </w:r>
          <w:r>
            <w:fldChar w:fldCharType="end"/>
          </w:r>
        </w:p>
        <w:p>
          <w:pPr>
            <w:pStyle w:val="18"/>
            <w:tabs>
              <w:tab w:val="right" w:leader="dot" w:pos="9582"/>
            </w:tabs>
          </w:pPr>
          <w:r>
            <w:fldChar w:fldCharType="begin"/>
          </w:r>
          <w:r>
            <w:instrText xml:space="preserve"> HYPERLINK \l "_Toc1484182166" </w:instrText>
          </w:r>
          <w:r>
            <w:fldChar w:fldCharType="separate"/>
          </w:r>
          <w:r>
            <w:rPr>
              <w:rFonts w:hint="eastAsia" w:asciiTheme="minorEastAsia" w:hAnsiTheme="minorEastAsia" w:eastAsiaTheme="minorEastAsia"/>
              <w:szCs w:val="15"/>
            </w:rPr>
            <w:t>《北京市大气污染防治条例》施工现场执法案由16项</w:t>
          </w:r>
          <w:r>
            <w:tab/>
          </w:r>
          <w:r>
            <w:fldChar w:fldCharType="begin"/>
          </w:r>
          <w:r>
            <w:instrText xml:space="preserve"> PAGEREF _Toc1484182166 \h </w:instrText>
          </w:r>
          <w:r>
            <w:fldChar w:fldCharType="separate"/>
          </w:r>
          <w:r>
            <w:t>88</w:t>
          </w:r>
          <w:r>
            <w:fldChar w:fldCharType="end"/>
          </w:r>
          <w:r>
            <w:fldChar w:fldCharType="end"/>
          </w:r>
        </w:p>
        <w:p>
          <w:pPr>
            <w:pStyle w:val="18"/>
            <w:tabs>
              <w:tab w:val="right" w:leader="dot" w:pos="9582"/>
            </w:tabs>
          </w:pPr>
          <w:r>
            <w:fldChar w:fldCharType="begin"/>
          </w:r>
          <w:r>
            <w:instrText xml:space="preserve"> HYPERLINK \l "_Toc582686333" </w:instrText>
          </w:r>
          <w:r>
            <w:fldChar w:fldCharType="separate"/>
          </w:r>
          <w:r>
            <w:rPr>
              <w:rFonts w:hint="eastAsia" w:asciiTheme="minorEastAsia" w:hAnsiTheme="minorEastAsia" w:eastAsiaTheme="minorEastAsia"/>
              <w:szCs w:val="15"/>
            </w:rPr>
            <w:t>《北京市建设工程施工现场管理办法》案由13项</w:t>
          </w:r>
          <w:r>
            <w:tab/>
          </w:r>
          <w:r>
            <w:fldChar w:fldCharType="begin"/>
          </w:r>
          <w:r>
            <w:instrText xml:space="preserve"> PAGEREF _Toc582686333 \h </w:instrText>
          </w:r>
          <w:r>
            <w:fldChar w:fldCharType="separate"/>
          </w:r>
          <w:r>
            <w:t>90</w:t>
          </w:r>
          <w:r>
            <w:fldChar w:fldCharType="end"/>
          </w:r>
          <w:r>
            <w:fldChar w:fldCharType="end"/>
          </w:r>
        </w:p>
        <w:p>
          <w:pPr>
            <w:pStyle w:val="16"/>
            <w:tabs>
              <w:tab w:val="right" w:leader="dot" w:pos="9582"/>
            </w:tabs>
          </w:pPr>
          <w:r>
            <w:fldChar w:fldCharType="begin"/>
          </w:r>
          <w:r>
            <w:instrText xml:space="preserve"> HYPERLINK \l "_Toc2049577647" </w:instrText>
          </w:r>
          <w:r>
            <w:fldChar w:fldCharType="separate"/>
          </w:r>
          <w:r>
            <w:rPr>
              <w:rFonts w:hint="eastAsia" w:ascii="黑体" w:hAnsi="黑体" w:eastAsia="黑体"/>
              <w:szCs w:val="24"/>
            </w:rPr>
            <w:t>停车场管理方面案由</w:t>
          </w:r>
          <w:r>
            <w:tab/>
          </w:r>
          <w:r>
            <w:fldChar w:fldCharType="begin"/>
          </w:r>
          <w:r>
            <w:instrText xml:space="preserve"> PAGEREF _Toc2049577647 \h </w:instrText>
          </w:r>
          <w:r>
            <w:fldChar w:fldCharType="separate"/>
          </w:r>
          <w:r>
            <w:t>94</w:t>
          </w:r>
          <w:r>
            <w:fldChar w:fldCharType="end"/>
          </w:r>
          <w:r>
            <w:fldChar w:fldCharType="end"/>
          </w:r>
        </w:p>
        <w:p>
          <w:pPr>
            <w:pStyle w:val="18"/>
            <w:tabs>
              <w:tab w:val="right" w:leader="dot" w:pos="9582"/>
            </w:tabs>
          </w:pPr>
          <w:r>
            <w:fldChar w:fldCharType="begin"/>
          </w:r>
          <w:r>
            <w:instrText xml:space="preserve"> HYPERLINK \l "_Toc461415147" </w:instrText>
          </w:r>
          <w:r>
            <w:fldChar w:fldCharType="separate"/>
          </w:r>
          <w:r>
            <w:rPr>
              <w:rFonts w:hint="eastAsia" w:asciiTheme="minorEastAsia" w:hAnsiTheme="minorEastAsia" w:eastAsiaTheme="minorEastAsia"/>
              <w:szCs w:val="15"/>
            </w:rPr>
            <w:t>《北京市机动车停车管理办法》案由13项</w:t>
          </w:r>
          <w:r>
            <w:tab/>
          </w:r>
          <w:r>
            <w:fldChar w:fldCharType="begin"/>
          </w:r>
          <w:r>
            <w:instrText xml:space="preserve"> PAGEREF _Toc461415147 \h </w:instrText>
          </w:r>
          <w:r>
            <w:fldChar w:fldCharType="separate"/>
          </w:r>
          <w:r>
            <w:t>94</w:t>
          </w:r>
          <w:r>
            <w:fldChar w:fldCharType="end"/>
          </w:r>
          <w:r>
            <w:fldChar w:fldCharType="end"/>
          </w:r>
        </w:p>
        <w:p>
          <w:pPr>
            <w:pStyle w:val="18"/>
            <w:tabs>
              <w:tab w:val="right" w:leader="dot" w:pos="9582"/>
            </w:tabs>
          </w:pPr>
          <w:r>
            <w:fldChar w:fldCharType="begin"/>
          </w:r>
          <w:r>
            <w:instrText xml:space="preserve"> HYPERLINK \l "_Toc84000310" </w:instrText>
          </w:r>
          <w:r>
            <w:fldChar w:fldCharType="separate"/>
          </w:r>
          <w:r>
            <w:rPr>
              <w:rFonts w:hint="eastAsia" w:asciiTheme="minorEastAsia" w:hAnsiTheme="minorEastAsia" w:eastAsiaTheme="minorEastAsia"/>
              <w:szCs w:val="15"/>
            </w:rPr>
            <w:t>《北京市</w:t>
          </w:r>
          <w:r>
            <w:rPr>
              <w:rFonts w:asciiTheme="minorEastAsia" w:hAnsiTheme="minorEastAsia" w:eastAsiaTheme="minorEastAsia"/>
              <w:szCs w:val="15"/>
            </w:rPr>
            <w:t>机动车停车条例</w:t>
          </w:r>
          <w:r>
            <w:rPr>
              <w:rFonts w:hint="eastAsia" w:asciiTheme="minorEastAsia" w:hAnsiTheme="minorEastAsia" w:eastAsiaTheme="minorEastAsia"/>
              <w:szCs w:val="15"/>
            </w:rPr>
            <w:t>》案由6项</w:t>
          </w:r>
          <w:r>
            <w:tab/>
          </w:r>
          <w:r>
            <w:fldChar w:fldCharType="begin"/>
          </w:r>
          <w:r>
            <w:instrText xml:space="preserve"> PAGEREF _Toc84000310 \h </w:instrText>
          </w:r>
          <w:r>
            <w:fldChar w:fldCharType="separate"/>
          </w:r>
          <w:r>
            <w:t>96</w:t>
          </w:r>
          <w:r>
            <w:fldChar w:fldCharType="end"/>
          </w:r>
          <w:r>
            <w:fldChar w:fldCharType="end"/>
          </w:r>
        </w:p>
        <w:p>
          <w:pPr>
            <w:pStyle w:val="18"/>
            <w:tabs>
              <w:tab w:val="right" w:leader="dot" w:pos="9582"/>
            </w:tabs>
          </w:pPr>
          <w:r>
            <w:fldChar w:fldCharType="begin"/>
          </w:r>
          <w:r>
            <w:instrText xml:space="preserve"> HYPERLINK \l "_Toc1403487034" </w:instrText>
          </w:r>
          <w:r>
            <w:fldChar w:fldCharType="separate"/>
          </w:r>
          <w:r>
            <w:rPr>
              <w:rFonts w:hint="eastAsia" w:asciiTheme="minorEastAsia" w:hAnsiTheme="minorEastAsia" w:eastAsiaTheme="minorEastAsia"/>
              <w:szCs w:val="15"/>
            </w:rPr>
            <w:t>《北京市非机动车停车管理办法》《北京市</w:t>
          </w:r>
          <w:r>
            <w:rPr>
              <w:rFonts w:asciiTheme="minorEastAsia" w:hAnsiTheme="minorEastAsia" w:eastAsiaTheme="minorEastAsia"/>
              <w:szCs w:val="15"/>
            </w:rPr>
            <w:t>非机动车</w:t>
          </w:r>
          <w:r>
            <w:rPr>
              <w:rFonts w:hint="eastAsia" w:asciiTheme="minorEastAsia" w:hAnsiTheme="minorEastAsia" w:eastAsiaTheme="minorEastAsia"/>
              <w:szCs w:val="15"/>
            </w:rPr>
            <w:t>管理</w:t>
          </w:r>
          <w:r>
            <w:rPr>
              <w:rFonts w:asciiTheme="minorEastAsia" w:hAnsiTheme="minorEastAsia" w:eastAsiaTheme="minorEastAsia"/>
              <w:szCs w:val="15"/>
            </w:rPr>
            <w:t>条例</w:t>
          </w:r>
          <w:r>
            <w:rPr>
              <w:rFonts w:hint="eastAsia" w:asciiTheme="minorEastAsia" w:hAnsiTheme="minorEastAsia" w:eastAsiaTheme="minorEastAsia"/>
              <w:szCs w:val="15"/>
            </w:rPr>
            <w:t>》案由</w:t>
          </w:r>
          <w:r>
            <w:rPr>
              <w:rFonts w:asciiTheme="minorEastAsia" w:hAnsiTheme="minorEastAsia" w:eastAsiaTheme="minorEastAsia"/>
              <w:szCs w:val="15"/>
            </w:rPr>
            <w:t>6</w:t>
          </w:r>
          <w:r>
            <w:rPr>
              <w:rFonts w:hint="eastAsia" w:asciiTheme="minorEastAsia" w:hAnsiTheme="minorEastAsia" w:eastAsiaTheme="minorEastAsia"/>
              <w:szCs w:val="15"/>
            </w:rPr>
            <w:t>项</w:t>
          </w:r>
          <w:r>
            <w:tab/>
          </w:r>
          <w:r>
            <w:fldChar w:fldCharType="begin"/>
          </w:r>
          <w:r>
            <w:instrText xml:space="preserve"> PAGEREF _Toc1403487034 \h </w:instrText>
          </w:r>
          <w:r>
            <w:fldChar w:fldCharType="separate"/>
          </w:r>
          <w:r>
            <w:t>97</w:t>
          </w:r>
          <w:r>
            <w:fldChar w:fldCharType="end"/>
          </w:r>
          <w:r>
            <w:fldChar w:fldCharType="end"/>
          </w:r>
        </w:p>
        <w:p>
          <w:pPr>
            <w:pStyle w:val="16"/>
            <w:tabs>
              <w:tab w:val="right" w:leader="dot" w:pos="9582"/>
            </w:tabs>
          </w:pPr>
          <w:r>
            <w:fldChar w:fldCharType="begin"/>
          </w:r>
          <w:r>
            <w:instrText xml:space="preserve"> HYPERLINK \l "_Toc1449640261" </w:instrText>
          </w:r>
          <w:r>
            <w:fldChar w:fldCharType="separate"/>
          </w:r>
          <w:r>
            <w:rPr>
              <w:rFonts w:hint="eastAsia" w:ascii="黑体" w:hAnsi="黑体" w:eastAsia="黑体"/>
              <w:szCs w:val="24"/>
            </w:rPr>
            <w:t>交通运输管理方面</w:t>
          </w:r>
          <w:r>
            <w:tab/>
          </w:r>
          <w:r>
            <w:fldChar w:fldCharType="begin"/>
          </w:r>
          <w:r>
            <w:instrText xml:space="preserve"> PAGEREF _Toc1449640261 \h </w:instrText>
          </w:r>
          <w:r>
            <w:fldChar w:fldCharType="separate"/>
          </w:r>
          <w:r>
            <w:t>99</w:t>
          </w:r>
          <w:r>
            <w:fldChar w:fldCharType="end"/>
          </w:r>
          <w:r>
            <w:fldChar w:fldCharType="end"/>
          </w:r>
        </w:p>
        <w:p>
          <w:pPr>
            <w:pStyle w:val="18"/>
            <w:tabs>
              <w:tab w:val="right" w:leader="dot" w:pos="9582"/>
            </w:tabs>
          </w:pPr>
          <w:r>
            <w:fldChar w:fldCharType="begin"/>
          </w:r>
          <w:r>
            <w:instrText xml:space="preserve"> HYPERLINK \l "_Toc2015438049" </w:instrText>
          </w:r>
          <w:r>
            <w:fldChar w:fldCharType="separate"/>
          </w:r>
          <w:r>
            <w:rPr>
              <w:rFonts w:hint="eastAsia" w:asciiTheme="minorEastAsia" w:hAnsiTheme="minorEastAsia" w:eastAsiaTheme="minorEastAsia"/>
              <w:szCs w:val="15"/>
            </w:rPr>
            <w:t>《巡游出租汽车经营服务管理规定》案由1项</w:t>
          </w:r>
          <w:r>
            <w:tab/>
          </w:r>
          <w:r>
            <w:fldChar w:fldCharType="begin"/>
          </w:r>
          <w:r>
            <w:instrText xml:space="preserve"> PAGEREF _Toc2015438049 \h </w:instrText>
          </w:r>
          <w:r>
            <w:fldChar w:fldCharType="separate"/>
          </w:r>
          <w:r>
            <w:t>99</w:t>
          </w:r>
          <w:r>
            <w:fldChar w:fldCharType="end"/>
          </w:r>
          <w:r>
            <w:fldChar w:fldCharType="end"/>
          </w:r>
        </w:p>
        <w:p>
          <w:pPr>
            <w:pStyle w:val="18"/>
            <w:tabs>
              <w:tab w:val="right" w:leader="dot" w:pos="9582"/>
            </w:tabs>
          </w:pPr>
          <w:r>
            <w:fldChar w:fldCharType="begin"/>
          </w:r>
          <w:r>
            <w:instrText xml:space="preserve"> HYPERLINK \l "_Toc332296174" </w:instrText>
          </w:r>
          <w:r>
            <w:fldChar w:fldCharType="separate"/>
          </w:r>
          <w:r>
            <w:rPr>
              <w:rFonts w:hint="eastAsia" w:asciiTheme="minorEastAsia" w:hAnsiTheme="minorEastAsia" w:eastAsiaTheme="minorEastAsia"/>
              <w:szCs w:val="15"/>
            </w:rPr>
            <w:t>《北京市查处非法客运若干规定》案由2项</w:t>
          </w:r>
          <w:r>
            <w:tab/>
          </w:r>
          <w:r>
            <w:fldChar w:fldCharType="begin"/>
          </w:r>
          <w:r>
            <w:instrText xml:space="preserve"> PAGEREF _Toc332296174 \h </w:instrText>
          </w:r>
          <w:r>
            <w:fldChar w:fldCharType="separate"/>
          </w:r>
          <w:r>
            <w:t>99</w:t>
          </w:r>
          <w:r>
            <w:fldChar w:fldCharType="end"/>
          </w:r>
          <w:r>
            <w:fldChar w:fldCharType="end"/>
          </w:r>
        </w:p>
        <w:p>
          <w:pPr>
            <w:pStyle w:val="16"/>
            <w:tabs>
              <w:tab w:val="right" w:leader="dot" w:pos="9582"/>
            </w:tabs>
          </w:pPr>
          <w:r>
            <w:fldChar w:fldCharType="begin"/>
          </w:r>
          <w:r>
            <w:instrText xml:space="preserve"> HYPERLINK \l "_Toc1402452666" </w:instrText>
          </w:r>
          <w:r>
            <w:fldChar w:fldCharType="separate"/>
          </w:r>
          <w:r>
            <w:rPr>
              <w:rFonts w:hint="eastAsia" w:ascii="黑体" w:hAnsi="黑体" w:eastAsia="黑体"/>
              <w:szCs w:val="24"/>
            </w:rPr>
            <w:t>市场监督管理（流动无照经营）方面</w:t>
          </w:r>
          <w:r>
            <w:tab/>
          </w:r>
          <w:r>
            <w:fldChar w:fldCharType="begin"/>
          </w:r>
          <w:r>
            <w:instrText xml:space="preserve"> PAGEREF _Toc1402452666 \h </w:instrText>
          </w:r>
          <w:r>
            <w:fldChar w:fldCharType="separate"/>
          </w:r>
          <w:r>
            <w:t>100</w:t>
          </w:r>
          <w:r>
            <w:fldChar w:fldCharType="end"/>
          </w:r>
          <w:r>
            <w:fldChar w:fldCharType="end"/>
          </w:r>
        </w:p>
        <w:p>
          <w:pPr>
            <w:pStyle w:val="18"/>
            <w:tabs>
              <w:tab w:val="right" w:leader="dot" w:pos="9582"/>
            </w:tabs>
          </w:pPr>
          <w:r>
            <w:fldChar w:fldCharType="begin"/>
          </w:r>
          <w:r>
            <w:instrText xml:space="preserve"> HYPERLINK \l "_Toc847984675" </w:instrText>
          </w:r>
          <w:r>
            <w:fldChar w:fldCharType="separate"/>
          </w:r>
          <w:r>
            <w:rPr>
              <w:rFonts w:hint="eastAsia" w:asciiTheme="minorEastAsia" w:hAnsiTheme="minorEastAsia" w:eastAsiaTheme="minorEastAsia"/>
              <w:szCs w:val="15"/>
            </w:rPr>
            <w:t>《无证</w:t>
          </w:r>
          <w:r>
            <w:rPr>
              <w:rFonts w:asciiTheme="minorEastAsia" w:hAnsiTheme="minorEastAsia" w:eastAsiaTheme="minorEastAsia"/>
              <w:szCs w:val="15"/>
            </w:rPr>
            <w:t>无照经营查处办法</w:t>
          </w:r>
          <w:r>
            <w:rPr>
              <w:rFonts w:hint="eastAsia" w:asciiTheme="minorEastAsia" w:hAnsiTheme="minorEastAsia" w:eastAsiaTheme="minorEastAsia"/>
              <w:szCs w:val="15"/>
            </w:rPr>
            <w:t>》案由3项</w:t>
          </w:r>
          <w:r>
            <w:tab/>
          </w:r>
          <w:r>
            <w:fldChar w:fldCharType="begin"/>
          </w:r>
          <w:r>
            <w:instrText xml:space="preserve"> PAGEREF _Toc847984675 \h </w:instrText>
          </w:r>
          <w:r>
            <w:fldChar w:fldCharType="separate"/>
          </w:r>
          <w:r>
            <w:t>100</w:t>
          </w:r>
          <w:r>
            <w:fldChar w:fldCharType="end"/>
          </w:r>
          <w:r>
            <w:fldChar w:fldCharType="end"/>
          </w:r>
        </w:p>
        <w:p>
          <w:pPr>
            <w:pStyle w:val="16"/>
            <w:tabs>
              <w:tab w:val="right" w:leader="dot" w:pos="9582"/>
            </w:tabs>
          </w:pPr>
          <w:r>
            <w:fldChar w:fldCharType="begin"/>
          </w:r>
          <w:r>
            <w:instrText xml:space="preserve"> HYPERLINK \l "_Toc1480764497" </w:instrText>
          </w:r>
          <w:r>
            <w:fldChar w:fldCharType="separate"/>
          </w:r>
          <w:r>
            <w:rPr>
              <w:rFonts w:hint="eastAsia" w:ascii="黑体" w:hAnsi="黑体" w:eastAsia="黑体"/>
              <w:szCs w:val="24"/>
            </w:rPr>
            <w:t>城市规划管理方面</w:t>
          </w:r>
          <w:r>
            <w:tab/>
          </w:r>
          <w:r>
            <w:fldChar w:fldCharType="begin"/>
          </w:r>
          <w:r>
            <w:instrText xml:space="preserve"> PAGEREF _Toc1480764497 \h </w:instrText>
          </w:r>
          <w:r>
            <w:fldChar w:fldCharType="separate"/>
          </w:r>
          <w:r>
            <w:t>101</w:t>
          </w:r>
          <w:r>
            <w:fldChar w:fldCharType="end"/>
          </w:r>
          <w:r>
            <w:fldChar w:fldCharType="end"/>
          </w:r>
        </w:p>
        <w:p>
          <w:pPr>
            <w:pStyle w:val="18"/>
            <w:tabs>
              <w:tab w:val="right" w:leader="dot" w:pos="9582"/>
            </w:tabs>
          </w:pPr>
          <w:r>
            <w:fldChar w:fldCharType="begin"/>
          </w:r>
          <w:r>
            <w:instrText xml:space="preserve"> HYPERLINK \l "_Toc323853104" </w:instrText>
          </w:r>
          <w:r>
            <w:fldChar w:fldCharType="separate"/>
          </w:r>
          <w:r>
            <w:rPr>
              <w:rFonts w:hint="eastAsia" w:asciiTheme="minorEastAsia" w:hAnsiTheme="minorEastAsia" w:eastAsiaTheme="minorEastAsia"/>
              <w:szCs w:val="15"/>
            </w:rPr>
            <w:t>《中华人民共和国城乡规划法》《北京市城乡规划条例》 案由2项</w:t>
          </w:r>
          <w:r>
            <w:tab/>
          </w:r>
          <w:r>
            <w:fldChar w:fldCharType="begin"/>
          </w:r>
          <w:r>
            <w:instrText xml:space="preserve"> PAGEREF _Toc323853104 \h </w:instrText>
          </w:r>
          <w:r>
            <w:fldChar w:fldCharType="separate"/>
          </w:r>
          <w:r>
            <w:t>101</w:t>
          </w:r>
          <w:r>
            <w:fldChar w:fldCharType="end"/>
          </w:r>
          <w:r>
            <w:fldChar w:fldCharType="end"/>
          </w:r>
        </w:p>
        <w:p>
          <w:pPr>
            <w:pStyle w:val="16"/>
            <w:tabs>
              <w:tab w:val="right" w:leader="dot" w:pos="9582"/>
            </w:tabs>
          </w:pPr>
          <w:r>
            <w:fldChar w:fldCharType="begin"/>
          </w:r>
          <w:r>
            <w:instrText xml:space="preserve"> HYPERLINK \l "_Toc154103444" </w:instrText>
          </w:r>
          <w:r>
            <w:fldChar w:fldCharType="separate"/>
          </w:r>
          <w:r>
            <w:rPr>
              <w:rFonts w:hint="eastAsia" w:ascii="黑体" w:hAnsi="黑体" w:eastAsia="黑体"/>
              <w:szCs w:val="24"/>
            </w:rPr>
            <w:t>旅游管理（黑导游）方面</w:t>
          </w:r>
          <w:r>
            <w:tab/>
          </w:r>
          <w:r>
            <w:fldChar w:fldCharType="begin"/>
          </w:r>
          <w:r>
            <w:instrText xml:space="preserve"> PAGEREF _Toc154103444 \h </w:instrText>
          </w:r>
          <w:r>
            <w:fldChar w:fldCharType="separate"/>
          </w:r>
          <w:r>
            <w:t>102</w:t>
          </w:r>
          <w:r>
            <w:fldChar w:fldCharType="end"/>
          </w:r>
          <w:r>
            <w:fldChar w:fldCharType="end"/>
          </w:r>
        </w:p>
        <w:p>
          <w:pPr>
            <w:pStyle w:val="18"/>
            <w:tabs>
              <w:tab w:val="right" w:leader="dot" w:pos="9582"/>
            </w:tabs>
          </w:pPr>
          <w:r>
            <w:fldChar w:fldCharType="begin"/>
          </w:r>
          <w:r>
            <w:instrText xml:space="preserve"> HYPERLINK \l "_Toc989086133" </w:instrText>
          </w:r>
          <w:r>
            <w:fldChar w:fldCharType="separate"/>
          </w:r>
          <w:r>
            <w:rPr>
              <w:rFonts w:hint="eastAsia" w:asciiTheme="minorEastAsia" w:hAnsiTheme="minorEastAsia" w:eastAsiaTheme="minorEastAsia"/>
              <w:szCs w:val="15"/>
            </w:rPr>
            <w:t>《中华人民共和国旅游法》案由1项</w:t>
          </w:r>
          <w:r>
            <w:tab/>
          </w:r>
          <w:r>
            <w:fldChar w:fldCharType="begin"/>
          </w:r>
          <w:r>
            <w:instrText xml:space="preserve"> PAGEREF _Toc989086133 \h </w:instrText>
          </w:r>
          <w:r>
            <w:fldChar w:fldCharType="separate"/>
          </w:r>
          <w:r>
            <w:t>102</w:t>
          </w:r>
          <w:r>
            <w:fldChar w:fldCharType="end"/>
          </w:r>
          <w:r>
            <w:fldChar w:fldCharType="end"/>
          </w:r>
        </w:p>
        <w:p>
          <w:pPr>
            <w:pStyle w:val="16"/>
            <w:tabs>
              <w:tab w:val="right" w:leader="dot" w:pos="9582"/>
            </w:tabs>
          </w:pPr>
          <w:r>
            <w:fldChar w:fldCharType="begin"/>
          </w:r>
          <w:r>
            <w:instrText xml:space="preserve"> HYPERLINK \l "_Toc692487740" </w:instrText>
          </w:r>
          <w:r>
            <w:fldChar w:fldCharType="separate"/>
          </w:r>
          <w:r>
            <w:rPr>
              <w:rFonts w:hint="eastAsia" w:ascii="黑体" w:hAnsi="黑体" w:eastAsia="黑体"/>
              <w:szCs w:val="24"/>
            </w:rPr>
            <w:t>食品安全管理方面</w:t>
          </w:r>
          <w:r>
            <w:tab/>
          </w:r>
          <w:r>
            <w:fldChar w:fldCharType="begin"/>
          </w:r>
          <w:r>
            <w:instrText xml:space="preserve"> PAGEREF _Toc692487740 \h </w:instrText>
          </w:r>
          <w:r>
            <w:fldChar w:fldCharType="separate"/>
          </w:r>
          <w:r>
            <w:t>102</w:t>
          </w:r>
          <w:r>
            <w:fldChar w:fldCharType="end"/>
          </w:r>
          <w:r>
            <w:fldChar w:fldCharType="end"/>
          </w:r>
        </w:p>
        <w:p>
          <w:pPr>
            <w:pStyle w:val="18"/>
            <w:tabs>
              <w:tab w:val="right" w:leader="dot" w:pos="9582"/>
            </w:tabs>
          </w:pPr>
          <w:r>
            <w:fldChar w:fldCharType="begin"/>
          </w:r>
          <w:r>
            <w:instrText xml:space="preserve"> HYPERLINK \l "_Toc647605357" </w:instrText>
          </w:r>
          <w:r>
            <w:fldChar w:fldCharType="separate"/>
          </w:r>
          <w:r>
            <w:rPr>
              <w:rFonts w:hint="eastAsia" w:asciiTheme="minorEastAsia" w:hAnsiTheme="minorEastAsia" w:eastAsiaTheme="minorEastAsia"/>
              <w:szCs w:val="15"/>
            </w:rPr>
            <w:t>《北京市小规模食品生产经营管理规定》案由23项</w:t>
          </w:r>
          <w:r>
            <w:tab/>
          </w:r>
          <w:r>
            <w:fldChar w:fldCharType="begin"/>
          </w:r>
          <w:r>
            <w:instrText xml:space="preserve"> PAGEREF _Toc647605357 \h </w:instrText>
          </w:r>
          <w:r>
            <w:fldChar w:fldCharType="separate"/>
          </w:r>
          <w:r>
            <w:t>102</w:t>
          </w:r>
          <w:r>
            <w:fldChar w:fldCharType="end"/>
          </w:r>
          <w:r>
            <w:fldChar w:fldCharType="end"/>
          </w:r>
        </w:p>
        <w:p>
          <w:pPr>
            <w:pStyle w:val="16"/>
            <w:tabs>
              <w:tab w:val="right" w:leader="dot" w:pos="9582"/>
            </w:tabs>
          </w:pPr>
          <w:r>
            <w:fldChar w:fldCharType="begin"/>
          </w:r>
          <w:r>
            <w:instrText xml:space="preserve"> HYPERLINK \l "_Toc987005982" </w:instrText>
          </w:r>
          <w:r>
            <w:fldChar w:fldCharType="separate"/>
          </w:r>
          <w:r>
            <w:rPr>
              <w:rFonts w:hint="eastAsia" w:ascii="黑体" w:hAnsi="黑体" w:eastAsia="黑体"/>
              <w:szCs w:val="24"/>
            </w:rPr>
            <w:t>能源运行管理方面</w:t>
          </w:r>
          <w:r>
            <w:tab/>
          </w:r>
          <w:r>
            <w:fldChar w:fldCharType="begin"/>
          </w:r>
          <w:r>
            <w:instrText xml:space="preserve"> PAGEREF _Toc987005982 \h </w:instrText>
          </w:r>
          <w:r>
            <w:fldChar w:fldCharType="separate"/>
          </w:r>
          <w:r>
            <w:t>107</w:t>
          </w:r>
          <w:r>
            <w:fldChar w:fldCharType="end"/>
          </w:r>
          <w:r>
            <w:fldChar w:fldCharType="end"/>
          </w:r>
        </w:p>
        <w:p>
          <w:pPr>
            <w:pStyle w:val="18"/>
            <w:tabs>
              <w:tab w:val="right" w:leader="dot" w:pos="9582"/>
            </w:tabs>
          </w:pPr>
          <w:r>
            <w:fldChar w:fldCharType="begin"/>
          </w:r>
          <w:r>
            <w:instrText xml:space="preserve"> HYPERLINK \l "_Toc742833011" </w:instrText>
          </w:r>
          <w:r>
            <w:fldChar w:fldCharType="separate"/>
          </w:r>
          <w:r>
            <w:rPr>
              <w:rFonts w:hint="eastAsia" w:asciiTheme="minorEastAsia" w:hAnsiTheme="minorEastAsia" w:eastAsiaTheme="minorEastAsia"/>
              <w:szCs w:val="15"/>
            </w:rPr>
            <w:t>《中华人民共和国煤炭法》案由</w:t>
          </w:r>
          <w:r>
            <w:rPr>
              <w:rFonts w:asciiTheme="minorEastAsia" w:hAnsiTheme="minorEastAsia" w:eastAsiaTheme="minorEastAsia"/>
              <w:szCs w:val="15"/>
            </w:rPr>
            <w:t>3</w:t>
          </w:r>
          <w:r>
            <w:rPr>
              <w:rFonts w:hint="eastAsia" w:asciiTheme="minorEastAsia" w:hAnsiTheme="minorEastAsia" w:eastAsiaTheme="minorEastAsia"/>
              <w:szCs w:val="15"/>
            </w:rPr>
            <w:t>项</w:t>
          </w:r>
          <w:r>
            <w:tab/>
          </w:r>
          <w:r>
            <w:fldChar w:fldCharType="begin"/>
          </w:r>
          <w:r>
            <w:instrText xml:space="preserve"> PAGEREF _Toc742833011 \h </w:instrText>
          </w:r>
          <w:r>
            <w:fldChar w:fldCharType="separate"/>
          </w:r>
          <w:r>
            <w:t>107</w:t>
          </w:r>
          <w:r>
            <w:fldChar w:fldCharType="end"/>
          </w:r>
          <w:r>
            <w:fldChar w:fldCharType="end"/>
          </w:r>
        </w:p>
        <w:p>
          <w:pPr>
            <w:pStyle w:val="18"/>
            <w:tabs>
              <w:tab w:val="right" w:leader="dot" w:pos="9582"/>
            </w:tabs>
          </w:pPr>
          <w:r>
            <w:fldChar w:fldCharType="begin"/>
          </w:r>
          <w:r>
            <w:instrText xml:space="preserve"> HYPERLINK \l "_Toc681767624" </w:instrText>
          </w:r>
          <w:r>
            <w:fldChar w:fldCharType="separate"/>
          </w:r>
          <w:r>
            <w:rPr>
              <w:rFonts w:hint="eastAsia" w:asciiTheme="minorEastAsia" w:hAnsiTheme="minorEastAsia" w:eastAsiaTheme="minorEastAsia"/>
              <w:szCs w:val="15"/>
            </w:rPr>
            <w:t>《中华人民共和国可再生能源法》案由2项</w:t>
          </w:r>
          <w:r>
            <w:tab/>
          </w:r>
          <w:r>
            <w:fldChar w:fldCharType="begin"/>
          </w:r>
          <w:r>
            <w:instrText xml:space="preserve"> PAGEREF _Toc681767624 \h </w:instrText>
          </w:r>
          <w:r>
            <w:fldChar w:fldCharType="separate"/>
          </w:r>
          <w:r>
            <w:t>107</w:t>
          </w:r>
          <w:r>
            <w:fldChar w:fldCharType="end"/>
          </w:r>
          <w:r>
            <w:fldChar w:fldCharType="end"/>
          </w:r>
        </w:p>
        <w:p>
          <w:pPr>
            <w:pStyle w:val="18"/>
            <w:tabs>
              <w:tab w:val="right" w:leader="dot" w:pos="9582"/>
            </w:tabs>
          </w:pPr>
          <w:r>
            <w:fldChar w:fldCharType="begin"/>
          </w:r>
          <w:r>
            <w:instrText xml:space="preserve"> HYPERLINK \l "_Toc1503392622" </w:instrText>
          </w:r>
          <w:r>
            <w:fldChar w:fldCharType="separate"/>
          </w:r>
          <w:r>
            <w:rPr>
              <w:rFonts w:hint="eastAsia" w:asciiTheme="minorEastAsia" w:hAnsiTheme="minorEastAsia" w:eastAsiaTheme="minorEastAsia"/>
              <w:szCs w:val="15"/>
            </w:rPr>
            <w:t>《中华人民共和国电力法》《电力供应与使用条例》案由</w:t>
          </w:r>
          <w:r>
            <w:rPr>
              <w:rFonts w:asciiTheme="minorEastAsia" w:hAnsiTheme="minorEastAsia" w:eastAsiaTheme="minorEastAsia"/>
              <w:szCs w:val="15"/>
            </w:rPr>
            <w:t>6</w:t>
          </w:r>
          <w:r>
            <w:rPr>
              <w:rFonts w:hint="eastAsia" w:asciiTheme="minorEastAsia" w:hAnsiTheme="minorEastAsia" w:eastAsiaTheme="minorEastAsia"/>
              <w:szCs w:val="15"/>
            </w:rPr>
            <w:t>项</w:t>
          </w:r>
          <w:r>
            <w:tab/>
          </w:r>
          <w:r>
            <w:fldChar w:fldCharType="begin"/>
          </w:r>
          <w:r>
            <w:instrText xml:space="preserve"> PAGEREF _Toc1503392622 \h </w:instrText>
          </w:r>
          <w:r>
            <w:fldChar w:fldCharType="separate"/>
          </w:r>
          <w:r>
            <w:t>107</w:t>
          </w:r>
          <w:r>
            <w:fldChar w:fldCharType="end"/>
          </w:r>
          <w:r>
            <w:fldChar w:fldCharType="end"/>
          </w:r>
        </w:p>
        <w:p>
          <w:pPr>
            <w:pStyle w:val="18"/>
            <w:tabs>
              <w:tab w:val="right" w:leader="dot" w:pos="9582"/>
            </w:tabs>
          </w:pPr>
          <w:r>
            <w:fldChar w:fldCharType="begin"/>
          </w:r>
          <w:r>
            <w:instrText xml:space="preserve"> HYPERLINK \l "_Toc1509959345" </w:instrText>
          </w:r>
          <w:r>
            <w:fldChar w:fldCharType="separate"/>
          </w:r>
          <w:r>
            <w:rPr>
              <w:rFonts w:hint="eastAsia" w:asciiTheme="minorEastAsia" w:hAnsiTheme="minorEastAsia" w:eastAsiaTheme="minorEastAsia"/>
              <w:szCs w:val="15"/>
            </w:rPr>
            <w:t>《电力设施保护条例》《电力设施保护条例实施细则》案由5项</w:t>
          </w:r>
          <w:r>
            <w:tab/>
          </w:r>
          <w:r>
            <w:fldChar w:fldCharType="begin"/>
          </w:r>
          <w:r>
            <w:instrText xml:space="preserve"> PAGEREF _Toc1509959345 \h </w:instrText>
          </w:r>
          <w:r>
            <w:fldChar w:fldCharType="separate"/>
          </w:r>
          <w:r>
            <w:t>109</w:t>
          </w:r>
          <w:r>
            <w:fldChar w:fldCharType="end"/>
          </w:r>
          <w:r>
            <w:fldChar w:fldCharType="end"/>
          </w:r>
        </w:p>
        <w:p>
          <w:pPr>
            <w:pStyle w:val="18"/>
            <w:tabs>
              <w:tab w:val="right" w:leader="dot" w:pos="9582"/>
            </w:tabs>
          </w:pPr>
          <w:r>
            <w:fldChar w:fldCharType="begin"/>
          </w:r>
          <w:r>
            <w:instrText xml:space="preserve"> HYPERLINK \l "_Toc2972876" </w:instrText>
          </w:r>
          <w:r>
            <w:fldChar w:fldCharType="separate"/>
          </w:r>
          <w:r>
            <w:rPr>
              <w:rFonts w:hint="eastAsia" w:asciiTheme="minorEastAsia" w:hAnsiTheme="minorEastAsia" w:eastAsiaTheme="minorEastAsia"/>
              <w:szCs w:val="15"/>
            </w:rPr>
            <w:t>《供用电监督管理办法》案由1项</w:t>
          </w:r>
          <w:r>
            <w:tab/>
          </w:r>
          <w:r>
            <w:fldChar w:fldCharType="begin"/>
          </w:r>
          <w:r>
            <w:instrText xml:space="preserve"> PAGEREF _Toc2972876 \h </w:instrText>
          </w:r>
          <w:r>
            <w:fldChar w:fldCharType="separate"/>
          </w:r>
          <w:r>
            <w:t>110</w:t>
          </w:r>
          <w:r>
            <w:fldChar w:fldCharType="end"/>
          </w:r>
          <w:r>
            <w:fldChar w:fldCharType="end"/>
          </w:r>
        </w:p>
        <w:p>
          <w:pPr>
            <w:pStyle w:val="18"/>
            <w:tabs>
              <w:tab w:val="right" w:leader="dot" w:pos="9582"/>
            </w:tabs>
          </w:pPr>
          <w:r>
            <w:fldChar w:fldCharType="begin"/>
          </w:r>
          <w:r>
            <w:instrText xml:space="preserve"> HYPERLINK \l "_Toc1063052512" </w:instrText>
          </w:r>
          <w:r>
            <w:fldChar w:fldCharType="separate"/>
          </w:r>
          <w:r>
            <w:rPr>
              <w:rFonts w:hint="eastAsia" w:asciiTheme="minorEastAsia" w:hAnsiTheme="minorEastAsia" w:eastAsiaTheme="minorEastAsia"/>
              <w:szCs w:val="15"/>
            </w:rPr>
            <w:t>《中华人民共和国石油天然气管道保护法》案由22项</w:t>
          </w:r>
          <w:r>
            <w:tab/>
          </w:r>
          <w:r>
            <w:fldChar w:fldCharType="begin"/>
          </w:r>
          <w:r>
            <w:instrText xml:space="preserve"> PAGEREF _Toc1063052512 \h </w:instrText>
          </w:r>
          <w:r>
            <w:fldChar w:fldCharType="separate"/>
          </w:r>
          <w:r>
            <w:t>111</w:t>
          </w:r>
          <w:r>
            <w:fldChar w:fldCharType="end"/>
          </w:r>
          <w:r>
            <w:fldChar w:fldCharType="end"/>
          </w:r>
        </w:p>
        <w:p>
          <w:pPr>
            <w:pStyle w:val="16"/>
            <w:tabs>
              <w:tab w:val="right" w:leader="dot" w:pos="9582"/>
            </w:tabs>
          </w:pPr>
          <w:r>
            <w:fldChar w:fldCharType="begin"/>
          </w:r>
          <w:r>
            <w:instrText xml:space="preserve"> HYPERLINK \l "_Toc604543255" </w:instrText>
          </w:r>
          <w:r>
            <w:fldChar w:fldCharType="separate"/>
          </w:r>
          <w:r>
            <w:rPr>
              <w:rFonts w:hint="eastAsia" w:ascii="黑体" w:hAnsi="黑体" w:eastAsia="黑体"/>
              <w:szCs w:val="24"/>
            </w:rPr>
            <w:t>疫情防控管理方面</w:t>
          </w:r>
          <w:r>
            <w:tab/>
          </w:r>
          <w:r>
            <w:fldChar w:fldCharType="begin"/>
          </w:r>
          <w:r>
            <w:instrText xml:space="preserve"> PAGEREF _Toc604543255 \h </w:instrText>
          </w:r>
          <w:r>
            <w:fldChar w:fldCharType="separate"/>
          </w:r>
          <w:r>
            <w:t>116</w:t>
          </w:r>
          <w:r>
            <w:fldChar w:fldCharType="end"/>
          </w:r>
          <w:r>
            <w:fldChar w:fldCharType="end"/>
          </w:r>
        </w:p>
        <w:p>
          <w:pPr>
            <w:pStyle w:val="18"/>
            <w:tabs>
              <w:tab w:val="right" w:leader="dot" w:pos="9582"/>
            </w:tabs>
          </w:pPr>
          <w:r>
            <w:fldChar w:fldCharType="begin"/>
          </w:r>
          <w:r>
            <w:instrText xml:space="preserve"> HYPERLINK \l "_Toc187603210" </w:instrText>
          </w:r>
          <w:r>
            <w:fldChar w:fldCharType="separate"/>
          </w:r>
          <w:r>
            <w:rPr>
              <w:rFonts w:asciiTheme="minorEastAsia" w:hAnsiTheme="minorEastAsia" w:eastAsiaTheme="minorEastAsia"/>
              <w:szCs w:val="15"/>
            </w:rPr>
            <w:t>《公共场所卫生管理条例实施细则》</w:t>
          </w:r>
          <w:r>
            <w:rPr>
              <w:rFonts w:hint="eastAsia" w:asciiTheme="minorEastAsia" w:hAnsiTheme="minorEastAsia" w:eastAsiaTheme="minorEastAsia"/>
              <w:szCs w:val="15"/>
            </w:rPr>
            <w:t>案由3项</w:t>
          </w:r>
          <w:r>
            <w:tab/>
          </w:r>
          <w:r>
            <w:fldChar w:fldCharType="begin"/>
          </w:r>
          <w:r>
            <w:instrText xml:space="preserve"> PAGEREF _Toc187603210 \h </w:instrText>
          </w:r>
          <w:r>
            <w:fldChar w:fldCharType="separate"/>
          </w:r>
          <w:r>
            <w:t>116</w:t>
          </w:r>
          <w:r>
            <w:fldChar w:fldCharType="end"/>
          </w:r>
          <w:r>
            <w:fldChar w:fldCharType="end"/>
          </w:r>
        </w:p>
        <w:p>
          <w:pPr>
            <w:pStyle w:val="18"/>
            <w:tabs>
              <w:tab w:val="right" w:leader="dot" w:pos="9582"/>
            </w:tabs>
          </w:pPr>
          <w:r>
            <w:fldChar w:fldCharType="begin"/>
          </w:r>
          <w:r>
            <w:instrText xml:space="preserve"> HYPERLINK \l "_Toc1881985316" </w:instrText>
          </w:r>
          <w:r>
            <w:fldChar w:fldCharType="separate"/>
          </w:r>
          <w:r>
            <w:rPr>
              <w:rFonts w:asciiTheme="minorEastAsia" w:hAnsiTheme="minorEastAsia" w:eastAsiaTheme="minorEastAsia"/>
              <w:szCs w:val="15"/>
            </w:rPr>
            <w:t>《北京市集中空调通风系统卫生管理办法》</w:t>
          </w:r>
          <w:r>
            <w:rPr>
              <w:rFonts w:hint="eastAsia" w:asciiTheme="minorEastAsia" w:hAnsiTheme="minorEastAsia" w:eastAsiaTheme="minorEastAsia"/>
              <w:szCs w:val="15"/>
            </w:rPr>
            <w:t>案由2项</w:t>
          </w:r>
          <w:r>
            <w:tab/>
          </w:r>
          <w:r>
            <w:fldChar w:fldCharType="begin"/>
          </w:r>
          <w:r>
            <w:instrText xml:space="preserve"> PAGEREF _Toc1881985316 \h </w:instrText>
          </w:r>
          <w:r>
            <w:fldChar w:fldCharType="separate"/>
          </w:r>
          <w:r>
            <w:t>116</w:t>
          </w:r>
          <w:r>
            <w:fldChar w:fldCharType="end"/>
          </w:r>
          <w:r>
            <w:fldChar w:fldCharType="end"/>
          </w:r>
        </w:p>
        <w:p>
          <w:pPr>
            <w:pStyle w:val="16"/>
            <w:tabs>
              <w:tab w:val="right" w:leader="dot" w:pos="9582"/>
            </w:tabs>
          </w:pPr>
          <w:r>
            <w:fldChar w:fldCharType="begin"/>
          </w:r>
          <w:r>
            <w:instrText xml:space="preserve"> HYPERLINK \l "_Toc1953583257" </w:instrText>
          </w:r>
          <w:r>
            <w:fldChar w:fldCharType="separate"/>
          </w:r>
          <w:r>
            <w:rPr>
              <w:rFonts w:hint="eastAsia" w:asciiTheme="minorEastAsia" w:hAnsiTheme="minorEastAsia" w:eastAsiaTheme="minorEastAsia"/>
              <w:szCs w:val="15"/>
            </w:rPr>
            <w:t>生态环境管理方面4项</w:t>
          </w:r>
          <w:r>
            <w:tab/>
          </w:r>
          <w:r>
            <w:fldChar w:fldCharType="begin"/>
          </w:r>
          <w:r>
            <w:instrText xml:space="preserve"> PAGEREF _Toc1953583257 \h </w:instrText>
          </w:r>
          <w:r>
            <w:fldChar w:fldCharType="separate"/>
          </w:r>
          <w:r>
            <w:t>117</w:t>
          </w:r>
          <w:r>
            <w:fldChar w:fldCharType="end"/>
          </w:r>
          <w:r>
            <w:fldChar w:fldCharType="end"/>
          </w:r>
        </w:p>
        <w:p>
          <w:pPr>
            <w:pStyle w:val="16"/>
            <w:tabs>
              <w:tab w:val="right" w:leader="dot" w:pos="9582"/>
            </w:tabs>
          </w:pPr>
          <w:r>
            <w:fldChar w:fldCharType="begin"/>
          </w:r>
          <w:r>
            <w:instrText xml:space="preserve"> HYPERLINK \l "_Toc1642327804" </w:instrText>
          </w:r>
          <w:r>
            <w:fldChar w:fldCharType="separate"/>
          </w:r>
          <w:r>
            <w:rPr>
              <w:rFonts w:hint="eastAsia" w:asciiTheme="minorEastAsia" w:hAnsiTheme="minorEastAsia" w:eastAsiaTheme="minorEastAsia"/>
              <w:szCs w:val="15"/>
            </w:rPr>
            <w:t>水务管理方面20项</w:t>
          </w:r>
          <w:r>
            <w:tab/>
          </w:r>
          <w:r>
            <w:fldChar w:fldCharType="begin"/>
          </w:r>
          <w:r>
            <w:instrText xml:space="preserve"> PAGEREF _Toc1642327804 \h </w:instrText>
          </w:r>
          <w:r>
            <w:fldChar w:fldCharType="separate"/>
          </w:r>
          <w:r>
            <w:t>118</w:t>
          </w:r>
          <w:r>
            <w:fldChar w:fldCharType="end"/>
          </w:r>
          <w:r>
            <w:fldChar w:fldCharType="end"/>
          </w:r>
        </w:p>
        <w:p>
          <w:pPr>
            <w:pStyle w:val="16"/>
            <w:tabs>
              <w:tab w:val="right" w:leader="dot" w:pos="9582"/>
            </w:tabs>
          </w:pPr>
          <w:r>
            <w:fldChar w:fldCharType="begin"/>
          </w:r>
          <w:r>
            <w:instrText xml:space="preserve"> HYPERLINK \l "_Toc473764242" </w:instrText>
          </w:r>
          <w:r>
            <w:fldChar w:fldCharType="separate"/>
          </w:r>
          <w:r>
            <w:rPr>
              <w:rFonts w:hint="eastAsia" w:asciiTheme="minorEastAsia" w:hAnsiTheme="minorEastAsia" w:eastAsiaTheme="minorEastAsia"/>
              <w:szCs w:val="15"/>
            </w:rPr>
            <w:t>农业农村管理方面1项</w:t>
          </w:r>
          <w:r>
            <w:tab/>
          </w:r>
          <w:r>
            <w:fldChar w:fldCharType="begin"/>
          </w:r>
          <w:r>
            <w:instrText xml:space="preserve"> PAGEREF _Toc473764242 \h </w:instrText>
          </w:r>
          <w:r>
            <w:fldChar w:fldCharType="separate"/>
          </w:r>
          <w:r>
            <w:t>122</w:t>
          </w:r>
          <w:r>
            <w:fldChar w:fldCharType="end"/>
          </w:r>
          <w:r>
            <w:fldChar w:fldCharType="end"/>
          </w:r>
        </w:p>
        <w:p>
          <w:pPr>
            <w:pStyle w:val="16"/>
            <w:tabs>
              <w:tab w:val="right" w:leader="dot" w:pos="9582"/>
            </w:tabs>
          </w:pPr>
          <w:r>
            <w:fldChar w:fldCharType="begin"/>
          </w:r>
          <w:r>
            <w:instrText xml:space="preserve"> HYPERLINK \l "_Toc589852508" </w:instrText>
          </w:r>
          <w:r>
            <w:fldChar w:fldCharType="separate"/>
          </w:r>
          <w:r>
            <w:rPr>
              <w:rFonts w:hint="eastAsia" w:asciiTheme="minorEastAsia" w:hAnsiTheme="minorEastAsia" w:eastAsiaTheme="minorEastAsia"/>
              <w:szCs w:val="15"/>
            </w:rPr>
            <w:t>卫生健康管理方面12项</w:t>
          </w:r>
          <w:r>
            <w:tab/>
          </w:r>
          <w:r>
            <w:fldChar w:fldCharType="begin"/>
          </w:r>
          <w:r>
            <w:instrText xml:space="preserve"> PAGEREF _Toc589852508 \h </w:instrText>
          </w:r>
          <w:r>
            <w:fldChar w:fldCharType="separate"/>
          </w:r>
          <w:r>
            <w:t>122</w:t>
          </w:r>
          <w:r>
            <w:fldChar w:fldCharType="end"/>
          </w:r>
          <w:r>
            <w:fldChar w:fldCharType="end"/>
          </w:r>
        </w:p>
        <w:p>
          <w:pPr>
            <w:pStyle w:val="16"/>
            <w:tabs>
              <w:tab w:val="right" w:leader="dot" w:pos="9582"/>
            </w:tabs>
          </w:pPr>
          <w:r>
            <w:fldChar w:fldCharType="begin"/>
          </w:r>
          <w:r>
            <w:instrText xml:space="preserve"> HYPERLINK \l "_Toc979026322" </w:instrText>
          </w:r>
          <w:r>
            <w:fldChar w:fldCharType="separate"/>
          </w:r>
          <w:r>
            <w:rPr>
              <w:rFonts w:hint="eastAsia"/>
              <w:szCs w:val="21"/>
            </w:rPr>
            <w:t>住建部门</w:t>
          </w:r>
          <w:r>
            <w:tab/>
          </w:r>
          <w:r>
            <w:fldChar w:fldCharType="begin"/>
          </w:r>
          <w:r>
            <w:instrText xml:space="preserve"> PAGEREF _Toc979026322 \h </w:instrText>
          </w:r>
          <w:r>
            <w:fldChar w:fldCharType="separate"/>
          </w:r>
          <w:r>
            <w:t>124</w:t>
          </w:r>
          <w:r>
            <w:fldChar w:fldCharType="end"/>
          </w:r>
          <w:r>
            <w:fldChar w:fldCharType="end"/>
          </w:r>
        </w:p>
        <w:p>
          <w:pPr>
            <w:pStyle w:val="18"/>
            <w:tabs>
              <w:tab w:val="right" w:leader="dot" w:pos="9582"/>
            </w:tabs>
          </w:pPr>
          <w:r>
            <w:fldChar w:fldCharType="begin"/>
          </w:r>
          <w:r>
            <w:instrText xml:space="preserve"> HYPERLINK \l "_Toc1056450575" </w:instrText>
          </w:r>
          <w:r>
            <w:fldChar w:fldCharType="separate"/>
          </w:r>
          <w:r>
            <w:rPr>
              <w:rFonts w:hint="eastAsia"/>
              <w:szCs w:val="15"/>
            </w:rPr>
            <w:t>《北京市住房租赁条例》案由1项</w:t>
          </w:r>
          <w:r>
            <w:tab/>
          </w:r>
          <w:r>
            <w:fldChar w:fldCharType="begin"/>
          </w:r>
          <w:r>
            <w:instrText xml:space="preserve"> PAGEREF _Toc1056450575 \h </w:instrText>
          </w:r>
          <w:r>
            <w:fldChar w:fldCharType="separate"/>
          </w:r>
          <w:r>
            <w:t>124</w:t>
          </w:r>
          <w:r>
            <w:fldChar w:fldCharType="end"/>
          </w:r>
          <w:r>
            <w:fldChar w:fldCharType="end"/>
          </w:r>
        </w:p>
        <w:p>
          <w:pPr>
            <w:pStyle w:val="21"/>
          </w:pPr>
          <w:r>
            <w:fldChar w:fldCharType="end"/>
          </w:r>
        </w:p>
      </w:sdtContent>
    </w:sdt>
    <w:p>
      <w:pPr>
        <w:pStyle w:val="21"/>
      </w:pPr>
    </w:p>
    <w:p>
      <w:pPr>
        <w:pStyle w:val="21"/>
      </w:pPr>
    </w:p>
    <w:p>
      <w:pPr>
        <w:pStyle w:val="21"/>
      </w:pPr>
    </w:p>
    <w:p>
      <w:pPr>
        <w:pStyle w:val="21"/>
        <w:ind w:left="0" w:leftChars="0" w:firstLine="0" w:firstLineChars="0"/>
        <w:sectPr>
          <w:pgSz w:w="11850" w:h="16840"/>
          <w:pgMar w:top="907" w:right="1134" w:bottom="907" w:left="1134" w:header="851" w:footer="624" w:gutter="0"/>
          <w:pgNumType w:start="1"/>
          <w:cols w:space="0" w:num="1"/>
          <w:docGrid w:linePitch="634" w:charSpace="0"/>
        </w:sectPr>
      </w:pPr>
    </w:p>
    <w:p>
      <w:pPr>
        <w:pStyle w:val="21"/>
      </w:pPr>
    </w:p>
    <w:tbl>
      <w:tblPr>
        <w:tblStyle w:val="22"/>
        <w:tblW w:w="15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
        <w:gridCol w:w="677"/>
        <w:gridCol w:w="223"/>
        <w:gridCol w:w="857"/>
        <w:gridCol w:w="643"/>
        <w:gridCol w:w="857"/>
        <w:gridCol w:w="1290"/>
        <w:gridCol w:w="642"/>
        <w:gridCol w:w="751"/>
        <w:gridCol w:w="100"/>
        <w:gridCol w:w="567"/>
        <w:gridCol w:w="758"/>
        <w:gridCol w:w="1546"/>
        <w:gridCol w:w="901"/>
        <w:gridCol w:w="884"/>
        <w:gridCol w:w="2369"/>
        <w:gridCol w:w="16"/>
        <w:gridCol w:w="869"/>
        <w:gridCol w:w="339"/>
        <w:gridCol w:w="53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0" w:name="_Toc1748547838"/>
            <w:bookmarkStart w:id="1" w:name="_Toc110851435"/>
          </w:p>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2" w:name="_Toc489598213"/>
            <w:r>
              <w:rPr>
                <w:rFonts w:hint="eastAsia" w:ascii="黑体" w:hAnsi="黑体" w:eastAsia="黑体"/>
                <w:b w:val="0"/>
                <w:color w:val="000000" w:themeColor="text1"/>
                <w:sz w:val="24"/>
                <w:szCs w:val="24"/>
                <w14:textFill>
                  <w14:solidFill>
                    <w14:schemeClr w14:val="tx1"/>
                  </w14:solidFill>
                </w14:textFill>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rPr>
                <w:rFonts w:asciiTheme="minorEastAsia" w:hAnsiTheme="minorEastAsia" w:eastAsiaTheme="minorEastAsia"/>
                <w:color w:val="000000" w:themeColor="text1"/>
                <w:sz w:val="15"/>
                <w:szCs w:val="15"/>
                <w14:textFill>
                  <w14:solidFill>
                    <w14:schemeClr w14:val="tx1"/>
                  </w14:solidFill>
                </w14:textFill>
              </w:rPr>
            </w:pPr>
            <w:bookmarkStart w:id="3" w:name="_Toc1829194283"/>
            <w:bookmarkStart w:id="4" w:name="_Toc110851436"/>
            <w:bookmarkStart w:id="5" w:name="_Toc1944272260"/>
            <w:r>
              <w:rPr>
                <w:rFonts w:hint="eastAsia" w:asciiTheme="minorEastAsia" w:hAnsiTheme="minorEastAsia" w:eastAsiaTheme="minorEastAsia"/>
                <w:color w:val="000000" w:themeColor="text1"/>
                <w:sz w:val="15"/>
                <w:szCs w:val="15"/>
                <w14:textFill>
                  <w14:solidFill>
                    <w14:schemeClr w14:val="tx1"/>
                  </w14:solidFill>
                </w14:textFill>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bookmarkStart w:id="6" w:name="OLE_LINK1"/>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未按要求履行维护市容环境卫生责任</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【城镇地区】</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【农村地区】</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一条第一款，第二十三条第二款，及《关于印发北京市农村地区环境卫生责任区责任标准（试行）的通知》（京政管发〔2008〕49号）（根据具体情形，引用到相关条款）；处罚条款：第二十四条第二款，责令改正，并处200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（注：单位：</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元，下同</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注：即对变量系数不作硬性规定，执法实践中如需考虑变量系数，按照《基准》3.3、3.4等有关规定执行，下同。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存在其它从重处罚情形的，提交案审会决定。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擅自在临街的建筑物上设置装饰物品</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违反条款：第二十六条第一款第（三）项；处罚条款：第二十六条第二款，责令限期改正；逾期不改正的，强制拆除或者清除，并可处50元以上500元以下罚款。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建筑物顶部、外走廊等未保持整洁或堆物堆料</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8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规定区域内建筑物顶部、阳台外和窗外设置不符合容貌景观标准的设施</w:t>
            </w:r>
          </w:p>
        </w:tc>
        <w:tc>
          <w:tcPr>
            <w:tcW w:w="2789" w:type="dxa"/>
            <w:gridSpan w:val="3"/>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u w:val="single"/>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规定区域内建筑物顶部、阳台外和窗外吊挂、晾晒、摆放物品</w:t>
            </w:r>
          </w:p>
        </w:tc>
        <w:tc>
          <w:tcPr>
            <w:tcW w:w="2789" w:type="dxa"/>
            <w:gridSpan w:val="3"/>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规定区域内建筑物平台、阳台内堆放物品超出护栏高度</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5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违法建设</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300元／㎡</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（建筑物）</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为违法建筑面积</w:t>
            </w:r>
          </w:p>
        </w:tc>
        <w:tc>
          <w:tcPr>
            <w:tcW w:w="23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造价</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（构筑物、设施）</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按照法规规定执行。</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未按规定管护井盖雨箅</w:t>
            </w:r>
          </w:p>
        </w:tc>
        <w:tc>
          <w:tcPr>
            <w:tcW w:w="2789" w:type="dxa"/>
            <w:gridSpan w:val="3"/>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违反条款：第三十一条第一款；处罚条款：第三十一条第二款，责令改正，并可处200元以上2000元以下罚款。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井盖执法的其它案由，按照《北京市地下设施检查井井盖管理规定》执行。</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88" w:hRule="atLeast"/>
        </w:trPr>
        <w:tc>
          <w:tcPr>
            <w:tcW w:w="940" w:type="dxa"/>
            <w:gridSpan w:val="3"/>
            <w:shd w:val="clear" w:color="auto" w:fill="auto"/>
            <w:vAlign w:val="center"/>
          </w:tcPr>
          <w:p>
            <w:pPr>
              <w:pStyle w:val="7"/>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未经批准或未按照批准要求在公共场所设置设施</w:t>
            </w:r>
          </w:p>
        </w:tc>
        <w:tc>
          <w:tcPr>
            <w:tcW w:w="2789" w:type="dxa"/>
            <w:gridSpan w:val="3"/>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违反条款：第三十三条第一款；处罚条款：第三十三条第三款，责令限期拆除，逾期未拆除的，报经市或者区、县人民政府批准后，强制拆除。</w:t>
            </w:r>
          </w:p>
        </w:tc>
        <w:tc>
          <w:tcPr>
            <w:tcW w:w="851" w:type="dxa"/>
            <w:gridSpan w:val="2"/>
            <w:shd w:val="clear" w:color="auto" w:fill="auto"/>
            <w:vAlign w:val="center"/>
          </w:tcPr>
          <w:p>
            <w:pPr>
              <w:pStyle w:val="7"/>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pStyle w:val="7"/>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非罚款处罚。</w:t>
            </w:r>
          </w:p>
        </w:tc>
        <w:tc>
          <w:tcPr>
            <w:tcW w:w="1208" w:type="dxa"/>
            <w:gridSpan w:val="2"/>
            <w:shd w:val="clear" w:color="auto" w:fill="auto"/>
            <w:vAlign w:val="center"/>
          </w:tcPr>
          <w:p>
            <w:pPr>
              <w:pStyle w:val="7"/>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pStyle w:val="7"/>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未按规定管护公共设施</w:t>
            </w:r>
          </w:p>
        </w:tc>
        <w:tc>
          <w:tcPr>
            <w:tcW w:w="2789" w:type="dxa"/>
            <w:gridSpan w:val="3"/>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违反、处罚条款：第三十四条，责令限期改正，并可处500元以上5000元以下罚款。</w:t>
            </w:r>
          </w:p>
        </w:tc>
        <w:tc>
          <w:tcPr>
            <w:tcW w:w="851" w:type="dxa"/>
            <w:gridSpan w:val="2"/>
            <w:shd w:val="clear" w:color="auto" w:fill="auto"/>
            <w:vAlign w:val="center"/>
          </w:tcPr>
          <w:p>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擅自摆摊设点</w:t>
            </w:r>
          </w:p>
        </w:tc>
        <w:tc>
          <w:tcPr>
            <w:tcW w:w="2789" w:type="dxa"/>
            <w:gridSpan w:val="3"/>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违反条款：第三十五条第一款；处罚条款：第三十五条第五款，责令改正，没收违法所得和非法财物，并可处500元以上5000元以下的罚款。</w:t>
            </w:r>
          </w:p>
        </w:tc>
        <w:tc>
          <w:tcPr>
            <w:tcW w:w="851" w:type="dxa"/>
            <w:gridSpan w:val="2"/>
            <w:shd w:val="clear" w:color="auto" w:fill="auto"/>
            <w:vAlign w:val="center"/>
          </w:tcPr>
          <w:p>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使用畜力车、农用运输车及其它机动车、电动车为工具的，系数为1；2.占用过街桥、地下过街通道的，系数为1；3.占用非机动车道或者其它公共场所，面积较大，系数为1；4.占用无障碍设施或者机动车道的，系数为2；5.摆设摊点经营现场加工制作的食品的，系数2；6.造成交通秩序、市容秩序严重混乱的，系数5；7.摆设摊点经营违禁品的，系数9。</w:t>
            </w:r>
          </w:p>
        </w:tc>
        <w:tc>
          <w:tcPr>
            <w:tcW w:w="1785"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p>
            <w:pPr>
              <w:pStyle w:val="21"/>
              <w:spacing w:after="0" w:line="230" w:lineRule="exact"/>
              <w:ind w:firstLine="300"/>
              <w:rPr>
                <w:rFonts w:cs="宋体" w:asciiTheme="minorEastAsia" w:hAnsiTheme="minorEastAsia" w:eastAsiaTheme="minorEastAsia"/>
                <w:color w:val="000000" w:themeColor="text1"/>
                <w:kern w:val="0"/>
                <w:sz w:val="15"/>
                <w:szCs w:val="15"/>
                <w14:textFill>
                  <w14:solidFill>
                    <w14:schemeClr w14:val="tx1"/>
                  </w14:solidFill>
                </w14:textFill>
              </w:rPr>
            </w:pPr>
          </w:p>
          <w:p>
            <w:pPr>
              <w:pStyle w:val="21"/>
              <w:spacing w:after="0" w:line="230" w:lineRule="exact"/>
              <w:ind w:firstLine="300"/>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有</w:t>
            </w:r>
            <w:r>
              <w:rPr>
                <w:rFonts w:cs="宋体" w:asciiTheme="minorEastAsia" w:hAnsiTheme="minorEastAsia" w:eastAsiaTheme="minorEastAsia"/>
                <w:color w:val="000000" w:themeColor="text1"/>
                <w:kern w:val="0"/>
                <w:sz w:val="15"/>
                <w:szCs w:val="15"/>
                <w14:textFill>
                  <w14:solidFill>
                    <w14:schemeClr w14:val="tx1"/>
                  </w14:solidFill>
                </w14:textFill>
              </w:rPr>
              <w:t>生活困难，提出从轻处罚申请的，情节系数和变量系数可为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p>
        </w:tc>
        <w:tc>
          <w:tcPr>
            <w:tcW w:w="2385"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2.本案由中的“违法所得”主要指行为人通过实施违法行为所取得的款项，“非法财物”主要指违禁物品</w:t>
            </w:r>
            <w:r>
              <w:rPr>
                <w:rFonts w:cs="宋体" w:asciiTheme="minorEastAsia" w:hAnsiTheme="minorEastAsia" w:eastAsiaTheme="minorEastAsia"/>
                <w:color w:val="000000" w:themeColor="text1"/>
                <w:kern w:val="0"/>
                <w:sz w:val="15"/>
                <w:szCs w:val="15"/>
                <w14:textFill>
                  <w14:solidFill>
                    <w14:schemeClr w14:val="tx1"/>
                  </w14:solidFill>
                </w14:textFill>
              </w:rPr>
              <w:t>或者用以实施违法行为的工具，</w:t>
            </w:r>
            <w:r>
              <w:rPr>
                <w:rFonts w:hint="eastAsia" w:cs="宋体" w:asciiTheme="minorEastAsia" w:hAnsiTheme="minorEastAsia" w:eastAsiaTheme="minorEastAsia"/>
                <w:color w:val="000000" w:themeColor="text1"/>
                <w:kern w:val="0"/>
                <w:sz w:val="15"/>
                <w:szCs w:val="15"/>
                <w14:textFill>
                  <w14:solidFill>
                    <w14:schemeClr w14:val="tx1"/>
                  </w14:solidFill>
                </w14:textFill>
              </w:rPr>
              <w:t>而</w:t>
            </w:r>
            <w:r>
              <w:rPr>
                <w:rFonts w:cs="宋体" w:asciiTheme="minorEastAsia" w:hAnsiTheme="minorEastAsia" w:eastAsiaTheme="minorEastAsia"/>
                <w:color w:val="000000" w:themeColor="text1"/>
                <w:kern w:val="0"/>
                <w:sz w:val="15"/>
                <w:szCs w:val="15"/>
                <w14:textFill>
                  <w14:solidFill>
                    <w14:schemeClr w14:val="tx1"/>
                  </w14:solidFill>
                </w14:textFill>
              </w:rPr>
              <w:t>工具的范畴需与违法行为直接关联，是否实施没收，需要考虑是否违背行政行为适当性和合理性</w:t>
            </w:r>
            <w:r>
              <w:rPr>
                <w:rFonts w:hint="eastAsia" w:cs="宋体" w:asciiTheme="minorEastAsia" w:hAnsiTheme="minorEastAsia" w:eastAsiaTheme="minorEastAsia"/>
                <w:color w:val="000000" w:themeColor="text1"/>
                <w:kern w:val="0"/>
                <w:sz w:val="15"/>
                <w:szCs w:val="15"/>
                <w14:textFill>
                  <w14:solidFill>
                    <w14:schemeClr w14:val="tx1"/>
                  </w14:solidFill>
                </w14:textFill>
              </w:rPr>
              <w:t>等</w:t>
            </w:r>
            <w:r>
              <w:rPr>
                <w:rFonts w:cs="宋体" w:asciiTheme="minorEastAsia" w:hAnsiTheme="minorEastAsia" w:eastAsiaTheme="minorEastAsia"/>
                <w:color w:val="000000" w:themeColor="text1"/>
                <w:kern w:val="0"/>
                <w:sz w:val="15"/>
                <w:szCs w:val="15"/>
                <w14:textFill>
                  <w14:solidFill>
                    <w14:schemeClr w14:val="tx1"/>
                  </w14:solidFill>
                </w14:textFill>
              </w:rPr>
              <w:t>原则。</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6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乱堆物料</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违反条款：第三十五条第一款；处罚条款：第三十五条第五款，责令改正，没收违法所得和非法财物，并可处500元以上5000元以下的罚款。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其它公共场所，面积较大，或者造成通行秩序、市容秩序混乱的，系数为1；2.在公共绿地、燃气、热力等保护范围、管理范围堆放，或者占用过街桥、地下过街通道的，系数为1-3；3.占用无障碍设施或者机动车道的，系数为4-6；4.造成人员伤亡的，系数7-9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2.确需给予5000元以上2万元以下罚款的，可酌情按照“擅自占用城市道路”案由查处。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5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未按规定举办活动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处罚条款：第三十五条第五款：责令改正，并可处1000元以上1万元以下的罚款。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店外经营</w:t>
            </w:r>
          </w:p>
        </w:tc>
        <w:tc>
          <w:tcPr>
            <w:tcW w:w="2789" w:type="dxa"/>
            <w:gridSpan w:val="3"/>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违反条款：第三十五条第三款；</w:t>
            </w: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处罚条款：第三十五条第五款：责令改正，并可处300元以上3000元以下的罚款。</w:t>
            </w:r>
          </w:p>
        </w:tc>
        <w:tc>
          <w:tcPr>
            <w:tcW w:w="851" w:type="dxa"/>
            <w:gridSpan w:val="2"/>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1.占用非机动车道或者其它公共场所，面积较大，系数1;2.占用无障碍设施或者机动车道、绿地的，系数为2；3.店外经营餐饮的，系数2；4.造成交通秩序、市容秩序严重混乱的，系数5；5.经营违禁品的，系数9。</w:t>
            </w:r>
          </w:p>
        </w:tc>
        <w:tc>
          <w:tcPr>
            <w:tcW w:w="17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在城市道路及其它公共场所晾晒衣物、吊挂物品</w:t>
            </w:r>
          </w:p>
        </w:tc>
        <w:tc>
          <w:tcPr>
            <w:tcW w:w="2789" w:type="dxa"/>
            <w:gridSpan w:val="3"/>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违反条款：第三十六条第一款；</w:t>
            </w:r>
          </w:p>
          <w:p>
            <w:pPr>
              <w:spacing w:line="210"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处罚条款：第三十六条第二款：责令改正，并可处20元以上50元以下罚款。</w:t>
            </w:r>
          </w:p>
        </w:tc>
        <w:tc>
          <w:tcPr>
            <w:tcW w:w="851" w:type="dxa"/>
            <w:gridSpan w:val="2"/>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违反规划设置户外广告设施</w:t>
            </w:r>
          </w:p>
        </w:tc>
        <w:tc>
          <w:tcPr>
            <w:tcW w:w="2789" w:type="dxa"/>
            <w:gridSpan w:val="3"/>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违反条款：第三十八条第一款；</w:t>
            </w: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处罚条款：第三十八条第二款 责令限期拆除，逾期未拆除的，强制拆除，并可处1万元以上10万元以下罚款。</w:t>
            </w:r>
          </w:p>
        </w:tc>
        <w:tc>
          <w:tcPr>
            <w:tcW w:w="851" w:type="dxa"/>
            <w:gridSpan w:val="2"/>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cs="宋体" w:asciiTheme="minorEastAsia" w:hAnsiTheme="minorEastAsia" w:eastAsiaTheme="minorEastAsia"/>
                <w:color w:val="000000" w:themeColor="text1"/>
                <w:spacing w:val="-3"/>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3"/>
                <w:kern w:val="0"/>
                <w:sz w:val="15"/>
                <w:szCs w:val="15"/>
                <w14:textFill>
                  <w14:solidFill>
                    <w14:schemeClr w14:val="tx1"/>
                  </w14:solidFill>
                </w14:textFill>
              </w:rPr>
              <w:t>在严</w:t>
            </w:r>
            <w:r>
              <w:rPr>
                <w:rFonts w:hint="eastAsia" w:asciiTheme="minorEastAsia" w:hAnsiTheme="minorEastAsia" w:eastAsiaTheme="minorEastAsia"/>
                <w:color w:val="000000" w:themeColor="text1"/>
                <w:spacing w:val="-3"/>
                <w:sz w:val="15"/>
                <w:szCs w:val="15"/>
                <w14:textFill>
                  <w14:solidFill>
                    <w14:schemeClr w14:val="tx1"/>
                  </w14:solidFill>
                </w14:textFill>
              </w:rPr>
              <w:t>禁设置区或者严格限制设置区域擅自设置户外广告设施，擅自设置大型单立柱或者大型附着式户外广告设施的，设置户外广告设施同时不符合安全技术标准的，系数5-9。</w:t>
            </w:r>
          </w:p>
        </w:tc>
        <w:tc>
          <w:tcPr>
            <w:tcW w:w="17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设置户外广告设施不符合安全技术标准</w:t>
            </w:r>
          </w:p>
        </w:tc>
        <w:tc>
          <w:tcPr>
            <w:tcW w:w="2789" w:type="dxa"/>
            <w:gridSpan w:val="3"/>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违反条款：第三十八条第一款；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处罚条款：第三十八条第二款 责令限期拆除，逾期未拆除的，强制拆除，并可处1万元以上10万元以下罚款。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在环路、高（快）速路两侧，或者车站、机场、居民小区、医院、学校、体育场馆、影剧院、繁华商业街区、旅游景区等人口集中地区设置不符合标准设施的，系数2。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p>
            <w:pPr>
              <w:pStyle w:val="21"/>
              <w:spacing w:after="0" w:line="232" w:lineRule="exact"/>
              <w:ind w:firstLine="300"/>
              <w:rPr>
                <w:rFonts w:asciiTheme="minorEastAsia" w:hAnsiTheme="minorEastAsia" w:eastAsiaTheme="minorEastAsia"/>
                <w:color w:val="000000" w:themeColor="text1"/>
                <w:sz w:val="15"/>
                <w:szCs w:val="15"/>
                <w14:textFill>
                  <w14:solidFill>
                    <w14:schemeClr w14:val="tx1"/>
                  </w14:solidFill>
                </w14:textFill>
              </w:rPr>
            </w:pPr>
          </w:p>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同时存在违</w:t>
            </w:r>
            <w:r>
              <w:rPr>
                <w:rFonts w:hint="eastAsia" w:cs="宋体" w:asciiTheme="minorEastAsia" w:hAnsiTheme="minorEastAsia" w:eastAsiaTheme="minorEastAsia"/>
                <w:color w:val="000000" w:themeColor="text1"/>
                <w:kern w:val="0"/>
                <w:sz w:val="15"/>
                <w:szCs w:val="15"/>
                <w14:textFill>
                  <w14:solidFill>
                    <w14:schemeClr w14:val="tx1"/>
                  </w14:solidFill>
                </w14:textFill>
              </w:rPr>
              <w:t>反规划设置情形的，按照“违反规划设置户外广告设施”案由执行和裁量。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4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未按规定设置牌匾标识</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违反、处罚条款：第三十九第一款 责令限期改正，逾期不改正的，予以强制拆除，并可处500元以上5000元以下罚款。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5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未按规定管护牌匾标识</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违反、处罚条款：第三十九第二款 责令停止使用，限期修复，并可处500元以上5000元以下罚款。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擅自（散发、悬挂、张贴、刻画、涂写、喷涂）宣传品、广告</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违反、处罚条款：第四十一条第一款 责令清除，没收非法财物和违法所得，并处100元以上1000元以下罚款；情节严重的，处1000元以上1万元以下罚款。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1.散发，系数为1；</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2.张贴、悬挂，系数为2；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3.刻画、涂写、喷涂，系数为3。</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2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1000（情节严重）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1.因散发、悬挂等行为影响交通通行的，系数为2；2.张贴、喷涂等污损名胜古迹的，或者严重污损市政、环卫、电信等设施、城市道路、墙体的，系数5；3.其它情形按照《基准》的规定执行。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3.现场发现小广告数量达到500张以上，悬挂、张贴达到20张以上的，刻画、喷涂、涂写达到10条以上的，按照此档实施处罚。</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5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u w:val="single"/>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擅自利用或者组织（张贴、涂写、刻画、喷涂、散发）（标语、宣传品、广告）进行宣传</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违反、处罚条款：第四十一条第二款没收非法财物和违法所得，并处1万元以上10万元以下罚款；情节严重的，处10万元以上50万元以下罚款。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1.散发，系数为1；</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2.张贴，系数为2；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3.刻画、涂写、喷涂，系数为3；</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4.其它按照《基准》的规定执行。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u w:val="single"/>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u w:val="single"/>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96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100000（情节严重）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组织利用</w:t>
            </w:r>
            <w:r>
              <w:rPr>
                <w:rFonts w:cs="宋体" w:asciiTheme="minorEastAsia" w:hAnsiTheme="minorEastAsia" w:eastAsiaTheme="minorEastAsia"/>
                <w:color w:val="000000" w:themeColor="text1"/>
                <w:kern w:val="0"/>
                <w:sz w:val="15"/>
                <w:szCs w:val="15"/>
                <w14:textFill>
                  <w14:solidFill>
                    <w14:schemeClr w14:val="tx1"/>
                  </w14:solidFill>
                </w14:textFill>
              </w:rPr>
              <w:t>不满十周岁的未成年</w:t>
            </w:r>
            <w:r>
              <w:rPr>
                <w:rFonts w:hint="eastAsia" w:cs="宋体" w:asciiTheme="minorEastAsia" w:hAnsiTheme="minorEastAsia" w:eastAsiaTheme="minorEastAsia"/>
                <w:color w:val="000000" w:themeColor="text1"/>
                <w:kern w:val="0"/>
                <w:sz w:val="15"/>
                <w:szCs w:val="15"/>
                <w14:textFill>
                  <w14:solidFill>
                    <w14:schemeClr w14:val="tx1"/>
                  </w14:solidFill>
                </w14:textFill>
              </w:rPr>
              <w:t>人进行宣传的；组织利用三名以上（含三名）</w:t>
            </w:r>
            <w:r>
              <w:rPr>
                <w:rFonts w:cs="宋体" w:asciiTheme="minorEastAsia" w:hAnsiTheme="minorEastAsia" w:eastAsiaTheme="minorEastAsia"/>
                <w:color w:val="000000" w:themeColor="text1"/>
                <w:kern w:val="0"/>
                <w:sz w:val="15"/>
                <w:szCs w:val="15"/>
                <w14:textFill>
                  <w14:solidFill>
                    <w14:schemeClr w14:val="tx1"/>
                  </w14:solidFill>
                </w14:textFill>
              </w:rPr>
              <w:t>十周岁以上的</w:t>
            </w:r>
            <w:r>
              <w:rPr>
                <w:rFonts w:hint="eastAsia" w:cs="宋体" w:asciiTheme="minorEastAsia" w:hAnsiTheme="minorEastAsia" w:eastAsiaTheme="minorEastAsia"/>
                <w:color w:val="000000" w:themeColor="text1"/>
                <w:kern w:val="0"/>
                <w:sz w:val="15"/>
                <w:szCs w:val="15"/>
                <w14:textFill>
                  <w14:solidFill>
                    <w14:schemeClr w14:val="tx1"/>
                  </w14:solidFill>
                </w14:textFill>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未按规划要求设置夜景照明设施</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违反条款：第四十三条第一款；</w:t>
            </w:r>
          </w:p>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处罚条款：第四十三条第四款 责令限期改正，逾期不改正的，处500元以上5000元以下罚款。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未经审核实施夜景照明方案</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违反条款：第四十三条第二款；</w:t>
            </w:r>
          </w:p>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处罚条款：第四十三条第四款 责令限期改正，逾期不改正的，处500元以上5000元以下罚款。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24</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未按照许可要求设置夜景照明设施</w:t>
            </w:r>
          </w:p>
        </w:tc>
        <w:tc>
          <w:tcPr>
            <w:tcW w:w="2789" w:type="dxa"/>
            <w:gridSpan w:val="3"/>
            <w:shd w:val="clear" w:color="auto" w:fill="auto"/>
            <w:vAlign w:val="center"/>
          </w:tcPr>
          <w:p>
            <w:pPr>
              <w:spacing w:line="250"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违反条款：第四十三条第四款；处罚条款：第四十三条第四款 责令限期改正，逾期不改正的，处500元以上5000元以下罚款。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未按规定管护照明设施</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违反、处罚条款：第四十四条第二款 责令限期改正；逾期不改正的，可处500元以上1000元以下罚款。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26</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未按规定开闭照明设施</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违反、处罚条款：第四十四条第二款 责令限期改正；逾期不改正的，可处500元以上1000元以下罚款。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27</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未按规定清扫保洁</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违反、处罚条款：第四十五条 责令改正，并可处100元以上1000元以下罚款。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28</w:t>
            </w:r>
          </w:p>
        </w:tc>
        <w:tc>
          <w:tcPr>
            <w:tcW w:w="1500" w:type="dxa"/>
            <w:gridSpan w:val="2"/>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建设工程未按规定设置围挡、临时厕所和垃圾收集设施</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未设置围挡的行为，优先适用《大气污染防治法》等相关案由和裁量，以此案由为补充。对“未对围挡进行维护”等行为，参照适用《北京市大气污染防治条例》《北京市建设工程施工现场管理办法》相关案由和裁量。</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29</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建设工程未按规定采取防尘措施</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以下的，系数0；11－25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的，系数1；26－40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优先适用《中华人民共和国大气污染防治法》规定的“施工单位未采取有效防尘降尘措施”等案由和裁量，以此案由为补充。</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w:t>
            </w:r>
          </w:p>
        </w:tc>
        <w:tc>
          <w:tcPr>
            <w:tcW w:w="1500" w:type="dxa"/>
            <w:gridSpan w:val="2"/>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建设工程现场污水流溢</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建筑垃圾未日产日清</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3"/>
                <w:szCs w:val="13"/>
                <w14:textFill>
                  <w14:solidFill>
                    <w14:schemeClr w14:val="tx1"/>
                  </w14:solidFill>
                </w14:textFill>
              </w:rPr>
              <w:t>1.垃圾占地面积10㎡</w:t>
            </w:r>
            <w:r>
              <w:rPr>
                <w:rFonts w:hint="eastAsia" w:cs="仿宋_GB2312" w:asciiTheme="minorEastAsia" w:hAnsiTheme="minorEastAsia" w:eastAsiaTheme="minorEastAsia"/>
                <w:color w:val="000000" w:themeColor="text1"/>
                <w:kern w:val="0"/>
                <w:sz w:val="13"/>
                <w:szCs w:val="13"/>
                <w14:textFill>
                  <w14:solidFill>
                    <w14:schemeClr w14:val="tx1"/>
                  </w14:solidFill>
                </w14:textFill>
              </w:rPr>
              <w:t>以下的，系数</w:t>
            </w:r>
            <w:r>
              <w:rPr>
                <w:rFonts w:hint="eastAsia" w:cs="宋体" w:asciiTheme="minorEastAsia" w:hAnsiTheme="minorEastAsia" w:eastAsiaTheme="minorEastAsia"/>
                <w:color w:val="000000" w:themeColor="text1"/>
                <w:kern w:val="0"/>
                <w:sz w:val="13"/>
                <w:szCs w:val="13"/>
                <w14:textFill>
                  <w14:solidFill>
                    <w14:schemeClr w14:val="tx1"/>
                  </w14:solidFill>
                </w14:textFill>
              </w:rPr>
              <w:t>0；11－15㎡</w:t>
            </w:r>
            <w:r>
              <w:rPr>
                <w:rFonts w:hint="eastAsia" w:cs="仿宋_GB2312" w:asciiTheme="minorEastAsia" w:hAnsiTheme="minorEastAsia" w:eastAsiaTheme="minorEastAsia"/>
                <w:color w:val="000000" w:themeColor="text1"/>
                <w:kern w:val="0"/>
                <w:sz w:val="13"/>
                <w:szCs w:val="13"/>
                <w14:textFill>
                  <w14:solidFill>
                    <w14:schemeClr w14:val="tx1"/>
                  </w14:solidFill>
                </w14:textFill>
              </w:rPr>
              <w:t>的，系</w:t>
            </w:r>
            <w:r>
              <w:rPr>
                <w:rFonts w:hint="eastAsia" w:cs="宋体" w:asciiTheme="minorEastAsia" w:hAnsiTheme="minorEastAsia" w:eastAsiaTheme="minorEastAsia"/>
                <w:color w:val="000000" w:themeColor="text1"/>
                <w:kern w:val="0"/>
                <w:sz w:val="13"/>
                <w:szCs w:val="13"/>
                <w14:textFill>
                  <w14:solidFill>
                    <w14:schemeClr w14:val="tx1"/>
                  </w14:solidFill>
                </w14:textFill>
              </w:rPr>
              <w:t>数1；16－20㎡</w:t>
            </w:r>
            <w:r>
              <w:rPr>
                <w:rFonts w:hint="eastAsia" w:cs="仿宋_GB2312" w:asciiTheme="minorEastAsia" w:hAnsiTheme="minorEastAsia" w:eastAsiaTheme="minorEastAsia"/>
                <w:color w:val="000000" w:themeColor="text1"/>
                <w:kern w:val="0"/>
                <w:sz w:val="13"/>
                <w:szCs w:val="13"/>
                <w14:textFill>
                  <w14:solidFill>
                    <w14:schemeClr w14:val="tx1"/>
                  </w14:solidFill>
                </w14:textFill>
              </w:rPr>
              <w:t>系数</w:t>
            </w:r>
            <w:r>
              <w:rPr>
                <w:rFonts w:hint="eastAsia" w:cs="宋体" w:asciiTheme="minorEastAsia" w:hAnsiTheme="minorEastAsia" w:eastAsiaTheme="minorEastAsia"/>
                <w:color w:val="000000" w:themeColor="text1"/>
                <w:kern w:val="0"/>
                <w:sz w:val="13"/>
                <w:szCs w:val="13"/>
                <w14:textFill>
                  <w14:solidFill>
                    <w14:schemeClr w14:val="tx1"/>
                  </w14:solidFill>
                </w14:textFill>
              </w:rPr>
              <w:t>2，以此类推。2.逾期不清的，每逾期2天，系数为１，以此累加。3.造成尘土飞扬，严重污染环境的，系数为9。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优先适用《中华人民共和国大气污染防治法》“未及时清运建筑土方（工程渣土、建筑垃圾）”等案由和裁量，以此案由为补充。</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未及时清除施工弃物弃料或者临时设施</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1.废料占地面积10㎡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2，以此类推。2.逾期不清除临时设施的，每逾期５天，系数为１，以此累加。</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公共设施管护作业未按规定清除废弃物</w:t>
            </w:r>
            <w:r>
              <w:rPr>
                <w:rFonts w:hint="eastAsia" w:asciiTheme="minorEastAsia" w:hAnsiTheme="minorEastAsia" w:eastAsiaTheme="minorEastAsia"/>
                <w:color w:val="000000" w:themeColor="text1"/>
                <w:sz w:val="15"/>
                <w:szCs w:val="15"/>
                <w14:textFill>
                  <w14:solidFill>
                    <w14:schemeClr w14:val="tx1"/>
                  </w14:solidFill>
                </w14:textFill>
              </w:rPr>
              <w:t xml:space="preserve"> </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违反、处罚条款：第四十七条 责令限期清理，并可处500元以上5000元以下罚款。</w:t>
            </w: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城市绿地管理养护单位未保持绿地整洁</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违反、处罚条款：第四十八条 责令限期改正，并可处500元以上5000元以下罚款。</w:t>
            </w: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绿化作业未按规定清除废弃物</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违反、处罚条款：第四十八条 责令限期改正，并可处500元以上5000元以下罚款。</w:t>
            </w: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36</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占用公共场所从事车辆清洗、维修业务</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违反条款：第五十条第一款；</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处罚条款：第五十第三款 责令改正，并处50元以上300元以下罚款；情节严重的，处300元以上3000元以下罚款。</w:t>
            </w: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1.占用非机动车道或者占用其它公共场所面积较大，或者造成通行秩序、市容秩序混乱的，系数为1；2.占用无障碍设施、机动车道、绿地的，系数2。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构成变量系数一栏中相关情节的，视为情节严重，适用此档处罚。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37</w:t>
            </w:r>
          </w:p>
        </w:tc>
        <w:tc>
          <w:tcPr>
            <w:tcW w:w="1500" w:type="dxa"/>
            <w:gridSpan w:val="2"/>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车辆作业场所环境脏乱</w:t>
            </w:r>
          </w:p>
        </w:tc>
        <w:tc>
          <w:tcPr>
            <w:tcW w:w="2789" w:type="dxa"/>
            <w:gridSpan w:val="3"/>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违反条款：第五十条第二款；</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处罚条款：第五十条第三款 责令改正，并处50元以上300元以下罚款；情节严重的，处300元以上3000元以下罚款。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w:t>
            </w:r>
          </w:p>
        </w:tc>
        <w:tc>
          <w:tcPr>
            <w:tcW w:w="2385" w:type="dxa"/>
            <w:gridSpan w:val="2"/>
            <w:shd w:val="clear" w:color="auto" w:fill="auto"/>
            <w:vAlign w:val="center"/>
          </w:tcPr>
          <w:p>
            <w:pPr>
              <w:spacing w:line="240"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污染面积5㎡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以内的，系数为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0；6㎡</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违法行为发生在一类地区的，或者构成《基准》3.2相关情节之一的，视为情节严重。</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2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38</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废品收购场所环境脏乱</w:t>
            </w:r>
          </w:p>
        </w:tc>
        <w:tc>
          <w:tcPr>
            <w:tcW w:w="2789" w:type="dxa"/>
            <w:gridSpan w:val="3"/>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违反、处罚条款：第五十一条 责令限期改正，并处300元以上3000元以下罚款。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脏乱占地面积10㎡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3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39</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焚烧废旧物品</w:t>
            </w:r>
          </w:p>
        </w:tc>
        <w:tc>
          <w:tcPr>
            <w:tcW w:w="2789" w:type="dxa"/>
            <w:gridSpan w:val="3"/>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焚烧垃圾、电子废物、油毡、橡胶、塑料、皮革、沥青的，按照《大气污染防治法》和《北京市大气污染防治条例》的相关案由执行。其它需要从轻处罚的，报案审会决定。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40</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废品储存场所未采取遮挡措施</w:t>
            </w:r>
          </w:p>
        </w:tc>
        <w:tc>
          <w:tcPr>
            <w:tcW w:w="2789" w:type="dxa"/>
            <w:gridSpan w:val="3"/>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随地吐痰</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违反条款：第五十二条第一款第（一）项；</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 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47"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95"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42</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随地便溺</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违反条款：第五十二条第一款第（一）项；</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 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13"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43</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随地丢弃废弃物</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违反条款：第五十二条第一款第（二）项；</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 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6"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31"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44</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乱倒污水、垃圾</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违反条款：第五十二条第一款第（三）项；</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37"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33"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焚烧树叶、垃圾</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违反条款：第五十二条第一款第（三）项；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47"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9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在城镇地区饲养家禽家畜</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违反、处罚条款：第五十三条第一款责令限期改正，并可按照每只（头）处20元以上50元以下罚款。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根据实际情况执行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饲养鸽子影响市容环境卫生</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违反、处罚条款：第五十三条第二款责令限期改正，并处50元以上500元以下罚款；严重影响市容环境卫生和周围居民正常生活的，可以责令拆除鸽舍。</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1.导致建筑物外立面污损的，系数3；2.导致地面污染面积5㎡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以上的，系数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2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擅自设置建筑垃圾、渣土消纳场所</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违反、处罚条款：第五十五条 责令改正，并处5000元以上1万元以下罚款。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未按规定管护公共厕所</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违反、处罚条款：第五十七条第二款 责令限期改正，并可处500元以上3000元以下罚款。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致使车站、机场、居民小区、医院、学校、体育场馆、影剧院、繁华商业街区、旅游景区等人口集中地区周边公共厕所不能正常使用的，系数为1。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9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未按规定排入粪便</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违反条款：第五十八条第一款；处罚条款：第五十八条第三款 责令改正，并处1000元以上2000元以下罚款。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8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未按规定清掏（运输）粪便</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违反条款：第五十八条第二款；处罚条款：第五十八条第三款 责令改正，并处1000元以上2000元以下罚款。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52</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随意倾倒粪便</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违反条款：第五十八条第二款；处罚条款：第五十八条第三款 随意倾倒粪便的，处5000元以上5万元以下罚款。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1．垃圾占地面积在</w:t>
            </w:r>
            <w:r>
              <w:rPr>
                <w:rFonts w:hint="eastAsia" w:cs="宋体" w:asciiTheme="minorEastAsia" w:hAnsiTheme="minorEastAsia" w:eastAsiaTheme="minorEastAsia"/>
                <w:b/>
                <w:color w:val="000000" w:themeColor="text1"/>
                <w:kern w:val="0"/>
                <w:sz w:val="15"/>
                <w:szCs w:val="15"/>
                <w14:textFill>
                  <w14:solidFill>
                    <w14:schemeClr w14:val="tx1"/>
                  </w14:solidFill>
                </w14:textFill>
              </w:rPr>
              <w:t>5</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1；6－10㎡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2；以此类推；2.倾倒在绿地、公厕、城市道路等公共场所，或者燃气、供暖等公用管道和设施保护（管理）范围的，或者农田内的，系数3。</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53</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环卫设施未经验收（验收不合格）投入使用</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违反条款：第六十条第二款；</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处罚条款：第六十条第三款 责令限期改正，并处5000元以上3万元以下罚款。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车站、机场、居民小区、医院、学校、体育场馆、影剧院、繁华商业街区、旅游景区等人口集中地区环卫设施未经验收或者验收不合格投入使用的，系数为1。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3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54</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擅自占用、损毁环卫设施</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违反条款：第六十一条第一款；</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处罚条款：第六十一条第三款 责令恢复原状或者赔偿损失，并处500元以上3000元以下罚款。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占用、损毁车站、机场、居民小区、医院、学校、体育场馆、影剧院、繁华商业街区、旅游景区等人口集中地区环卫设施的，系数为1。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擅自拆除、迁移、改建、停用环卫设施</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处罚条款：第六十一条第三款 责令改正，并可处5000元以上5万元以下罚款。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拆除、迁移、改建、停用车站、机场、居民小区、医院、学校、体育场馆、影剧院、繁华商业街区、旅游景区等人口集中地区环卫设施的，系数为1。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5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擅自改变环卫设施用途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处罚条款：第六十一条第三款 责令改正，并可处5000元以上5万元以下罚款。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擅自改变车站、机场、居民小区、医院、学校、体育场馆、影剧院、繁华商业街区、旅游景区等人口集中地区环卫设施的，系数为1。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 w:name="_Toc110851437"/>
            <w:bookmarkStart w:id="8" w:name="_Toc1688144003"/>
            <w:bookmarkStart w:id="9" w:name="_Toc1542301765"/>
            <w:r>
              <w:rPr>
                <w:rFonts w:hint="eastAsia" w:asciiTheme="minorEastAsia" w:hAnsiTheme="minorEastAsia" w:eastAsiaTheme="minorEastAsia"/>
                <w:color w:val="000000" w:themeColor="text1"/>
                <w:sz w:val="15"/>
                <w:szCs w:val="15"/>
                <w14:textFill>
                  <w14:solidFill>
                    <w14:schemeClr w14:val="tx1"/>
                  </w14:solidFill>
                </w14:textFill>
              </w:rPr>
              <w:t>《北京市生活垃圾管理条例》案由</w:t>
            </w:r>
            <w:r>
              <w:rPr>
                <w:rFonts w:asciiTheme="minorEastAsia" w:hAnsiTheme="minorEastAsia" w:eastAsiaTheme="minorEastAsia"/>
                <w:color w:val="000000" w:themeColor="text1"/>
                <w:sz w:val="15"/>
                <w:szCs w:val="15"/>
                <w14:textFill>
                  <w14:solidFill>
                    <w14:schemeClr w14:val="tx1"/>
                  </w14:solidFill>
                </w14:textFill>
              </w:rPr>
              <w:t>36</w:t>
            </w:r>
            <w:r>
              <w:rPr>
                <w:rFonts w:hint="eastAsia" w:asciiTheme="minorEastAsia" w:hAnsiTheme="minorEastAsia" w:eastAsiaTheme="minorEastAsia"/>
                <w:color w:val="000000" w:themeColor="text1"/>
                <w:sz w:val="15"/>
                <w:szCs w:val="15"/>
                <w14:textFill>
                  <w14:solidFill>
                    <w14:schemeClr w14:val="tx1"/>
                  </w14:solidFill>
                </w14:textFill>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589"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主动向消费者提供一次性用品</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违反条款：第二十六条第二款；处罚条款：第六十六条第二款 责令立即改正，处五千元以上一万元以下罚款；再次违反规定的，处一万元以上五万元以下罚款。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5000（初次违反）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1．特大型、大型餐饮经营者，变量系数为1；（以餐饮服务许可标注的类别为准）</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2.旅馆经营单位，符合《星级饭店评定标准》四星及以上的或至少有40间（套）可供出租的客房的，变量系数为1。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初次违反适用此情形。</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10000（再次违反）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未将生活垃圾分别投入相应标识的收集容器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违反条款：第三十四条第一款第（一）项；处罚条款：第六十八条第一款 责令立即改正，</w:t>
            </w:r>
            <w:r>
              <w:rPr>
                <w:rFonts w:hint="eastAsia" w:asciiTheme="minorEastAsia" w:hAnsiTheme="minorEastAsia" w:eastAsiaTheme="minorEastAsia"/>
                <w:color w:val="000000" w:themeColor="text1"/>
                <w:spacing w:val="15"/>
                <w:sz w:val="15"/>
                <w:szCs w:val="15"/>
                <w14:textFill>
                  <w14:solidFill>
                    <w14:schemeClr w14:val="tx1"/>
                  </w14:solidFill>
                </w14:textFill>
              </w:rPr>
              <w:t>情节严重的，处五万元以上五十万元以下罚款。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50000（单位情节严重的）</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1.可回收物未投入相应标识的收集容器系数为0；</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2.其他垃圾未投入相应标识的收集容器系数为0-3；</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3.厨余垃圾未投入相应标识的收集容器系数为1-5；</w:t>
            </w:r>
          </w:p>
          <w:p>
            <w:pPr>
              <w:spacing w:line="220" w:lineRule="exact"/>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4.有害垃圾 未投入相应标识的收集容器系数为1-5。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（单位初次违反，责令立即改正，改正后不予处罚的，应当制作不予处罚决定书）。</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厨余垃圾、有害垃圾未投入</w:t>
            </w:r>
            <w:r>
              <w:rPr>
                <w:rFonts w:hint="eastAsia" w:asciiTheme="minorEastAsia" w:hAnsiTheme="minorEastAsia" w:eastAsiaTheme="minorEastAsia"/>
                <w:color w:val="000000" w:themeColor="text1"/>
                <w:sz w:val="15"/>
                <w:szCs w:val="15"/>
                <w14:textFill>
                  <w14:solidFill>
                    <w14:schemeClr w14:val="tx1"/>
                  </w14:solidFill>
                </w14:textFill>
              </w:rPr>
              <w:t>相应标识的收集容器视为情节严重；</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可回收物、其他垃圾</w:t>
            </w:r>
            <w:r>
              <w:rPr>
                <w:rFonts w:hint="eastAsia" w:cs="宋体" w:asciiTheme="minorEastAsia" w:hAnsiTheme="minorEastAsia" w:eastAsiaTheme="minorEastAsia"/>
                <w:color w:val="000000" w:themeColor="text1"/>
                <w:kern w:val="0"/>
                <w:sz w:val="15"/>
                <w:szCs w:val="15"/>
                <w14:textFill>
                  <w14:solidFill>
                    <w14:schemeClr w14:val="tx1"/>
                  </w14:solidFill>
                </w14:textFill>
              </w:rPr>
              <w:t>未投入</w:t>
            </w:r>
            <w:r>
              <w:rPr>
                <w:rFonts w:hint="eastAsia" w:asciiTheme="minorEastAsia" w:hAnsiTheme="minorEastAsia" w:eastAsiaTheme="minorEastAsia"/>
                <w:color w:val="000000" w:themeColor="text1"/>
                <w:sz w:val="15"/>
                <w:szCs w:val="15"/>
                <w14:textFill>
                  <w14:solidFill>
                    <w14:schemeClr w14:val="tx1"/>
                  </w14:solidFill>
                </w14:textFill>
              </w:rPr>
              <w:t>相应标识的收集容器，垃圾投入量较大,造成垃圾满冒或随意堆放的情况视为情节严重。</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违反条款：第三十四条第一款第（一）项；处罚条款：第六十八条第二款 对拒不听从生活垃圾分类管理责任人劝阻的，给予书面警告；再次违反规定的，处五十元以上二百元以下罚款。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警告（个人初次违反）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1.可回收物未投入相应标识的收集容器系数为0；</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2.其他垃圾未投入相应标识的收集容器系数为0-3；</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3.厨余垃圾未投入相应标识的收集容器系数为1-5；</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r>
              <w:rPr>
                <w:rFonts w:asciiTheme="minorEastAsia" w:hAnsiTheme="minorEastAsia" w:eastAsiaTheme="minorEastAsia"/>
                <w:color w:val="000000" w:themeColor="text1"/>
                <w:spacing w:val="-4"/>
                <w:sz w:val="15"/>
                <w:szCs w:val="15"/>
                <w14:textFill>
                  <w14:solidFill>
                    <w14:schemeClr w14:val="tx1"/>
                  </w14:solidFill>
                </w14:textFill>
              </w:rPr>
              <w:t>.</w:t>
            </w:r>
            <w:r>
              <w:rPr>
                <w:rFonts w:hint="eastAsia" w:asciiTheme="minorEastAsia" w:hAnsiTheme="minorEastAsia" w:eastAsiaTheme="minorEastAsia"/>
                <w:color w:val="000000" w:themeColor="text1"/>
                <w:spacing w:val="-4"/>
                <w:sz w:val="15"/>
                <w:szCs w:val="15"/>
                <w14:textFill>
                  <w14:solidFill>
                    <w14:schemeClr w14:val="tx1"/>
                  </w14:solidFill>
                </w14:textFill>
              </w:rPr>
              <w:t>有害垃圾未投入相应标识的收集容器系数为1-5。</w:t>
            </w:r>
          </w:p>
        </w:tc>
        <w:tc>
          <w:tcPr>
            <w:tcW w:w="17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体积较大的废弃物品未单独堆放</w:t>
            </w:r>
          </w:p>
        </w:tc>
        <w:tc>
          <w:tcPr>
            <w:tcW w:w="2789" w:type="dxa"/>
            <w:gridSpan w:val="3"/>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违反条款：第三十四条第一款第（二）项；处罚条款：第六十八条第一款 责令立即改正，</w:t>
            </w:r>
            <w:r>
              <w:rPr>
                <w:rFonts w:hint="eastAsia" w:asciiTheme="minorEastAsia" w:hAnsiTheme="minorEastAsia" w:eastAsiaTheme="minorEastAsia"/>
                <w:color w:val="000000" w:themeColor="text1"/>
                <w:spacing w:val="15"/>
                <w:sz w:val="15"/>
                <w:szCs w:val="15"/>
                <w14:textFill>
                  <w14:solidFill>
                    <w14:schemeClr w14:val="tx1"/>
                  </w14:solidFill>
                </w14:textFill>
              </w:rPr>
              <w:t>情节严重的，处五万元以上五十万元以下罚款。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50000（单位情节严重的）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1.未单独堆放在生活垃圾分类管理责任人指定的地点，系数为0-1；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2.占地面积在5</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（单位初次违反，责令立即改正，改正后不予处罚的，应当制作不予处罚决定书）。</w:t>
            </w:r>
          </w:p>
          <w:p>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堆放在城市道路、居住小区消防通道</w:t>
            </w:r>
            <w:r>
              <w:rPr>
                <w:rFonts w:hint="eastAsia" w:asciiTheme="minorEastAsia" w:hAnsiTheme="minorEastAsia" w:eastAsiaTheme="minorEastAsia"/>
                <w:color w:val="000000" w:themeColor="text1"/>
                <w:sz w:val="15"/>
                <w:szCs w:val="15"/>
                <w:shd w:val="clear" w:color="auto" w:fill="FFFFFF"/>
                <w14:textFill>
                  <w14:solidFill>
                    <w14:schemeClr w14:val="tx1"/>
                  </w14:solidFill>
                </w14:textFill>
              </w:rPr>
              <w:t>等共用部位</w:t>
            </w:r>
            <w:r>
              <w:rPr>
                <w:rFonts w:hint="eastAsia" w:cs="宋体" w:asciiTheme="minorEastAsia" w:hAnsiTheme="minorEastAsia" w:eastAsiaTheme="minorEastAsia"/>
                <w:color w:val="000000" w:themeColor="text1"/>
                <w:kern w:val="0"/>
                <w:sz w:val="15"/>
                <w:szCs w:val="15"/>
                <w14:textFill>
                  <w14:solidFill>
                    <w14:schemeClr w14:val="tx1"/>
                  </w14:solidFill>
                </w14:textFill>
              </w:rPr>
              <w:t>；占压燃气、供暖等公用管道和设施保护（管理）范围的，或者绿地、林地、农田内的，视为情节严重。</w:t>
            </w:r>
          </w:p>
        </w:tc>
        <w:tc>
          <w:tcPr>
            <w:tcW w:w="1208"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22" w:hRule="atLeast"/>
        </w:trPr>
        <w:tc>
          <w:tcPr>
            <w:tcW w:w="940" w:type="dxa"/>
            <w:gridSpan w:val="3"/>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违反条款：第三十四条第一款第（二）项；处罚条款：第六十八条第二款 对拒不听从生活垃圾分类管理责任人劝阻的，给予书面警告；再次违反规定的，处五十元以上二百元以下罚款。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警告（个人初次违反）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未单独堆放在生活垃圾分类管理责任人指定的地点，系数为0-1；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占地面积在5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gridSpan w:val="2"/>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19" w:hRule="atLeast"/>
        </w:trPr>
        <w:tc>
          <w:tcPr>
            <w:tcW w:w="940"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789" w:hRule="atLeast"/>
        </w:trPr>
        <w:tc>
          <w:tcPr>
            <w:tcW w:w="940" w:type="dxa"/>
            <w:gridSpan w:val="3"/>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农村村民产生的灰土未按规定投放的</w:t>
            </w: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违反条款：第三十四条第一款第（三）项；处罚条款：第六十八条第二款 对拒不听从生活垃圾分类管理责任人劝阻的，给予书面警告；再次违反规定的，处五十元以上二百元以下罚款。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警告（初次违反）</w:t>
            </w:r>
          </w:p>
        </w:tc>
        <w:tc>
          <w:tcPr>
            <w:tcW w:w="567"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1.未单独投放在相应的容器或者生活垃圾分类管理责任人指定的地点，系数为0-1；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占地面积在5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gridSpan w:val="2"/>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15" w:hRule="atLeast"/>
        </w:trPr>
        <w:tc>
          <w:tcPr>
            <w:tcW w:w="940" w:type="dxa"/>
            <w:gridSpan w:val="3"/>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84" w:hRule="atLeast"/>
        </w:trPr>
        <w:tc>
          <w:tcPr>
            <w:tcW w:w="940" w:type="dxa"/>
            <w:gridSpan w:val="3"/>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居民装饰装修房屋过程中产生的建筑垃圾未按指定的时间、地点和要求单独堆放</w:t>
            </w: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违反条款：第三十四条第二款；处罚条款：第六十八条第二款 对拒不听从生活垃圾分类管理责任人劝阻的，给予书面警告；再次违反规定的，处五十元以上二百元以下罚款。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警告（初次违反）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1.未单独堆放在生活垃圾分类管理责任人指定的地点，系数为0-1；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2.占地面积在5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28" w:hRule="atLeast"/>
        </w:trPr>
        <w:tc>
          <w:tcPr>
            <w:tcW w:w="940"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05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未建立生活垃圾分类日常管理制度</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违反条款：第三十六条第一款第（一）项；处罚条款：第六十九条第一款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1.同时存在第三十六条第一款第（一）、（二）、（三）、（四）、（六）项违法行为中2项行为的，系数为1-2；3项及以上行为的，系数为3-5；</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2．生活垃圾分类</w:t>
            </w:r>
            <w:r>
              <w:rPr>
                <w:rFonts w:asciiTheme="minorEastAsia" w:hAnsiTheme="minorEastAsia" w:eastAsiaTheme="minorEastAsia"/>
                <w:color w:val="000000" w:themeColor="text1"/>
                <w:sz w:val="15"/>
                <w:szCs w:val="15"/>
                <w14:textFill>
                  <w14:solidFill>
                    <w14:schemeClr w14:val="tx1"/>
                  </w14:solidFill>
                </w14:textFill>
              </w:rPr>
              <w:t>管理责任人未履行法律规定</w:t>
            </w:r>
            <w:r>
              <w:rPr>
                <w:rFonts w:hint="eastAsia" w:asciiTheme="minorEastAsia" w:hAnsiTheme="minorEastAsia" w:eastAsiaTheme="minorEastAsia"/>
                <w:color w:val="000000" w:themeColor="text1"/>
                <w:sz w:val="15"/>
                <w:szCs w:val="15"/>
                <w14:textFill>
                  <w14:solidFill>
                    <w14:schemeClr w14:val="tx1"/>
                  </w14:solidFill>
                </w14:textFill>
              </w:rPr>
              <w:t>责任</w:t>
            </w:r>
            <w:r>
              <w:rPr>
                <w:rFonts w:asciiTheme="minorEastAsia" w:hAnsiTheme="minorEastAsia" w:eastAsiaTheme="minorEastAsia"/>
                <w:color w:val="000000" w:themeColor="text1"/>
                <w:sz w:val="15"/>
                <w:szCs w:val="15"/>
                <w14:textFill>
                  <w14:solidFill>
                    <w14:schemeClr w14:val="tx1"/>
                  </w14:solidFill>
                </w14:textFill>
              </w:rPr>
              <w:t>或</w:t>
            </w:r>
            <w:r>
              <w:rPr>
                <w:rFonts w:hint="eastAsia" w:asciiTheme="minorEastAsia" w:hAnsiTheme="minorEastAsia" w:eastAsiaTheme="minorEastAsia"/>
                <w:color w:val="000000" w:themeColor="text1"/>
                <w:sz w:val="15"/>
                <w:szCs w:val="15"/>
                <w14:textFill>
                  <w14:solidFill>
                    <w14:schemeClr w14:val="tx1"/>
                  </w14:solidFill>
                </w14:textFill>
              </w:rPr>
              <w:t xml:space="preserve">因生活垃圾分类收集容器配备不足造成垃圾满冒或随意堆放造成环境秩序较严重影响的，系数为3-5； </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2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未开展宣传或未指定专人负责指导、监督垃圾分类工作</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违反条款：第三十六条第一款第（二）项；处罚条款：第六十九条第一款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未按规定设置生活垃圾分类收集容器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违反条款：第三十六条第一款第（三）项；处罚条款：第六十九条第一款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kern w:val="0"/>
                <w:sz w:val="15"/>
                <w:szCs w:val="15"/>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kern w:val="0"/>
                <w:sz w:val="15"/>
                <w:szCs w:val="15"/>
              </w:rPr>
              <w:t>1</w:t>
            </w:r>
          </w:p>
        </w:tc>
        <w:tc>
          <w:tcPr>
            <w:tcW w:w="2304"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1.同时存在第三十六条第一款第（一）、（二）、（三）、（四）、（六）项违法行为中2项行为的，系数为1-2；3项及以上行为的，系数为3-5；</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2．生活垃圾分类</w:t>
            </w:r>
            <w:r>
              <w:rPr>
                <w:rFonts w:asciiTheme="minorEastAsia" w:hAnsiTheme="minorEastAsia" w:eastAsiaTheme="minorEastAsia"/>
                <w:color w:val="000000" w:themeColor="text1"/>
                <w:sz w:val="15"/>
                <w:szCs w:val="15"/>
                <w14:textFill>
                  <w14:solidFill>
                    <w14:schemeClr w14:val="tx1"/>
                  </w14:solidFill>
                </w14:textFill>
              </w:rPr>
              <w:t>管理责任人未履行法律规定</w:t>
            </w:r>
            <w:r>
              <w:rPr>
                <w:rFonts w:hint="eastAsia" w:asciiTheme="minorEastAsia" w:hAnsiTheme="minorEastAsia" w:eastAsiaTheme="minorEastAsia"/>
                <w:color w:val="000000" w:themeColor="text1"/>
                <w:sz w:val="15"/>
                <w:szCs w:val="15"/>
                <w14:textFill>
                  <w14:solidFill>
                    <w14:schemeClr w14:val="tx1"/>
                  </w14:solidFill>
                </w14:textFill>
              </w:rPr>
              <w:t>责任</w:t>
            </w:r>
            <w:r>
              <w:rPr>
                <w:rFonts w:asciiTheme="minorEastAsia" w:hAnsiTheme="minorEastAsia" w:eastAsiaTheme="minorEastAsia"/>
                <w:color w:val="000000" w:themeColor="text1"/>
                <w:sz w:val="15"/>
                <w:szCs w:val="15"/>
                <w14:textFill>
                  <w14:solidFill>
                    <w14:schemeClr w14:val="tx1"/>
                  </w14:solidFill>
                </w14:textFill>
              </w:rPr>
              <w:t>或</w:t>
            </w:r>
            <w:r>
              <w:rPr>
                <w:rFonts w:hint="eastAsia" w:asciiTheme="minorEastAsia" w:hAnsiTheme="minorEastAsia" w:eastAsiaTheme="minorEastAsia"/>
                <w:color w:val="000000" w:themeColor="text1"/>
                <w:sz w:val="15"/>
                <w:szCs w:val="15"/>
                <w14:textFill>
                  <w14:solidFill>
                    <w14:schemeClr w14:val="tx1"/>
                  </w14:solidFill>
                </w14:textFill>
              </w:rPr>
              <w:t xml:space="preserve">因生活垃圾分类收集容器配备不足造成垃圾满冒或随意堆放造成环境秩序较严重影响的，系数为3-5； </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0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未按规定管护生活垃圾分类收集容器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违反条款：第三十六条第一款第（三）项；处罚条款：第六十九条第一款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kern w:val="0"/>
                <w:sz w:val="15"/>
                <w:szCs w:val="15"/>
              </w:rPr>
              <w:t>3000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kern w:val="0"/>
                <w:sz w:val="15"/>
                <w:szCs w:val="15"/>
              </w:rPr>
              <w:t>1</w:t>
            </w:r>
          </w:p>
        </w:tc>
        <w:tc>
          <w:tcPr>
            <w:tcW w:w="2304"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未明确生活垃圾投放的时间、地点</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违反条款：第三十六条第一款第（四）项；处罚条款：第六十九条第一款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3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分类管理责任人未分类收集、贮存生活垃圾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违反条款：第三十六条第一款第（四）项；处罚条款：第六十九条第一款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未及时制止翻拣、混合已分类生活垃圾的行为</w:t>
            </w:r>
          </w:p>
        </w:tc>
        <w:tc>
          <w:tcPr>
            <w:tcW w:w="2789" w:type="dxa"/>
            <w:gridSpan w:val="3"/>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违反条款：第三十六条第一款第（六）项；处罚条款：第六十九条第一款 责令立即改正，处三千元以上三万元以下罚款。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1.同时存在第三十六条第一款第（一）、（二）、（三）、（四）、（六）项违法行为中2项行为的，系数为1-2；3项及以上行为的，系数为3-5；</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2．生活垃圾分类</w:t>
            </w:r>
            <w:r>
              <w:rPr>
                <w:rFonts w:asciiTheme="minorEastAsia" w:hAnsiTheme="minorEastAsia" w:eastAsiaTheme="minorEastAsia"/>
                <w:color w:val="000000" w:themeColor="text1"/>
                <w:sz w:val="15"/>
                <w:szCs w:val="15"/>
                <w14:textFill>
                  <w14:solidFill>
                    <w14:schemeClr w14:val="tx1"/>
                  </w14:solidFill>
                </w14:textFill>
              </w:rPr>
              <w:t>管理责任人未履行法律规定</w:t>
            </w:r>
            <w:r>
              <w:rPr>
                <w:rFonts w:hint="eastAsia" w:asciiTheme="minorEastAsia" w:hAnsiTheme="minorEastAsia" w:eastAsiaTheme="minorEastAsia"/>
                <w:color w:val="000000" w:themeColor="text1"/>
                <w:sz w:val="15"/>
                <w:szCs w:val="15"/>
                <w14:textFill>
                  <w14:solidFill>
                    <w14:schemeClr w14:val="tx1"/>
                  </w14:solidFill>
                </w14:textFill>
              </w:rPr>
              <w:t>责任</w:t>
            </w:r>
            <w:r>
              <w:rPr>
                <w:rFonts w:asciiTheme="minorEastAsia" w:hAnsiTheme="minorEastAsia" w:eastAsiaTheme="minorEastAsia"/>
                <w:color w:val="000000" w:themeColor="text1"/>
                <w:sz w:val="15"/>
                <w:szCs w:val="15"/>
                <w14:textFill>
                  <w14:solidFill>
                    <w14:schemeClr w14:val="tx1"/>
                  </w14:solidFill>
                </w14:textFill>
              </w:rPr>
              <w:t>或</w:t>
            </w:r>
            <w:r>
              <w:rPr>
                <w:rFonts w:hint="eastAsia" w:asciiTheme="minorEastAsia" w:hAnsiTheme="minorEastAsia" w:eastAsiaTheme="minorEastAsia"/>
                <w:color w:val="000000" w:themeColor="text1"/>
                <w:sz w:val="15"/>
                <w:szCs w:val="15"/>
                <w14:textFill>
                  <w14:solidFill>
                    <w14:schemeClr w14:val="tx1"/>
                  </w14:solidFill>
                </w14:textFill>
              </w:rPr>
              <w:t xml:space="preserve">因生活垃圾分类收集容器配备不足造成垃圾满冒或随意堆放造成环境秩序较严重影响的，系数为3-5； </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将生活垃圾交由未经许可或者备案的企业和个人进行处置</w:t>
            </w:r>
          </w:p>
        </w:tc>
        <w:tc>
          <w:tcPr>
            <w:tcW w:w="2789" w:type="dxa"/>
            <w:gridSpan w:val="3"/>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违反条款：第三十六条第一款第（五）项；处罚条款：第六十九条第二款 责令立即改正，处一万元以上十万元以下罚款。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1.违法行为持续时间较长，系数为2-3；</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2．垃圾产生量较大，系数为3-4；</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3.造成环境秩序较严重影响的，系数4-5。</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餐饮服务单位未按规定收集、交运、处理厨余垃圾的行为，优先适用</w:t>
            </w:r>
            <w:r>
              <w:rPr>
                <w:rFonts w:hint="eastAsia" w:asciiTheme="minorEastAsia" w:hAnsiTheme="minorEastAsia" w:eastAsiaTheme="minorEastAsia"/>
                <w:color w:val="000000" w:themeColor="text1"/>
                <w:sz w:val="15"/>
                <w:szCs w:val="15"/>
                <w14:textFill>
                  <w14:solidFill>
                    <w14:schemeClr w14:val="tx1"/>
                  </w14:solidFill>
                </w14:textFill>
              </w:rPr>
              <w:t>第四十八条第二款的规定，依据第七十四条第一款予以处罚。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分类管理责任人未办理生活垃圾排放登记</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违反条款：第三十八条第一款；处罚条款：第七十条第一款 责令立即改正，处一千元以上五千元以下罚款。　</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1.未按照规定办理生活垃圾排放登记或者登记信息虚假的，系数为0-1；</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2.违法行为持续时间较长，垃圾产生量较大，系数为2-3；</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pacing w:val="-4"/>
                <w:sz w:val="15"/>
                <w:szCs w:val="15"/>
                <w14:textFill>
                  <w14:solidFill>
                    <w14:schemeClr w14:val="tx1"/>
                  </w14:solidFill>
                </w14:textFill>
              </w:rPr>
              <w:t>.</w:t>
            </w:r>
            <w:r>
              <w:rPr>
                <w:rFonts w:hint="eastAsia" w:asciiTheme="minorEastAsia" w:hAnsiTheme="minorEastAsia" w:eastAsiaTheme="minorEastAsia"/>
                <w:color w:val="000000" w:themeColor="text1"/>
                <w:spacing w:val="-4"/>
                <w:sz w:val="15"/>
                <w:szCs w:val="15"/>
                <w14:textFill>
                  <w14:solidFill>
                    <w14:schemeClr w14:val="tx1"/>
                  </w14:solidFill>
                </w14:textFill>
              </w:rPr>
              <w:t>造成环境秩序较严重影响的，系数3-4。</w:t>
            </w:r>
          </w:p>
        </w:tc>
        <w:tc>
          <w:tcPr>
            <w:tcW w:w="1785"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分类管理责任人未如实办理生活垃圾排放登记</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违反条款：第三十八条第一款；处罚条款：第七十条第一款 责令立即改正，处一千元以上五千元以下罚款。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分类管理责任人未建立生活垃圾管理台账</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违反条款：第三十八条第二款；处罚条款：第七十条第二款 责令立即改正，处一千元以上一万元以下罚款。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1.未建立生活垃圾管理台账，系数为</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0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2.违法行为持续时间较长，垃圾产生量较</w:t>
            </w:r>
            <w:r>
              <w:rPr>
                <w:rFonts w:hint="eastAsia" w:asciiTheme="minorEastAsia" w:hAnsiTheme="minorEastAsia" w:eastAsiaTheme="minorEastAsia"/>
                <w:color w:val="000000" w:themeColor="text1"/>
                <w:spacing w:val="-4"/>
                <w:sz w:val="15"/>
                <w:szCs w:val="15"/>
                <w14:textFill>
                  <w14:solidFill>
                    <w14:schemeClr w14:val="tx1"/>
                  </w14:solidFill>
                </w14:textFill>
              </w:rPr>
              <w:t>大，系数为2-4；</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3.造成环境秩序较严重影响的，系数5-9。</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分类管理责任人未如实记录生活垃圾排放情况</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违反条款：第三十八条第二款；处罚条款：第七十条第二款 责令立即改正，处一千元以上一万元以下罚款。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1.台账未记录实际产生的生活垃圾的种类、数量、运输者、去向等情况，系数为记录内容</w:t>
            </w:r>
            <w:r>
              <w:rPr>
                <w:rFonts w:asciiTheme="minorEastAsia" w:hAnsiTheme="minorEastAsia" w:eastAsiaTheme="minorEastAsia"/>
                <w:color w:val="000000" w:themeColor="text1"/>
                <w:sz w:val="15"/>
                <w:szCs w:val="15"/>
                <w14:textFill>
                  <w14:solidFill>
                    <w14:schemeClr w14:val="tx1"/>
                  </w14:solidFill>
                </w14:textFill>
              </w:rPr>
              <w:t>每</w:t>
            </w:r>
            <w:r>
              <w:rPr>
                <w:rFonts w:hint="eastAsia" w:asciiTheme="minorEastAsia" w:hAnsiTheme="minorEastAsia" w:eastAsiaTheme="minorEastAsia"/>
                <w:color w:val="000000" w:themeColor="text1"/>
                <w:sz w:val="15"/>
                <w:szCs w:val="15"/>
                <w14:textFill>
                  <w14:solidFill>
                    <w14:schemeClr w14:val="tx1"/>
                  </w14:solidFill>
                </w14:textFill>
              </w:rPr>
              <w:t>缺少1项</w:t>
            </w:r>
            <w:r>
              <w:rPr>
                <w:rFonts w:asciiTheme="minorEastAsia" w:hAnsiTheme="minorEastAsia" w:eastAsiaTheme="minorEastAsia"/>
                <w:color w:val="000000" w:themeColor="text1"/>
                <w:sz w:val="15"/>
                <w:szCs w:val="15"/>
                <w14:textFill>
                  <w14:solidFill>
                    <w14:schemeClr w14:val="tx1"/>
                  </w14:solidFill>
                </w14:textFill>
              </w:rPr>
              <w:t>系数加</w:t>
            </w:r>
            <w:r>
              <w:rPr>
                <w:rFonts w:hint="eastAsia" w:asciiTheme="minorEastAsia" w:hAnsiTheme="minorEastAsia" w:eastAsiaTheme="minorEastAsia"/>
                <w:color w:val="000000" w:themeColor="text1"/>
                <w:sz w:val="15"/>
                <w:szCs w:val="15"/>
                <w14:textFill>
                  <w14:solidFill>
                    <w14:schemeClr w14:val="tx1"/>
                  </w14:solidFill>
                </w14:textFill>
              </w:rPr>
              <w:t>1；</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2.违法行为持续时间较长，垃圾产生量较大，系数为2-4；</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pacing w:val="-6"/>
                <w:sz w:val="15"/>
                <w:szCs w:val="15"/>
                <w14:textFill>
                  <w14:solidFill>
                    <w14:schemeClr w14:val="tx1"/>
                  </w14:solidFill>
                </w14:textFill>
              </w:rPr>
              <w:t>造成环境秩序较严重影响的，系数5-9</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40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收集、运输单位未按时、分类收集、运输生活垃圾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1.未按时、分类收运生活垃圾的，系数为0-1；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2.违法行为持续时间较长；收集、运输垃圾量较大，系数为1-2；</w:t>
            </w:r>
          </w:p>
          <w:p>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3.造成环境秩序较严重影响的；系数为1-2。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83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生活垃圾收集工具、运输车辆、人员不符合要求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1.工具、车辆、人员其中两类不符合要求的，系数1；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2.工具、车辆、人员都不符合要求的，系数2。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1.造成泄漏遗撒的，按照专项案由从重处罚。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6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收集、运输单位未按要求将生活垃圾运输至集中收集设施或者转运、处理设施</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1.违法行为持续时间较长，系数为2-3；</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2.垃圾运输量较大，系数为3-5；</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造成环境秩序较严重影响的，系数6-9。</w:t>
            </w:r>
          </w:p>
        </w:tc>
        <w:tc>
          <w:tcPr>
            <w:tcW w:w="17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罚款数额＝50000×（1＋区域系数＋情节系数＋变量系数）</w:t>
            </w:r>
          </w:p>
        </w:tc>
        <w:tc>
          <w:tcPr>
            <w:tcW w:w="2385" w:type="dxa"/>
            <w:gridSpan w:val="2"/>
            <w:vMerge w:val="restart"/>
            <w:shd w:val="clear" w:color="auto" w:fill="auto"/>
            <w:vAlign w:val="center"/>
          </w:tcPr>
          <w:p>
            <w:pPr>
              <w:numPr>
                <w:ilvl w:val="0"/>
                <w:numId w:val="1"/>
              </w:num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收集、运输单位将生活垃圾混装混运</w:t>
            </w: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1.将厨余垃圾混装混运，系数为1；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2.将有害垃圾混装混运，系数为2；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3.混装混运生活垃圾总量较大、违法行为持续时间较长，系数3-5；</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4.对环境秩序造成较严重影响的，系数6-9。</w:t>
            </w:r>
          </w:p>
        </w:tc>
        <w:tc>
          <w:tcPr>
            <w:tcW w:w="17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48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收集、运输单位随意倾倒、丢弃、遗撒、堆放生活垃圾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1.泄漏遗撒污染道路长21－30米的，系数1；31－40米的，系数2；以此类推；</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2.随意倾倒、丢弃、堆放至城市道路、绿地、林地、农田，燃气、供暖等公用管道和设施保护（管理）范围的，系数为3；</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倾倒、丢弃、堆放生活</w:t>
            </w:r>
            <w:r>
              <w:rPr>
                <w:rFonts w:hint="eastAsia" w:cs="宋体" w:asciiTheme="minorEastAsia" w:hAnsiTheme="minorEastAsia" w:eastAsiaTheme="minorEastAsia"/>
                <w:color w:val="000000" w:themeColor="text1"/>
                <w:kern w:val="0"/>
                <w:sz w:val="15"/>
                <w:szCs w:val="15"/>
                <w14:textFill>
                  <w14:solidFill>
                    <w14:schemeClr w14:val="tx1"/>
                  </w14:solidFill>
                </w14:textFill>
              </w:rPr>
              <w:t>垃圾</w:t>
            </w:r>
            <w:r>
              <w:rPr>
                <w:rFonts w:hint="eastAsia" w:asciiTheme="minorEastAsia" w:hAnsiTheme="minorEastAsia" w:eastAsiaTheme="minorEastAsia"/>
                <w:color w:val="000000" w:themeColor="text1"/>
                <w:sz w:val="15"/>
                <w:szCs w:val="15"/>
                <w14:textFill>
                  <w14:solidFill>
                    <w14:schemeClr w14:val="tx1"/>
                  </w14:solidFill>
                </w14:textFill>
              </w:rPr>
              <w:t>总量较大、违法行为持续时间较长，系数4-6；</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4.对环境秩序造成较严重影响的，系数6-9</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罚款数额＝50000×（1＋区域系数＋情节系数＋变量系数）</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收集、运输单位未落实生活垃圾管理台帐制度</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1.已建立台帐而记录内容不完整的，系数为0-1；</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2.未建立台帐的</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，系数为3-</w:t>
            </w:r>
            <w:r>
              <w:rPr>
                <w:rFonts w:cs="仿宋_GB2312"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3.台账记录存在弄虚作假或其它较严重影响的情形，系数7-9。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8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未按规定接收、分类处理生活垃圾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未按规定交运、处理建筑垃圾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违反条款：第四十七条第一款；处罚条款：第七十三条 责令限期改正，处一万元以上十万元以下罚款。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建设工程的建设单位、拆除工程的承担单位违反规定的，系数3；</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2.违法行为持续时间较长、建筑垃圾产生量较大、造成环境秩序较严重影响的，系数4-9。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w:t>
            </w:r>
            <w:r>
              <w:rPr>
                <w:rFonts w:cs="宋体" w:asciiTheme="minorEastAsia" w:hAnsiTheme="minorEastAsia" w:eastAsiaTheme="minorEastAsia"/>
                <w:color w:val="000000" w:themeColor="text1"/>
                <w:kern w:val="0"/>
                <w:sz w:val="15"/>
                <w:szCs w:val="15"/>
                <w14:textFill>
                  <w14:solidFill>
                    <w14:schemeClr w14:val="tx1"/>
                  </w14:solidFill>
                </w14:textFill>
              </w:rPr>
              <w:t>建筑垃圾</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处置</w:t>
            </w:r>
            <w:r>
              <w:rPr>
                <w:rFonts w:cs="宋体" w:asciiTheme="minorEastAsia" w:hAnsiTheme="minorEastAsia" w:eastAsiaTheme="minorEastAsia"/>
                <w:color w:val="000000" w:themeColor="text1"/>
                <w:kern w:val="0"/>
                <w:sz w:val="15"/>
                <w:szCs w:val="15"/>
                <w14:textFill>
                  <w14:solidFill>
                    <w14:schemeClr w14:val="tx1"/>
                  </w14:solidFill>
                </w14:textFill>
              </w:rPr>
              <w:t>管理规定》</w:t>
            </w:r>
            <w:r>
              <w:rPr>
                <w:rFonts w:hint="eastAsia" w:cs="宋体" w:asciiTheme="minorEastAsia" w:hAnsiTheme="minorEastAsia" w:eastAsiaTheme="minorEastAsia"/>
                <w:color w:val="000000" w:themeColor="text1"/>
                <w:kern w:val="0"/>
                <w:sz w:val="15"/>
                <w:szCs w:val="15"/>
                <w14:textFill>
                  <w14:solidFill>
                    <w14:schemeClr w14:val="tx1"/>
                  </w14:solidFill>
                </w14:textFill>
              </w:rPr>
              <w:t>的</w:t>
            </w:r>
            <w:r>
              <w:rPr>
                <w:rFonts w:cs="宋体" w:asciiTheme="minorEastAsia" w:hAnsiTheme="minorEastAsia" w:eastAsiaTheme="minorEastAsia"/>
                <w:color w:val="000000" w:themeColor="text1"/>
                <w:kern w:val="0"/>
                <w:sz w:val="15"/>
                <w:szCs w:val="15"/>
                <w14:textFill>
                  <w14:solidFill>
                    <w14:schemeClr w14:val="tx1"/>
                  </w14:solidFill>
                </w14:textFill>
              </w:rPr>
              <w:t>相关</w:t>
            </w:r>
            <w:r>
              <w:rPr>
                <w:rFonts w:hint="eastAsia" w:cs="宋体" w:asciiTheme="minorEastAsia" w:hAnsiTheme="minorEastAsia" w:eastAsiaTheme="minorEastAsia"/>
                <w:color w:val="000000" w:themeColor="text1"/>
                <w:kern w:val="0"/>
                <w:sz w:val="15"/>
                <w:szCs w:val="15"/>
                <w14:textFill>
                  <w14:solidFill>
                    <w14:schemeClr w14:val="tx1"/>
                  </w14:solidFill>
                </w14:textFill>
              </w:rPr>
              <w:t>规定</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建设单位</w:t>
            </w:r>
            <w:r>
              <w:rPr>
                <w:rFonts w:cs="宋体" w:asciiTheme="minorEastAsia" w:hAnsiTheme="minorEastAsia" w:eastAsiaTheme="minorEastAsia"/>
                <w:color w:val="000000" w:themeColor="text1"/>
                <w:kern w:val="0"/>
                <w:sz w:val="15"/>
                <w:szCs w:val="15"/>
                <w14:textFill>
                  <w14:solidFill>
                    <w14:schemeClr w14:val="tx1"/>
                  </w14:solidFill>
                </w14:textFill>
              </w:rPr>
              <w:t>已取消</w:t>
            </w:r>
            <w:r>
              <w:rPr>
                <w:rFonts w:hint="eastAsia" w:cs="宋体" w:asciiTheme="minorEastAsia" w:hAnsiTheme="minorEastAsia" w:eastAsiaTheme="minorEastAsia"/>
                <w:color w:val="000000" w:themeColor="text1"/>
                <w:kern w:val="0"/>
                <w:sz w:val="15"/>
                <w:szCs w:val="15"/>
                <w14:textFill>
                  <w14:solidFill>
                    <w14:schemeClr w14:val="tx1"/>
                  </w14:solidFill>
                </w14:textFill>
              </w:rPr>
              <w:t>办理</w:t>
            </w:r>
            <w:r>
              <w:rPr>
                <w:rFonts w:cs="宋体" w:asciiTheme="minorEastAsia" w:hAnsiTheme="minorEastAsia" w:eastAsiaTheme="minorEastAsia"/>
                <w:color w:val="000000" w:themeColor="text1"/>
                <w:kern w:val="0"/>
                <w:sz w:val="15"/>
                <w:szCs w:val="15"/>
                <w14:textFill>
                  <w14:solidFill>
                    <w14:schemeClr w14:val="tx1"/>
                  </w14:solidFill>
                </w14:textFill>
              </w:rPr>
              <w:t>渣土消纳许可</w:t>
            </w:r>
            <w:r>
              <w:rPr>
                <w:rFonts w:hint="eastAsia" w:cs="宋体" w:asciiTheme="minorEastAsia" w:hAnsiTheme="minorEastAsia" w:eastAsiaTheme="minorEastAsia"/>
                <w:color w:val="000000" w:themeColor="text1"/>
                <w:kern w:val="0"/>
                <w:sz w:val="15"/>
                <w:szCs w:val="15"/>
                <w14:textFill>
                  <w14:solidFill>
                    <w14:schemeClr w14:val="tx1"/>
                  </w14:solidFill>
                </w14:textFill>
              </w:rPr>
              <w:t>。此案由重点</w:t>
            </w:r>
            <w:r>
              <w:rPr>
                <w:rFonts w:cs="宋体" w:asciiTheme="minorEastAsia" w:hAnsiTheme="minorEastAsia" w:eastAsiaTheme="minorEastAsia"/>
                <w:color w:val="000000" w:themeColor="text1"/>
                <w:kern w:val="0"/>
                <w:sz w:val="15"/>
                <w:szCs w:val="15"/>
                <w14:textFill>
                  <w14:solidFill>
                    <w14:schemeClr w14:val="tx1"/>
                  </w14:solidFill>
                </w14:textFill>
              </w:rPr>
              <w:t>查处</w:t>
            </w:r>
            <w:r>
              <w:rPr>
                <w:rFonts w:hint="eastAsia" w:cs="宋体" w:asciiTheme="minorEastAsia" w:hAnsiTheme="minorEastAsia" w:eastAsiaTheme="minorEastAsia"/>
                <w:color w:val="000000" w:themeColor="text1"/>
                <w:kern w:val="0"/>
                <w:sz w:val="15"/>
                <w:szCs w:val="15"/>
                <w14:textFill>
                  <w14:solidFill>
                    <w14:schemeClr w14:val="tx1"/>
                  </w14:solidFill>
                </w14:textFill>
              </w:rPr>
              <w:t>建设</w:t>
            </w:r>
            <w:r>
              <w:rPr>
                <w:rFonts w:cs="宋体" w:asciiTheme="minorEastAsia" w:hAnsiTheme="minorEastAsia" w:eastAsiaTheme="minorEastAsia"/>
                <w:color w:val="000000" w:themeColor="text1"/>
                <w:kern w:val="0"/>
                <w:sz w:val="15"/>
                <w:szCs w:val="15"/>
                <w14:textFill>
                  <w14:solidFill>
                    <w14:schemeClr w14:val="tx1"/>
                  </w14:solidFill>
                </w14:textFill>
              </w:rPr>
              <w:t>单位是否将</w:t>
            </w:r>
            <w:r>
              <w:rPr>
                <w:rFonts w:hint="eastAsia" w:cs="宋体" w:asciiTheme="minorEastAsia" w:hAnsiTheme="minorEastAsia" w:eastAsiaTheme="minorEastAsia"/>
                <w:color w:val="000000" w:themeColor="text1"/>
                <w:kern w:val="0"/>
                <w:sz w:val="15"/>
                <w:szCs w:val="15"/>
                <w14:textFill>
                  <w14:solidFill>
                    <w14:schemeClr w14:val="tx1"/>
                  </w14:solidFill>
                </w14:textFill>
              </w:rPr>
              <w:t>建筑垃圾交</w:t>
            </w:r>
            <w:r>
              <w:rPr>
                <w:rFonts w:cs="宋体" w:asciiTheme="minorEastAsia" w:hAnsiTheme="minorEastAsia" w:eastAsiaTheme="minorEastAsia"/>
                <w:color w:val="000000" w:themeColor="text1"/>
                <w:kern w:val="0"/>
                <w:sz w:val="15"/>
                <w:szCs w:val="15"/>
                <w14:textFill>
                  <w14:solidFill>
                    <w14:schemeClr w14:val="tx1"/>
                  </w14:solidFill>
                </w14:textFill>
              </w:rPr>
              <w:t>由</w:t>
            </w:r>
            <w:r>
              <w:rPr>
                <w:rFonts w:hint="eastAsia" w:cs="宋体" w:asciiTheme="minorEastAsia" w:hAnsiTheme="minorEastAsia" w:eastAsiaTheme="minorEastAsia"/>
                <w:color w:val="000000" w:themeColor="text1"/>
                <w:kern w:val="0"/>
                <w:sz w:val="15"/>
                <w:szCs w:val="15"/>
                <w14:textFill>
                  <w14:solidFill>
                    <w14:schemeClr w14:val="tx1"/>
                  </w14:solidFill>
                </w14:textFill>
              </w:rPr>
              <w:t>有</w:t>
            </w:r>
            <w:r>
              <w:rPr>
                <w:rFonts w:cs="宋体" w:asciiTheme="minorEastAsia" w:hAnsiTheme="minorEastAsia" w:eastAsiaTheme="minorEastAsia"/>
                <w:color w:val="000000" w:themeColor="text1"/>
                <w:kern w:val="0"/>
                <w:sz w:val="15"/>
                <w:szCs w:val="15"/>
                <w14:textFill>
                  <w14:solidFill>
                    <w14:schemeClr w14:val="tx1"/>
                  </w14:solidFill>
                </w14:textFill>
              </w:rPr>
              <w:t>资质的运输单位，是否运输至符合规定的渣土消纳场所。</w:t>
            </w:r>
            <w:r>
              <w:rPr>
                <w:rFonts w:hint="eastAsia" w:cs="宋体" w:asciiTheme="minorEastAsia" w:hAnsiTheme="minorEastAsia" w:eastAsiaTheme="minorEastAsia"/>
                <w:color w:val="000000" w:themeColor="text1"/>
                <w:kern w:val="0"/>
                <w:sz w:val="15"/>
                <w:szCs w:val="15"/>
                <w14:textFill>
                  <w14:solidFill>
                    <w14:schemeClr w14:val="tx1"/>
                  </w14:solidFill>
                </w14:textFill>
              </w:rPr>
              <w:t>实施</w:t>
            </w:r>
            <w:r>
              <w:rPr>
                <w:rFonts w:cs="宋体" w:asciiTheme="minorEastAsia" w:hAnsiTheme="minorEastAsia" w:eastAsiaTheme="minorEastAsia"/>
                <w:color w:val="000000" w:themeColor="text1"/>
                <w:kern w:val="0"/>
                <w:sz w:val="15"/>
                <w:szCs w:val="15"/>
                <w14:textFill>
                  <w14:solidFill>
                    <w14:schemeClr w14:val="tx1"/>
                  </w14:solidFill>
                </w14:textFill>
              </w:rPr>
              <w:t>建筑垃圾就地资源化处置的，是否采用符合建筑垃圾资源化处理要求的</w:t>
            </w:r>
            <w:r>
              <w:rPr>
                <w:rFonts w:hint="eastAsia" w:cs="宋体" w:asciiTheme="minorEastAsia" w:hAnsiTheme="minorEastAsia" w:eastAsiaTheme="minorEastAsia"/>
                <w:color w:val="000000" w:themeColor="text1"/>
                <w:kern w:val="0"/>
                <w:sz w:val="15"/>
                <w:szCs w:val="15"/>
                <w14:textFill>
                  <w14:solidFill>
                    <w14:schemeClr w14:val="tx1"/>
                  </w14:solidFill>
                </w14:textFill>
              </w:rPr>
              <w:t>设备</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方式</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餐饮服务单位未按规定收集、处理厨余垃圾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违反条款：第四十八条第二款；处罚条款：第七十四条第一款 处十万元以上一百万元以下罚款，没收违法所得。</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2.未按要求收集、处理的厨余垃圾总量较大、持续时间较长，系数2-5；</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3.餐饮服务单位将废弃油脂交由无资质收运单位和个人收集的或者对环境秩序造成较严重影响的，系数6-9。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27</w:t>
            </w:r>
          </w:p>
        </w:tc>
        <w:tc>
          <w:tcPr>
            <w:tcW w:w="1500" w:type="dxa"/>
            <w:gridSpan w:val="2"/>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无资质单位和个人擅自收集、运输厨余垃圾</w:t>
            </w:r>
          </w:p>
        </w:tc>
        <w:tc>
          <w:tcPr>
            <w:tcW w:w="2789" w:type="dxa"/>
            <w:gridSpan w:val="3"/>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违反条款：第四十八条第三款；处罚条款：第七十四条第三款 暂扣其车辆，没收违法收运的厨余垃圾及其容器，处一万元以上十万元以下罚款。</w:t>
            </w:r>
          </w:p>
        </w:tc>
        <w:tc>
          <w:tcPr>
            <w:tcW w:w="851" w:type="dxa"/>
            <w:gridSpan w:val="2"/>
            <w:shd w:val="clear" w:color="auto" w:fill="auto"/>
            <w:vAlign w:val="center"/>
          </w:tcPr>
          <w:p>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10000</w:t>
            </w:r>
          </w:p>
        </w:tc>
        <w:tc>
          <w:tcPr>
            <w:tcW w:w="567" w:type="dxa"/>
            <w:shd w:val="clear" w:color="auto" w:fill="auto"/>
            <w:vAlign w:val="center"/>
          </w:tcPr>
          <w:p>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w:t>
            </w:r>
          </w:p>
        </w:tc>
        <w:tc>
          <w:tcPr>
            <w:tcW w:w="2304" w:type="dxa"/>
            <w:gridSpan w:val="2"/>
            <w:shd w:val="clear" w:color="auto" w:fill="auto"/>
            <w:vAlign w:val="center"/>
          </w:tcPr>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 收集、运输厨余垃圾总量较大、持续时间较长，系数2-5；</w:t>
            </w:r>
          </w:p>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2.对环境秩序造成较严重影响的，系数6-9；</w:t>
            </w:r>
          </w:p>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3.未经无害化处理用于饲养畜禽的，系数6-9；</w:t>
            </w:r>
          </w:p>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4.将收集、运输的废弃油脂用于生产“地沟油”的，系数6-9。</w:t>
            </w:r>
          </w:p>
        </w:tc>
        <w:tc>
          <w:tcPr>
            <w:tcW w:w="1785" w:type="dxa"/>
            <w:gridSpan w:val="2"/>
            <w:shd w:val="clear" w:color="auto" w:fill="auto"/>
            <w:vAlign w:val="center"/>
          </w:tcPr>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罚款数额＝10000×（1＋情节系数＋变量系数）</w:t>
            </w:r>
          </w:p>
        </w:tc>
        <w:tc>
          <w:tcPr>
            <w:tcW w:w="2385" w:type="dxa"/>
            <w:gridSpan w:val="2"/>
            <w:shd w:val="clear" w:color="auto" w:fill="auto"/>
            <w:vAlign w:val="center"/>
          </w:tcPr>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28</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集中转运、处理设施的运行管理单位未按规定和标准处理生活垃圾</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违反条款：第五十二条第一款第（一）项；处罚条款：第七十五条第一款 责令限期改正，处三万元以上十万元以下罚款；情节严重的，由城市管理综合执法部门吊销生活垃圾处理经营许可证。</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30000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1．未按照有关规定和技术标准处理生活垃圾，系数为0-1；</w:t>
            </w:r>
          </w:p>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2.处理生活垃圾总量较大、持续时间较长、对环境秩序造成较严重影响的，系数2-3。</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罚款数额＝30000×（1＋情节系数+变量系数）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7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17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681"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29</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生活垃圾集中转运、处理设施排放未达标</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违反条款：第五十二条第一款第（二）项；处罚条款：第七十五条第一款 责令限期改正，处三万元以上十万元以下罚款；情节严重的，由城市管理综合执法部门吊销生活垃圾处理经营许可证。</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规定处置生活垃圾处理过程中产生的污水、废气、废渣、粉尘等，系数为0-2；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2、生活垃圾集中转运、处理设施的排放未达到国家和本市有关标准，系数为0-2；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处理生活垃圾总量较大、持续时间较长，系数2-3；</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4.对环境秩序造成较严重影响的，系数2-3。</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057"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未按要求对生活垃圾等处理过程中常规参数进行检测</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违反条款：第五十二条第一款第（三）项；处罚条款：第七十五条第二款 责令限期改正，</w:t>
            </w:r>
            <w:r>
              <w:rPr>
                <w:rFonts w:hint="eastAsia" w:asciiTheme="minorEastAsia" w:hAnsiTheme="minorEastAsia" w:eastAsiaTheme="minorEastAsia"/>
                <w:color w:val="000000" w:themeColor="text1"/>
                <w:spacing w:val="15"/>
                <w:sz w:val="15"/>
                <w:szCs w:val="15"/>
                <w14:textFill>
                  <w14:solidFill>
                    <w14:schemeClr w14:val="tx1"/>
                  </w14:solidFill>
                </w14:textFill>
              </w:rPr>
              <w:t>处十万元以上一百万元以下罚款，没收违法所得；情节严重的，报经有批准权的人民政府批准，可以责令停业或者关闭。</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1.未建立检测档案，系数为0-2； </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2.未设置化验室或者委托专业化验机构，对生活垃圾、渗沥液等处理过程中常规参数进行检测，系数为3-6；</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42"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31</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未按要求对生活垃圾处理设施相关指标进行检测</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违反条款：第五十二条第一款第（四）项；处罚条款：第七十五条第二款 责令限期改正，</w:t>
            </w:r>
            <w:r>
              <w:rPr>
                <w:rFonts w:hint="eastAsia" w:asciiTheme="minorEastAsia" w:hAnsiTheme="minorEastAsia" w:eastAsiaTheme="minorEastAsia"/>
                <w:color w:val="000000" w:themeColor="text1"/>
                <w:spacing w:val="15"/>
                <w:sz w:val="15"/>
                <w:szCs w:val="15"/>
                <w14:textFill>
                  <w14:solidFill>
                    <w14:schemeClr w14:val="tx1"/>
                  </w14:solidFill>
                </w14:textFill>
              </w:rPr>
              <w:t>处十万元以上一百万元以下罚款，没收违法所得；情节严重的，报经有批准权的人民政府批准，可以责令停业或者关闭。</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1.未对生活垃圾处理设施相关指标进行检测，系数为0-2； </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2.未按照要求建设在线监管系统，系数为3-6；</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95"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32</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未按要求传送生活垃圾处理设施相关检测指标</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违反条款：第五十二条第一款第（四）项；处罚条款：第七十五条第二款 责令限期改正，</w:t>
            </w:r>
            <w:r>
              <w:rPr>
                <w:rFonts w:hint="eastAsia" w:asciiTheme="minorEastAsia" w:hAnsiTheme="minorEastAsia" w:eastAsiaTheme="minorEastAsia"/>
                <w:color w:val="000000" w:themeColor="text1"/>
                <w:spacing w:val="15"/>
                <w:sz w:val="15"/>
                <w:szCs w:val="15"/>
                <w14:textFill>
                  <w14:solidFill>
                    <w14:schemeClr w14:val="tx1"/>
                  </w14:solidFill>
                </w14:textFill>
              </w:rPr>
              <w:t>处十万元以上一百万元以下罚款，没收违法所得；情节严重的，报经有批准权的人民政府批准，可以责令停业或者关闭。</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1.未将检测数据传送至生活垃圾管理信息系统，系数为0-2；</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2.长期未按要求传送，未如实传送数据的，系数3-6；</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645"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33</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未落实生活垃圾处理台帐制度</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违反条款：第五十二条第一款第（五）项；处罚条款：第七十五条第三款 责令限期改正，处一千元以上一万元以下罚款；情节严重的，由城市管理综合执法部门吊销生活垃圾处理经营许可证。</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1.未按照要求向相关管理部门报送数据、报表以及相关情况，系数为0-2； </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2.未建立生活垃圾处理台账，系数为3-6； </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70" w:hRule="atLeast"/>
        </w:trPr>
        <w:tc>
          <w:tcPr>
            <w:tcW w:w="940" w:type="dxa"/>
            <w:gridSpan w:val="3"/>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34</w:t>
            </w:r>
          </w:p>
        </w:tc>
        <w:tc>
          <w:tcPr>
            <w:tcW w:w="1500" w:type="dxa"/>
            <w:gridSpan w:val="2"/>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未按要求公开设施污染控制监测指标和处理设施运行数据</w:t>
            </w:r>
          </w:p>
        </w:tc>
        <w:tc>
          <w:tcPr>
            <w:tcW w:w="2789" w:type="dxa"/>
            <w:gridSpan w:val="3"/>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1.未按要求公开数据的，系数0-2；</w:t>
            </w: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2.长期未公开数据，系数3-6；</w:t>
            </w: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3.造成较严重后果的，系数7-9。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35</w:t>
            </w:r>
          </w:p>
        </w:tc>
        <w:tc>
          <w:tcPr>
            <w:tcW w:w="1500" w:type="dxa"/>
            <w:gridSpan w:val="2"/>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生活垃圾集中转运、处理设施的运行管理单位</w:t>
            </w:r>
            <w:r>
              <w:rPr>
                <w:rFonts w:hint="eastAsia" w:asciiTheme="minorEastAsia" w:hAnsiTheme="minorEastAsia" w:eastAsiaTheme="minorEastAsia"/>
                <w:color w:val="000000" w:themeColor="text1"/>
                <w:sz w:val="15"/>
                <w:szCs w:val="15"/>
                <w14:textFill>
                  <w14:solidFill>
                    <w14:schemeClr w14:val="tx1"/>
                  </w14:solidFill>
                </w14:textFill>
              </w:rPr>
              <w:t>未按要求</w:t>
            </w:r>
            <w:r>
              <w:rPr>
                <w:rFonts w:cs="宋体" w:asciiTheme="minorEastAsia" w:hAnsiTheme="minorEastAsia" w:eastAsiaTheme="minorEastAsia"/>
                <w:color w:val="000000" w:themeColor="text1"/>
                <w:kern w:val="0"/>
                <w:sz w:val="15"/>
                <w:szCs w:val="15"/>
                <w14:textFill>
                  <w14:solidFill>
                    <w14:schemeClr w14:val="tx1"/>
                  </w14:solidFill>
                </w14:textFill>
              </w:rPr>
              <w:t>配套建设相应的参观、宣传设施</w:t>
            </w:r>
            <w:r>
              <w:rPr>
                <w:rFonts w:hint="eastAsia" w:cs="宋体" w:asciiTheme="minorEastAsia" w:hAnsiTheme="minorEastAsia" w:eastAsiaTheme="minorEastAsia"/>
                <w:color w:val="000000" w:themeColor="text1"/>
                <w:kern w:val="0"/>
                <w:sz w:val="15"/>
                <w:szCs w:val="15"/>
                <w14:textFill>
                  <w14:solidFill>
                    <w14:schemeClr w14:val="tx1"/>
                  </w14:solidFill>
                </w14:textFill>
              </w:rPr>
              <w:t>或者未</w:t>
            </w:r>
            <w:r>
              <w:rPr>
                <w:rFonts w:cs="宋体" w:asciiTheme="minorEastAsia" w:hAnsiTheme="minorEastAsia" w:eastAsiaTheme="minorEastAsia"/>
                <w:color w:val="000000" w:themeColor="text1"/>
                <w:kern w:val="0"/>
                <w:sz w:val="15"/>
                <w:szCs w:val="15"/>
                <w14:textFill>
                  <w14:solidFill>
                    <w14:schemeClr w14:val="tx1"/>
                  </w14:solidFill>
                </w14:textFill>
              </w:rPr>
              <w:t>在规定的公众开放日接待社会公众</w:t>
            </w: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违反条款：第五十二条第一款第（七）项；处罚条款：第七十五条第四款 责令立即改正，处二千元罚款；拒不改正的，处五千元以上三万元以下罚款。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5000（拒不改正的）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36</w:t>
            </w:r>
          </w:p>
        </w:tc>
        <w:tc>
          <w:tcPr>
            <w:tcW w:w="1500" w:type="dxa"/>
            <w:gridSpan w:val="2"/>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再生资源回收经营者未分类贮存物品</w:t>
            </w: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违反条款：第三十二条；处罚条款：第六十七条由区城市管理综合执法部门责令限期改正，处一千元以上五千元以下罚款；再次违反规定的，处五千元以上一万元以下罚款。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1000（初次违反）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5000（再次违反）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5</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曾因此违法行为受过到行政处罚，再次违反的适用此情形。</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 w:name="_Toc726075658"/>
            <w:bookmarkStart w:id="11" w:name="_Toc518466791"/>
            <w:bookmarkStart w:id="12" w:name="_Toc110851438"/>
            <w:r>
              <w:rPr>
                <w:rFonts w:hint="eastAsia" w:asciiTheme="minorEastAsia" w:hAnsiTheme="minorEastAsia" w:eastAsiaTheme="minorEastAsia"/>
                <w:color w:val="000000" w:themeColor="text1"/>
                <w:sz w:val="15"/>
                <w:szCs w:val="15"/>
                <w14:textFill>
                  <w14:solidFill>
                    <w14:schemeClr w14:val="tx1"/>
                  </w14:solidFill>
                </w14:textFill>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未按规定缴纳城市生活垃圾处理费</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1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未按规定配套建设城市生活垃圾收集设施</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违反条款：第十条；处罚条款：第三十九条，责令限期改正，并可处以1万元以下的罚款。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1.发生在其它重点大街、其它交通枢纽周边，或者主要旅游景区周边的，系数2；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pacing w:val="-4"/>
                <w:sz w:val="15"/>
                <w:szCs w:val="15"/>
                <w14:textFill>
                  <w14:solidFill>
                    <w14:schemeClr w14:val="tx1"/>
                  </w14:solidFill>
                </w14:textFill>
              </w:rPr>
              <w:t>发生在城市居住区或者其它人口集中地区周边的，系数为2；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3.同时存在其它违法行为，或者对环境秩序造成较严重影响的，系数2；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4.发生在天安门周边、长安街沿线及周边、主要商业繁华场所周边、机场车站等大型交通枢纽周边的，系数3。</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拟作出1000元以下罚款，说明理由并报案审会决定。</w:t>
            </w: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擅自关闭、闲置或者拆除城市生活垃圾处置设施、场所</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违反条款：第十三条；处罚条款：第四十一条，责令停止违法行为，限期改正，处以1万元以上10万元以下的罚款。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1.擅自关闭、闲置或者拆除居住区、办公区配建处理设施、场所的，系数为1；</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2.擅自关闭、闲置或者拆除消纳场等集中处理设施和场所的，系数为2；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3.较大餐饮服务单位违法，系数2；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4.大型蔬菜果品批发市场、物流配送中心违法，系数2；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5.造成较大社会影响或者严重后果的其它情形，系数4-9。</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随意倾倒、抛洒、堆放城市生活垃圾</w:t>
            </w:r>
          </w:p>
        </w:tc>
        <w:tc>
          <w:tcPr>
            <w:tcW w:w="2789" w:type="dxa"/>
            <w:gridSpan w:val="3"/>
            <w:vMerge w:val="restart"/>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违反条款：第十六条第四款；处罚条款：第四十二条，责令停止违法行为，限期改正，对单位处以5000元以上5万元以下的罚款。个人有以上行为的，处以200元以下的罚款。</w:t>
            </w:r>
          </w:p>
        </w:tc>
        <w:tc>
          <w:tcPr>
            <w:tcW w:w="851"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1．垃圾占地面积在5㎡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0；6－10㎡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1；以此类推；2.倾倒在绿地、公厕、城市道路等公共场所，或者燃气、供暖等公用管道和设施保护（管理）范围的，或者农田内的，系数3。</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根据实际情况处罚</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7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未经批准从事城市生活垃圾经营性清扫、收集、运输活动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违反条款：第十七条；处罚条款：第四十三条，责令停止违法行为，并处以3万元的罚款。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7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未经批准从事城市生活垃圾经营性处置活动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违反条款：第二十五条；处罚条款：第四十三条，责令停止违法行为，并处以3万元的罚款。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1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从事城市生活垃圾经营性清扫、收集、运输的企业在运输过程中沿途丢弃、遗撒生活垃圾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违反条款：第二十一条第（三）项；处罚条款：第四十四条，责令停止违法行为，限期改正，处以5000元以上5万元以下的罚款。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从事城市生活垃圾经营性清扫、收集、运输的企业未履行规定义务</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违反条款：第二十条；处罚条款：第四十五条，责令限期改正，并可处以5000元以上3万元以下的罚款。造成损失的，依法承担赔偿责任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未按要求收运的</w:t>
            </w:r>
            <w:r>
              <w:rPr>
                <w:rFonts w:hint="eastAsia" w:asciiTheme="minorEastAsia" w:hAnsiTheme="minorEastAsia" w:eastAsiaTheme="minorEastAsia"/>
                <w:color w:val="000000" w:themeColor="text1"/>
                <w:sz w:val="15"/>
                <w:szCs w:val="15"/>
                <w14:textFill>
                  <w14:solidFill>
                    <w14:schemeClr w14:val="tx1"/>
                  </w14:solidFill>
                </w14:textFill>
              </w:rPr>
              <w:t>垃圾总量较多、违法行为持续时间较长、对环境秩序造成较严重影响的，系数1-5</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注意与《北京市生活垃圾管理条例》的衔接，原则上优先适用《北京市生活垃圾管理条例》。</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从事城市生活垃圾经营性处置的企业未履行规定义务</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违反条款：第二十八条；处罚条款：第四十五条，责令限期改正，并可处以3万元以上10万元以下的罚款。造成损失的，依法承担赔偿责任</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违法行为持续时间较长、造成较严重影响的，系数1-2</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从事城市生活垃圾经营性清扫、收集、运输的企业未经批准擅自停业、歇业的</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违反条款：第二十一条第（二）项,第三十五条第一款；处罚条款：第四十六条，责令限期改正，并可处以1万元以上3万元以下罚款。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违法行为持续时间较长、造成较严重影响的，系数1-2</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从事城市生活垃圾经营性处置的企业未经批准擅自停业、歇业的</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违反条款：第三十五条第一款；处罚条款：第四十六条，责令限期改正，并可处以5万元以上10万元以下罚款。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3" w:name="_Toc1544417110"/>
            <w:bookmarkStart w:id="14" w:name="_Toc716781063"/>
            <w:bookmarkStart w:id="15" w:name="_Toc110851439"/>
            <w:r>
              <w:rPr>
                <w:rFonts w:hint="eastAsia" w:asciiTheme="minorEastAsia" w:hAnsiTheme="minorEastAsia" w:eastAsiaTheme="minorEastAsia"/>
                <w:color w:val="000000" w:themeColor="text1"/>
                <w:sz w:val="15"/>
                <w:szCs w:val="15"/>
                <w14:textFill>
                  <w14:solidFill>
                    <w14:schemeClr w14:val="tx1"/>
                  </w14:solidFill>
                </w14:textFill>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将建筑垃圾混入生活垃圾</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违反条款：第九条；处罚条款：第二十条第一款第（一）项及第二款，责令限期改正，予以警告；对单位处3000元以下罚款；对个人处200元以下罚款。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原则按照《北京市生活垃圾管理条例》“生活垃圾混装混运”案由适用。</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将危险废物混入建筑垃圾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违反条款：第九条；处罚条款：第二十条第一款第（二）项及第二款，责令限期改正，予以警告；对单位处3000元以下罚款；对个人处200元以下罚款。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根据实际情况酌定处罚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8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擅自设立弃置场受纳建筑垃圾</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违反条款：第九条；处罚条款：第二十条第一款第（三）项及第二款，责令限期改正，予以警告；对单位处5000元以上1万元以下罚款；对个人处3000元以下罚款。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76"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b/>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根据实际情况酌定处罚</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2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建筑垃圾储运消纳场受纳工业垃圾、生活垃圾和有毒有害垃圾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违反条款：第十条；处罚条款：第二十一条，责令限期改正，给予警告，处5000元以上1万元以下罚款。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未及时清运工程施工过程中产生的建筑垃圾造成环境污染</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违反条款：第十二条；处罚条款：第二十二条第一款，责令限期改正，给予警告，处5000元以上5万元以下罚款。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1.垃圾占地面积10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w:t>
            </w:r>
            <w:r>
              <w:rPr>
                <w:rFonts w:hint="eastAsia" w:cs="宋体" w:asciiTheme="minorEastAsia" w:hAnsiTheme="minorEastAsia" w:eastAsiaTheme="minorEastAsia"/>
                <w:color w:val="000000" w:themeColor="text1"/>
                <w:kern w:val="0"/>
                <w:sz w:val="15"/>
                <w:szCs w:val="15"/>
                <w14:textFill>
                  <w14:solidFill>
                    <w14:schemeClr w14:val="tx1"/>
                  </w14:solidFill>
                </w14:textFill>
              </w:rPr>
              <w:t>数2，以此类推。</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2.逾期不清的，每逾期2天，系数为１，以此累加。</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3.造成尘土飞扬，严重污染环境的，系数为9。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优先适用《中华人民共和国大气污染防治法》“未及时清运建筑土方（工程渣土、建筑垃圾）”案由和裁量执行，以此案由为补充。</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6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施工单位将建筑垃圾交给个人或者未经核准从事建筑垃圾运输的单位处置</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违反条款：第十三条；处罚条款：第二十二条第二款，责令限期改正，给予警告，处1万元以上10万元以下罚款。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根据违规交运或者处置的</w:t>
            </w:r>
            <w:r>
              <w:rPr>
                <w:rFonts w:hint="eastAsia" w:asciiTheme="minorEastAsia" w:hAnsiTheme="minorEastAsia" w:eastAsiaTheme="minorEastAsia"/>
                <w:color w:val="000000" w:themeColor="text1"/>
                <w:sz w:val="15"/>
                <w:szCs w:val="15"/>
                <w14:textFill>
                  <w14:solidFill>
                    <w14:schemeClr w14:val="tx1"/>
                  </w14:solidFill>
                </w14:textFill>
              </w:rPr>
              <w:t>垃圾数量、持续时间、对环境秩序较造成的影响等因素，在1-9之间确定变量系数。</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处置建筑垃圾的单位在运输建筑垃圾过程中沿途丢弃、遗撒建筑垃圾</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违反条款：第十四条；处罚条款：第二十三条，责令限期改正，给予警告，处5000元以上5万元以下罚款。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5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涂改、倒卖、出租、出借或者以其它形式非法转让城市建筑垃圾处置核准文件</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违反条款：第八条；处罚条款：第二十四条，责令限期改正，给予警告，处5000元以上2万元以下罚款。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违法行为持续时间较长、造成较严重影响的，系数1-3</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18" w:hRule="atLeast"/>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未经核准擅自处置建筑垃圾</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违反条款：第七条第一款；处罚条款：第二十五条第（一）项，责令限期改正，给予警告，对施工单位处1万元以上10万元以下罚款，对建设单位、运输建筑垃圾的单位处5000元以上3万元以下罚款。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（施工单位）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1.违法行为持续时间较长、处置建筑垃圾量较大，系数1-3；</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64"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（建设、运输单位）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1.违法行为持续时间较长、处置建筑垃圾量较大，系数1-3；</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罚款数额＝5000×（1＋情节系数＋变量系数）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w:t>
            </w:r>
          </w:p>
        </w:tc>
        <w:tc>
          <w:tcPr>
            <w:tcW w:w="1500" w:type="dxa"/>
            <w:gridSpan w:val="2"/>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处置超出核准范围的建筑垃圾</w:t>
            </w:r>
          </w:p>
        </w:tc>
        <w:tc>
          <w:tcPr>
            <w:tcW w:w="2789" w:type="dxa"/>
            <w:gridSpan w:val="3"/>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违反条款：第十四条；处罚条款：第二十五条第（二）项，责令限期改正，给予警告，对施工单位处1万元以上10万元以下罚款，对建设单位、运输建筑垃圾的单位处5000元以上3万元以下罚款。</w:t>
            </w:r>
          </w:p>
        </w:tc>
        <w:tc>
          <w:tcPr>
            <w:tcW w:w="851" w:type="dxa"/>
            <w:gridSpan w:val="2"/>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w:t>
            </w:r>
          </w:p>
        </w:tc>
        <w:tc>
          <w:tcPr>
            <w:tcW w:w="567" w:type="dxa"/>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1.违法行为持续时间较长、处置建筑垃圾量较大，系数1-3；</w:t>
            </w:r>
          </w:p>
          <w:p>
            <w:pPr>
              <w:spacing w:line="18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pacing w:val="-4"/>
                <w:sz w:val="15"/>
                <w:szCs w:val="15"/>
                <w14:textFill>
                  <w14:solidFill>
                    <w14:schemeClr w14:val="tx1"/>
                  </w14:solidFill>
                </w14:textFill>
              </w:rPr>
              <w:t>4</w:t>
            </w:r>
            <w:r>
              <w:rPr>
                <w:rFonts w:hint="eastAsia" w:asciiTheme="minorEastAsia" w:hAnsiTheme="minorEastAsia" w:eastAsiaTheme="minorEastAsia"/>
                <w:color w:val="000000" w:themeColor="text1"/>
                <w:spacing w:val="-4"/>
                <w:sz w:val="15"/>
                <w:szCs w:val="15"/>
                <w14:textFill>
                  <w14:solidFill>
                    <w14:schemeClr w14:val="tx1"/>
                  </w14:solidFill>
                </w14:textFill>
              </w:rPr>
              <w:t>-9。</w:t>
            </w:r>
          </w:p>
        </w:tc>
        <w:tc>
          <w:tcPr>
            <w:tcW w:w="1785"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罚款数额＝10000×（1＋情节系数＋变量系数）</w:t>
            </w:r>
          </w:p>
        </w:tc>
        <w:tc>
          <w:tcPr>
            <w:tcW w:w="2385" w:type="dxa"/>
            <w:gridSpan w:val="2"/>
            <w:vMerge w:val="continue"/>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（建设、运输单位）</w:t>
            </w:r>
          </w:p>
        </w:tc>
        <w:tc>
          <w:tcPr>
            <w:tcW w:w="567" w:type="dxa"/>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1.违法行为持续时间较长、处置建筑垃圾量较大，系数1-3；</w:t>
            </w:r>
          </w:p>
          <w:p>
            <w:pPr>
              <w:spacing w:line="18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785"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罚款数额＝5000×（1＋情节系数＋变量系数）</w:t>
            </w:r>
          </w:p>
        </w:tc>
        <w:tc>
          <w:tcPr>
            <w:tcW w:w="2385" w:type="dxa"/>
            <w:gridSpan w:val="2"/>
            <w:vMerge w:val="continue"/>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随意倾倒、抛撒或者堆放建筑垃圾</w:t>
            </w:r>
          </w:p>
        </w:tc>
        <w:tc>
          <w:tcPr>
            <w:tcW w:w="2789" w:type="dxa"/>
            <w:gridSpan w:val="3"/>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违反条款：第十五条；处罚条款：第二十六条：责令限期改正，给予警告，并对单位处5000元以上5万元以下罚款，对个人处200元以下罚款。</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asciiTheme="minorEastAsia" w:hAnsiTheme="minorEastAsia" w:eastAsiaTheme="minorEastAsia"/>
                <w:color w:val="000000" w:themeColor="text1"/>
                <w:spacing w:val="-6"/>
                <w:sz w:val="15"/>
                <w:szCs w:val="15"/>
                <w14:textFill>
                  <w14:solidFill>
                    <w14:schemeClr w14:val="tx1"/>
                  </w14:solidFill>
                </w14:textFill>
              </w:rPr>
            </w:pPr>
            <w:r>
              <w:rPr>
                <w:rFonts w:hint="eastAsia" w:asciiTheme="minorEastAsia" w:hAnsiTheme="minorEastAsia" w:eastAsiaTheme="minorEastAsia"/>
                <w:color w:val="000000" w:themeColor="text1"/>
                <w:spacing w:val="-6"/>
                <w:sz w:val="15"/>
                <w:szCs w:val="15"/>
                <w14:textFill>
                  <w14:solidFill>
                    <w14:schemeClr w14:val="tx1"/>
                  </w14:solidFill>
                </w14:textFill>
              </w:rPr>
              <w:t>1.沿途遗撒的，污染道路长21－30米的，系数1；31－40米的，系数2；以此类推；</w:t>
            </w:r>
          </w:p>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2.将垃圾随意倾倒、丢弃、堆放至绿地、公厕、城市道路等公共场所，或者燃气、供暖等公用管道和设施保护（管理）范围的，或者农田内的，系数3；</w:t>
            </w:r>
          </w:p>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3.违法行为持续时间较长、对环境秩序造成较严重影响的，系数3-9。</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参照基准规定，并根据实际情况处罚。</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717"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6" w:name="_Toc110851440"/>
            <w:bookmarkStart w:id="17" w:name="_Toc80602247"/>
            <w:bookmarkStart w:id="18" w:name="_Toc1434526632"/>
            <w:r>
              <w:rPr>
                <w:rFonts w:hint="eastAsia" w:asciiTheme="minorEastAsia" w:hAnsiTheme="minorEastAsia" w:eastAsiaTheme="minorEastAsia"/>
                <w:color w:val="000000" w:themeColor="text1"/>
                <w:sz w:val="15"/>
                <w:szCs w:val="15"/>
                <w14:textFill>
                  <w14:solidFill>
                    <w14:schemeClr w14:val="tx1"/>
                  </w14:solidFill>
                </w14:textFill>
              </w:rPr>
              <w:t>《中华人民共和国固体废物污染环境防治法》案由</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拒绝、阻扰固体废物污染环境防治监督检查或在接受监督检查时弄虚作假</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违反条款:第一百零三条;处罚条款：第一百零三条  责令改正，处五万元以上二十万元以下的罚款；对直接负责的主管人员和其他直接责任人员，处二万元以上十万元以下的罚款。</w:t>
            </w:r>
          </w:p>
        </w:tc>
        <w:tc>
          <w:tcPr>
            <w:tcW w:w="851"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50000</w:t>
            </w:r>
          </w:p>
        </w:tc>
        <w:tc>
          <w:tcPr>
            <w:tcW w:w="567" w:type="dxa"/>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0×（1＋情节系数）</w:t>
            </w:r>
          </w:p>
        </w:tc>
        <w:tc>
          <w:tcPr>
            <w:tcW w:w="23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8"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r>
              <w:rPr>
                <w:rFonts w:asciiTheme="minorEastAsia" w:hAnsiTheme="minorEastAsia" w:eastAsiaTheme="minorEastAsia"/>
                <w:color w:val="000000" w:themeColor="text1"/>
                <w:sz w:val="15"/>
                <w:szCs w:val="15"/>
                <w14:textFill>
                  <w14:solidFill>
                    <w14:schemeClr w14:val="tx1"/>
                  </w14:solidFill>
                </w14:textFill>
              </w:rPr>
              <w:t>主管人员或负责人）</w:t>
            </w:r>
          </w:p>
        </w:tc>
        <w:tc>
          <w:tcPr>
            <w:tcW w:w="567" w:type="dxa"/>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以暴力方式拒绝、阻挠监督检查，或造成其他严重后果的，系数为5-9。</w:t>
            </w:r>
          </w:p>
        </w:tc>
        <w:tc>
          <w:tcPr>
            <w:tcW w:w="17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0×（1＋情节系数+变量系数）</w:t>
            </w:r>
          </w:p>
        </w:tc>
        <w:tc>
          <w:tcPr>
            <w:tcW w:w="23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08"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工程施工单位未编制建筑垃圾处理方案报备案</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lang w:val="en"/>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违反条款：第六十三条第一款；处罚条款：第一百一十一条第一款第（三）项、第二款 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gridSpan w:val="2"/>
            <w:shd w:val="clear" w:color="auto" w:fill="auto"/>
            <w:vAlign w:val="center"/>
          </w:tcPr>
          <w:p>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＋情节系数）</w:t>
            </w:r>
          </w:p>
        </w:tc>
        <w:tc>
          <w:tcPr>
            <w:tcW w:w="2385"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1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196"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单位未在指定的地点分类投放生活垃圾情节</w:t>
            </w:r>
            <w:r>
              <w:rPr>
                <w:rFonts w:cs="宋体" w:asciiTheme="minorEastAsia" w:hAnsiTheme="minorEastAsia" w:eastAsiaTheme="minorEastAsia"/>
                <w:color w:val="000000" w:themeColor="text1"/>
                <w:sz w:val="15"/>
                <w:szCs w:val="15"/>
                <w14:textFill>
                  <w14:solidFill>
                    <w14:schemeClr w14:val="tx1"/>
                  </w14:solidFill>
                </w14:textFill>
              </w:rPr>
              <w:t>严重</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违反条款：第四十九条第二款；</w:t>
            </w:r>
            <w:r>
              <w:rPr>
                <w:rFonts w:cs="宋体" w:asciiTheme="minorEastAsia" w:hAnsiTheme="minorEastAsia" w:eastAsiaTheme="minorEastAsia"/>
                <w:color w:val="000000" w:themeColor="text1"/>
                <w:sz w:val="15"/>
                <w:szCs w:val="15"/>
                <w14:textFill>
                  <w14:solidFill>
                    <w14:schemeClr w14:val="tx1"/>
                  </w14:solidFill>
                </w14:textFill>
              </w:rPr>
              <w:t>处罚条款：</w:t>
            </w:r>
            <w:r>
              <w:rPr>
                <w:rFonts w:hint="eastAsia" w:cs="宋体" w:asciiTheme="minorEastAsia" w:hAnsiTheme="minorEastAsia" w:eastAsiaTheme="minorEastAsia"/>
                <w:color w:val="000000" w:themeColor="text1"/>
                <w:sz w:val="15"/>
                <w:szCs w:val="15"/>
                <w14:textFill>
                  <w14:solidFill>
                    <w14:schemeClr w14:val="tx1"/>
                  </w14:solidFill>
                </w14:textFill>
              </w:rPr>
              <w:t>第一百一十一条第三款 责令</w:t>
            </w:r>
            <w:r>
              <w:rPr>
                <w:rFonts w:cs="宋体" w:asciiTheme="minorEastAsia" w:hAnsiTheme="minorEastAsia" w:eastAsiaTheme="minorEastAsia"/>
                <w:color w:val="000000" w:themeColor="text1"/>
                <w:sz w:val="15"/>
                <w:szCs w:val="15"/>
                <w14:textFill>
                  <w14:solidFill>
                    <w14:schemeClr w14:val="tx1"/>
                  </w14:solidFill>
                </w14:textFill>
              </w:rPr>
              <w:t>改正；情节严重的</w:t>
            </w:r>
            <w:r>
              <w:rPr>
                <w:rFonts w:hint="eastAsia" w:cs="宋体" w:asciiTheme="minorEastAsia" w:hAnsiTheme="minorEastAsia" w:eastAsiaTheme="minorEastAsia"/>
                <w:color w:val="000000" w:themeColor="text1"/>
                <w:sz w:val="15"/>
                <w:szCs w:val="15"/>
                <w14:textFill>
                  <w14:solidFill>
                    <w14:schemeClr w14:val="tx1"/>
                  </w14:solidFill>
                </w14:textFill>
              </w:rPr>
              <w:t>，对单位处五万元以上五十万元以下的罚款。</w:t>
            </w:r>
          </w:p>
        </w:tc>
        <w:tc>
          <w:tcPr>
            <w:tcW w:w="851"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50000</w:t>
            </w:r>
          </w:p>
        </w:tc>
        <w:tc>
          <w:tcPr>
            <w:tcW w:w="567" w:type="dxa"/>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1．垃圾占地面积在5</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下的，系数</w:t>
            </w:r>
            <w:r>
              <w:rPr>
                <w:rFonts w:hint="eastAsia" w:asciiTheme="minorEastAsia" w:hAnsiTheme="minorEastAsia" w:eastAsiaTheme="minorEastAsia"/>
                <w:color w:val="000000" w:themeColor="text1"/>
                <w:sz w:val="15"/>
                <w:szCs w:val="15"/>
                <w14:textFill>
                  <w14:solidFill>
                    <w14:schemeClr w14:val="tx1"/>
                  </w14:solidFill>
                </w14:textFill>
              </w:rPr>
              <w:t>0；6－10</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1；以此类推；</w:t>
            </w:r>
          </w:p>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2.倾倒在绿地、公厕、城市道路等公共场所，或者燃气、供暖等公用管道和设施保护（管理）范围的，或者农田内的，系数3。</w:t>
            </w:r>
          </w:p>
        </w:tc>
        <w:tc>
          <w:tcPr>
            <w:tcW w:w="1785"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w:t>
            </w:r>
            <w:r>
              <w:rPr>
                <w:rFonts w:asciiTheme="minorEastAsia" w:hAnsiTheme="minorEastAsia" w:eastAsiaTheme="minorEastAsia"/>
                <w:color w:val="000000" w:themeColor="text1"/>
                <w:sz w:val="15"/>
                <w:szCs w:val="15"/>
                <w14:textFill>
                  <w14:solidFill>
                    <w14:schemeClr w14:val="tx1"/>
                  </w14:solidFill>
                </w14:textFill>
              </w:rPr>
              <w:t>严重情形：</w:t>
            </w:r>
          </w:p>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经责令，拒不改正</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2.拒绝、阻扰监督检查或在接受监督检查时弄虚作假的</w:t>
            </w:r>
            <w:r>
              <w:rPr>
                <w:rFonts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随意倾倒、抛撒或者堆放生活垃圾</w:t>
            </w:r>
          </w:p>
        </w:tc>
        <w:tc>
          <w:tcPr>
            <w:tcW w:w="2789" w:type="dxa"/>
            <w:gridSpan w:val="3"/>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w:t>
            </w:r>
            <w:r>
              <w:rPr>
                <w:rFonts w:hint="eastAsia" w:asciiTheme="minorEastAsia" w:hAnsiTheme="minorEastAsia" w:eastAsiaTheme="minorEastAsia"/>
                <w:color w:val="000000" w:themeColor="text1"/>
                <w:spacing w:val="-4"/>
                <w:sz w:val="15"/>
                <w:szCs w:val="15"/>
                <w14:textFill>
                  <w14:solidFill>
                    <w14:schemeClr w14:val="tx1"/>
                  </w14:solidFill>
                </w14:textFill>
              </w:rPr>
              <w:t>反条款：第四十九条第二款；处罚条款：第一百一十一条第一款第（一）项、第二款，责令</w:t>
            </w:r>
            <w:r>
              <w:rPr>
                <w:rFonts w:asciiTheme="minorEastAsia" w:hAnsiTheme="minorEastAsia" w:eastAsiaTheme="minorEastAsia"/>
                <w:color w:val="000000" w:themeColor="text1"/>
                <w:spacing w:val="-4"/>
                <w:sz w:val="15"/>
                <w:szCs w:val="15"/>
                <w14:textFill>
                  <w14:solidFill>
                    <w14:schemeClr w14:val="tx1"/>
                  </w14:solidFill>
                </w14:textFill>
              </w:rPr>
              <w:t>改正，</w:t>
            </w:r>
            <w:r>
              <w:rPr>
                <w:rFonts w:hint="eastAsia" w:asciiTheme="minorEastAsia" w:hAnsiTheme="minorEastAsia" w:eastAsiaTheme="minorEastAsia"/>
                <w:color w:val="000000" w:themeColor="text1"/>
                <w:spacing w:val="-4"/>
                <w:sz w:val="15"/>
                <w:szCs w:val="15"/>
                <w14:textFill>
                  <w14:solidFill>
                    <w14:schemeClr w14:val="tx1"/>
                  </w14:solidFill>
                </w14:textFill>
              </w:rPr>
              <w:t>没收</w:t>
            </w:r>
            <w:r>
              <w:rPr>
                <w:rFonts w:asciiTheme="minorEastAsia" w:hAnsiTheme="minorEastAsia" w:eastAsiaTheme="minorEastAsia"/>
                <w:color w:val="000000" w:themeColor="text1"/>
                <w:spacing w:val="-4"/>
                <w:sz w:val="15"/>
                <w:szCs w:val="15"/>
                <w14:textFill>
                  <w14:solidFill>
                    <w14:schemeClr w14:val="tx1"/>
                  </w14:solidFill>
                </w14:textFill>
              </w:rPr>
              <w:t>违法所得，</w:t>
            </w:r>
            <w:r>
              <w:rPr>
                <w:rFonts w:hint="eastAsia" w:asciiTheme="minorEastAsia" w:hAnsiTheme="minorEastAsia" w:eastAsiaTheme="minorEastAsia"/>
                <w:color w:val="000000" w:themeColor="text1"/>
                <w:spacing w:val="-4"/>
                <w:sz w:val="15"/>
                <w:szCs w:val="15"/>
                <w14:textFill>
                  <w14:solidFill>
                    <w14:schemeClr w14:val="tx1"/>
                  </w14:solidFill>
                </w14:textFill>
              </w:rPr>
              <w:t>单位有前款第一项、第七项行为之一，处五万元以上五十万元以下的罚款；……个人有前款第一项、第五项、第七项行为之一，处一百元以上五百元以下的罚款。</w:t>
            </w:r>
          </w:p>
        </w:tc>
        <w:tc>
          <w:tcPr>
            <w:tcW w:w="851"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r>
              <w:rPr>
                <w:rFonts w:asciiTheme="minorEastAsia" w:hAnsiTheme="minorEastAsia" w:eastAsiaTheme="minorEastAsia"/>
                <w:color w:val="000000" w:themeColor="text1"/>
                <w:sz w:val="15"/>
                <w:szCs w:val="15"/>
                <w14:textFill>
                  <w14:solidFill>
                    <w14:schemeClr w14:val="tx1"/>
                  </w14:solidFill>
                </w14:textFill>
              </w:rPr>
              <w:t>0</w:t>
            </w:r>
          </w:p>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auto"/>
            <w:vAlign w:val="center"/>
          </w:tcPr>
          <w:p>
            <w:pPr>
              <w:snapToGrid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1．垃圾占地面积在5</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下的，系数</w:t>
            </w:r>
            <w:r>
              <w:rPr>
                <w:rFonts w:hint="eastAsia" w:asciiTheme="minorEastAsia" w:hAnsiTheme="minorEastAsia" w:eastAsiaTheme="minorEastAsia"/>
                <w:color w:val="000000" w:themeColor="text1"/>
                <w:sz w:val="15"/>
                <w:szCs w:val="15"/>
                <w14:textFill>
                  <w14:solidFill>
                    <w14:schemeClr w14:val="tx1"/>
                  </w14:solidFill>
                </w14:textFill>
              </w:rPr>
              <w:t>0；6－10</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1；以此类推；</w:t>
            </w:r>
          </w:p>
          <w:p>
            <w:pPr>
              <w:snapToGrid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2.倾倒在绿地、公厕、城市道路等公共场所，或者燃气、供暖等公用管道和设施保护（管理）范围的，或者农田内的，系数3。</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95" w:hRule="atLeast"/>
        </w:trPr>
        <w:tc>
          <w:tcPr>
            <w:tcW w:w="940" w:type="dxa"/>
            <w:gridSpan w:val="3"/>
            <w:vMerge w:val="continue"/>
            <w:shd w:val="clear" w:color="auto" w:fill="auto"/>
            <w:vAlign w:val="center"/>
          </w:tcPr>
          <w:p>
            <w:pPr>
              <w:spacing w:line="190" w:lineRule="exact"/>
              <w:jc w:val="center"/>
              <w:rPr>
                <w:rFonts w:cs="宋体"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continue"/>
            <w:shd w:val="clear" w:color="auto" w:fill="auto"/>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060" w:hRule="atLeast"/>
        </w:trPr>
        <w:tc>
          <w:tcPr>
            <w:tcW w:w="940" w:type="dxa"/>
            <w:gridSpan w:val="3"/>
            <w:shd w:val="clear" w:color="auto" w:fill="auto"/>
            <w:vAlign w:val="center"/>
          </w:tcPr>
          <w:p>
            <w:pPr>
              <w:spacing w:line="19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擅自关闭、闲置或者拆除生活垃圾处理设施、场所</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违反条款：第五十五条第三款；处罚条款</w:t>
            </w:r>
            <w:r>
              <w:rPr>
                <w:rFonts w:hint="eastAsia" w:asciiTheme="minorEastAsia" w:hAnsiTheme="minorEastAsia" w:eastAsiaTheme="minorEastAsia"/>
                <w:color w:val="000000" w:themeColor="text1"/>
                <w:sz w:val="15"/>
                <w:szCs w:val="15"/>
                <w:lang w:eastAsia="zh-CN"/>
                <w14:textFill>
                  <w14:solidFill>
                    <w14:schemeClr w14:val="tx1"/>
                  </w14:solidFill>
                </w14:textFill>
              </w:rPr>
              <w:t>：</w:t>
            </w:r>
            <w:r>
              <w:rPr>
                <w:rFonts w:hint="eastAsia" w:asciiTheme="minorEastAsia" w:hAnsiTheme="minorEastAsia" w:eastAsiaTheme="minorEastAsia"/>
                <w:color w:val="000000" w:themeColor="text1"/>
                <w:sz w:val="15"/>
                <w:szCs w:val="15"/>
                <w:lang w:val="en-US" w:eastAsia="zh-CN"/>
                <w14:textFill>
                  <w14:solidFill>
                    <w14:schemeClr w14:val="tx1"/>
                  </w14:solidFill>
                </w14:textFill>
              </w:rPr>
              <w:t>第</w:t>
            </w:r>
            <w:r>
              <w:rPr>
                <w:rFonts w:hint="eastAsia" w:asciiTheme="minorEastAsia" w:hAnsiTheme="minorEastAsia" w:eastAsiaTheme="minorEastAsia"/>
                <w:color w:val="000000" w:themeColor="text1"/>
                <w:sz w:val="15"/>
                <w:szCs w:val="15"/>
                <w14:textFill>
                  <w14:solidFill>
                    <w14:schemeClr w14:val="tx1"/>
                  </w14:solidFill>
                </w14:textFill>
              </w:rPr>
              <w:t>一百一十一条第一款第（二）项、第二款，责令</w:t>
            </w:r>
            <w:r>
              <w:rPr>
                <w:rFonts w:asciiTheme="minorEastAsia" w:hAnsiTheme="minorEastAsia" w:eastAsiaTheme="minorEastAsia"/>
                <w:color w:val="000000" w:themeColor="text1"/>
                <w:sz w:val="15"/>
                <w:szCs w:val="15"/>
                <w14:textFill>
                  <w14:solidFill>
                    <w14:schemeClr w14:val="tx1"/>
                  </w14:solidFill>
                </w14:textFill>
              </w:rPr>
              <w:t>改正，没收违法所得，</w:t>
            </w:r>
            <w:r>
              <w:rPr>
                <w:rFonts w:hint="eastAsia" w:asciiTheme="minorEastAsia" w:hAnsiTheme="minorEastAsia" w:eastAsiaTheme="minorEastAsia"/>
                <w:color w:val="000000" w:themeColor="text1"/>
                <w:sz w:val="15"/>
                <w:szCs w:val="15"/>
                <w14:textFill>
                  <w14:solidFill>
                    <w14:schemeClr w14:val="tx1"/>
                  </w14:solidFill>
                </w14:textFill>
              </w:rPr>
              <w:t>对单位处十万元以上一百万元以下的罚款。</w:t>
            </w:r>
            <w:bookmarkStart w:id="223" w:name="_GoBack"/>
            <w:bookmarkEnd w:id="223"/>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r>
              <w:rPr>
                <w:rFonts w:cs="宋体" w:asciiTheme="minorEastAsia" w:hAnsiTheme="minorEastAsia" w:eastAsiaTheme="minorEastAsia"/>
                <w:color w:val="000000" w:themeColor="text1"/>
                <w:kern w:val="0"/>
                <w:sz w:val="15"/>
                <w:szCs w:val="15"/>
                <w14:textFill>
                  <w14:solidFill>
                    <w14:schemeClr w14:val="tx1"/>
                  </w14:solidFill>
                </w14:textFill>
              </w:rPr>
              <w:t>0</w:t>
            </w:r>
          </w:p>
        </w:tc>
        <w:tc>
          <w:tcPr>
            <w:tcW w:w="567" w:type="dxa"/>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1.擅自关闭、闲置或者拆除居住区、办公区配建处理设施、场所的，系数为1；</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擅自关闭、闲置或者拆除消纳场等集中处理设施和场所的，系数为2；</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特大型、大型餐饮经营者违法</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，系数2；</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大型蔬菜果品批发市场、物流配送中心违法，系数2；</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造成较大社会影响或者严重后果的其他情形，系数4-9。</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7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工程施工单位未及时清运施工过程中产生的固体废物</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违反条款：第六十三条第二款；处罚条款：第一百一十一条第一款第（三）项、第二款 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垃圾占地面积10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0；11－15</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1；16－20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b/>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34"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工程施工单位擅自倾倒、抛撒或者堆放工程施工过程中产生的建筑垃圾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违反条款：第六十三条第三款；处罚条款：第一百一十一条第一款第（四）项、第二款责令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垃圾占地面积10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0；11－15</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1；16－20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b/>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98"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工程施工单位未按照规定对施工过程中产生的固体废物进行利用或者处置的</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违反条款：第六十三条第二款；处罚条款：第一百一十一条第一款第（四）项、第二款 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r>
              <w:rPr>
                <w:rFonts w:cs="宋体" w:asciiTheme="minorEastAsia" w:hAnsiTheme="minorEastAsia" w:eastAsiaTheme="minorEastAsia"/>
                <w:color w:val="000000" w:themeColor="text1"/>
                <w:kern w:val="0"/>
                <w:sz w:val="15"/>
                <w:szCs w:val="15"/>
                <w14:textFill>
                  <w14:solidFill>
                    <w14:schemeClr w14:val="tx1"/>
                  </w14:solidFill>
                </w14:textFill>
              </w:rPr>
              <w:t>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w:t>
            </w:r>
            <w:r>
              <w:rPr>
                <w:rFonts w:cs="宋体" w:asciiTheme="minorEastAsia" w:hAnsiTheme="minorEastAsia" w:eastAsiaTheme="minorEastAsia"/>
                <w:color w:val="000000" w:themeColor="text1"/>
                <w:kern w:val="0"/>
                <w:sz w:val="15"/>
                <w:szCs w:val="15"/>
                <w14:textFill>
                  <w14:solidFill>
                    <w14:schemeClr w14:val="tx1"/>
                  </w14:solidFill>
                </w14:textFill>
              </w:rPr>
              <w:t>利用或处置的固体废物</w:t>
            </w: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占地面积10</w:t>
            </w:r>
            <w:r>
              <w:rPr>
                <w:rFonts w:hint="eastAsia" w:cs="Microsoft JhengHei"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Microsoft JhengHei"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Microsoft JhengHei"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b/>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32" w:lineRule="exact"/>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未将厨余垃圾交由具备相应资质条件的单位进行无害化处理</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特大型、大型餐饮经营者，变量系数为1；（以餐饮服务许可标注的类别为准。）</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2.将厨余垃圾随意倾倒、丢弃、堆放至绿地、公厕、城市道路等公共场所，或者燃气、供暖等公用管道和设施保护（管理）范围的，或者农田内的，系数3；</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厨余垃圾总量较大、持续时间较长、对环境秩序造成较严重影响的，系数3-9；</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4.知道或者应当知道无资质收运单位和个人收集厨余垃圾用于生产“地沟油”而继续交运的，系数9。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运输过程中沿途丢弃、遗撒生活垃圾</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违反条款：第二十条第一款；处罚条款：第一百一十一条第一款第（七）项、第二款，责令改正</w:t>
            </w:r>
            <w:r>
              <w:rPr>
                <w:rFonts w:asciiTheme="minorEastAsia" w:hAnsiTheme="minorEastAsia" w:eastAsiaTheme="minorEastAsia"/>
                <w:color w:val="000000" w:themeColor="text1"/>
                <w:sz w:val="15"/>
                <w:szCs w:val="15"/>
                <w14:textFill>
                  <w14:solidFill>
                    <w14:schemeClr w14:val="tx1"/>
                  </w14:solidFill>
                </w14:textFill>
              </w:rPr>
              <w:t>，没收违法所得</w:t>
            </w:r>
            <w:r>
              <w:rPr>
                <w:rFonts w:hint="eastAsia" w:asciiTheme="minorEastAsia" w:hAnsiTheme="minorEastAsia" w:eastAsiaTheme="minorEastAsia"/>
                <w:color w:val="000000" w:themeColor="text1"/>
                <w:sz w:val="15"/>
                <w:szCs w:val="15"/>
                <w14:textFill>
                  <w14:solidFill>
                    <w14:schemeClr w14:val="tx1"/>
                  </w14:solidFill>
                </w14:textFill>
              </w:rPr>
              <w:t>，对单位五万元以上五十万元以下的罚款；对个人处一百元以上五百元以下的罚款。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r>
              <w:rPr>
                <w:rFonts w:asciiTheme="minorEastAsia" w:hAnsiTheme="minorEastAsia" w:eastAsiaTheme="minorEastAsia"/>
                <w:color w:val="000000" w:themeColor="text1"/>
                <w:sz w:val="15"/>
                <w:szCs w:val="15"/>
                <w14:textFill>
                  <w14:solidFill>
                    <w14:schemeClr w14:val="tx1"/>
                  </w14:solidFill>
                </w14:textFill>
              </w:rPr>
              <w:t>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09"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9" w:name="_Toc110851441"/>
            <w:bookmarkStart w:id="20" w:name="_Toc1190756898"/>
            <w:bookmarkStart w:id="21" w:name="_Toc812078872"/>
            <w:r>
              <w:rPr>
                <w:rFonts w:hint="eastAsia" w:asciiTheme="minorEastAsia" w:hAnsiTheme="minorEastAsia" w:eastAsiaTheme="minorEastAsia"/>
                <w:color w:val="000000" w:themeColor="text1"/>
                <w:sz w:val="15"/>
                <w:szCs w:val="15"/>
                <w14:textFill>
                  <w14:solidFill>
                    <w14:schemeClr w14:val="tx1"/>
                  </w14:solidFill>
                </w14:textFill>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未落实“门前三包”责任制</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违反条款：第三条第（一）项、第（二）项、第（三）项；处罚条款：第八条，对违反本办法的单位应当责令改正，并视情节轻重，处200元以上1000元以下的罚款，并对单位负责人处20元以上50元以下的罚款。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w:t>
            </w:r>
          </w:p>
        </w:tc>
        <w:tc>
          <w:tcPr>
            <w:tcW w:w="567" w:type="dxa"/>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3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（对单位负责人）</w:t>
            </w:r>
          </w:p>
        </w:tc>
        <w:tc>
          <w:tcPr>
            <w:tcW w:w="567" w:type="dxa"/>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对单位责任人的罚款，由执法部门酌情决定；单位是个体户的，仅处罚单位即可。</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22" w:name="_Toc110851442"/>
            <w:bookmarkStart w:id="23" w:name="_Toc1567388814"/>
            <w:bookmarkStart w:id="24" w:name="_Toc474941224"/>
            <w:r>
              <w:rPr>
                <w:rFonts w:hint="eastAsia" w:asciiTheme="minorEastAsia" w:hAnsiTheme="minorEastAsia" w:eastAsiaTheme="minorEastAsia"/>
                <w:color w:val="000000" w:themeColor="text1"/>
                <w:sz w:val="15"/>
                <w:szCs w:val="15"/>
                <w14:textFill>
                  <w14:solidFill>
                    <w14:schemeClr w14:val="tx1"/>
                  </w14:solidFill>
                </w14:textFill>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3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未按规定扫雪铲冰</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违反条款：第三条第一款、第二款；处罚条款：第六条，责令改正，并处200元以上1000元以下罚款。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sz w:val="15"/>
                <w:szCs w:val="15"/>
              </w:rPr>
            </w:pPr>
            <w:bookmarkStart w:id="25" w:name="_Toc863425082"/>
            <w:bookmarkStart w:id="26" w:name="_Toc764526123"/>
            <w:bookmarkStart w:id="27" w:name="_Toc110851443"/>
            <w:r>
              <w:rPr>
                <w:rFonts w:hint="eastAsia" w:asciiTheme="minorEastAsia" w:hAnsiTheme="minorEastAsia" w:eastAsiaTheme="minorEastAsia"/>
                <w:sz w:val="15"/>
                <w:szCs w:val="15"/>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29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napToGrid w:val="0"/>
                <w:color w:val="000000" w:themeColor="text1"/>
                <w:kern w:val="32"/>
                <w:sz w:val="15"/>
                <w:szCs w:val="15"/>
                <w14:textFill>
                  <w14:solidFill>
                    <w14:schemeClr w14:val="tx1"/>
                  </w14:solidFill>
                </w14:textFill>
              </w:rPr>
              <w:t>违法设置户外广告设施</w:t>
            </w:r>
          </w:p>
        </w:tc>
        <w:tc>
          <w:tcPr>
            <w:tcW w:w="2789" w:type="dxa"/>
            <w:gridSpan w:val="3"/>
            <w:shd w:val="clear" w:color="auto" w:fill="auto"/>
            <w:vAlign w:val="center"/>
          </w:tcPr>
          <w:p>
            <w:pPr>
              <w:spacing w:line="232" w:lineRule="exact"/>
              <w:rPr>
                <w:rFonts w:asciiTheme="minorEastAsia" w:hAnsiTheme="minorEastAsia" w:eastAsiaTheme="minorEastAsia"/>
                <w:snapToGrid w:val="0"/>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违反条款：第十五条；第十六条第一款；第十七条；第十八条第三款；第二十四条；第二十五条；</w:t>
            </w:r>
            <w:r>
              <w:rPr>
                <w:rFonts w:hint="eastAsia" w:asciiTheme="minorEastAsia" w:hAnsiTheme="minorEastAsia" w:eastAsiaTheme="minorEastAsia"/>
                <w:snapToGrid w:val="0"/>
                <w:color w:val="000000" w:themeColor="text1"/>
                <w:kern w:val="32"/>
                <w:sz w:val="15"/>
                <w:szCs w:val="15"/>
                <w14:textFill>
                  <w14:solidFill>
                    <w14:schemeClr w14:val="tx1"/>
                  </w14:solidFill>
                </w14:textFill>
              </w:rPr>
              <w:t>（根据发生违法行为选择适用）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处罚条款：第四十九条第一款，以及《北京市市容环境卫生条例》第三十八条第二款，责令限期拆除，逾期未拆除的，强制拆除，并可处1万元以上10万元以下罚款。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.违法设置大型户外广告设施的，系数为2；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2.违法设置距地十米以上户外广告设施的，系数为2；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3.违法设置2处户外广告设施的，系数为2,以此类推。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　</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按照新法优于旧法原则，优先适用本条例，裁量基准以此为准。</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为违法设置的户外广告设施提供载体</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w:t>
            </w:r>
            <w:r>
              <w:rPr>
                <w:rFonts w:asciiTheme="minorEastAsia" w:hAnsiTheme="minorEastAsia" w:eastAsiaTheme="minorEastAsia"/>
                <w:color w:val="000000" w:themeColor="text1"/>
                <w:sz w:val="15"/>
                <w:szCs w:val="15"/>
                <w14:textFill>
                  <w14:solidFill>
                    <w14:schemeClr w14:val="tx1"/>
                  </w14:solidFill>
                </w14:textFill>
              </w:rPr>
              <w:t>十八条第二款</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w:t>
            </w:r>
            <w:r>
              <w:rPr>
                <w:rFonts w:asciiTheme="minorEastAsia" w:hAnsiTheme="minorEastAsia" w:eastAsiaTheme="minorEastAsia"/>
                <w:color w:val="000000" w:themeColor="text1"/>
                <w:sz w:val="15"/>
                <w:szCs w:val="15"/>
                <w14:textFill>
                  <w14:solidFill>
                    <w14:schemeClr w14:val="tx1"/>
                  </w14:solidFill>
                </w14:textFill>
              </w:rPr>
              <w:t>第四十九条第二款，</w:t>
            </w:r>
            <w:r>
              <w:rPr>
                <w:rFonts w:hint="eastAsia" w:asciiTheme="minorEastAsia" w:hAnsiTheme="minorEastAsia" w:eastAsiaTheme="minorEastAsia"/>
                <w:color w:val="000000" w:themeColor="text1"/>
                <w:sz w:val="15"/>
                <w:szCs w:val="15"/>
                <w14:textFill>
                  <w14:solidFill>
                    <w14:schemeClr w14:val="tx1"/>
                  </w14:solidFill>
                </w14:textFill>
              </w:rPr>
              <w:t>责令限期改正；逾期不改正的，处一万元以上十万元以下罚款。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1.违法设置大型户外广告设施的，系数为2；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2.违法设置距地十米以上的户外广告设施的，系数为2；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3.为2处违法设置户外广告设施提供载体的，系数2，</w:t>
            </w:r>
            <w:r>
              <w:rPr>
                <w:rFonts w:cs="宋体" w:asciiTheme="minorEastAsia" w:hAnsiTheme="minorEastAsia" w:eastAsiaTheme="minorEastAsia"/>
                <w:color w:val="000000" w:themeColor="text1"/>
                <w:kern w:val="0"/>
                <w:sz w:val="15"/>
                <w:szCs w:val="15"/>
                <w14:textFill>
                  <w14:solidFill>
                    <w14:schemeClr w14:val="tx1"/>
                  </w14:solidFill>
                </w14:textFill>
              </w:rPr>
              <w:t>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84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违法设置固定式牌匾标识</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snapToGrid w:val="0"/>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违反条款：第三十条；第三十一条；第三十五条第二款；</w:t>
            </w:r>
            <w:r>
              <w:rPr>
                <w:rFonts w:hint="eastAsia" w:asciiTheme="minorEastAsia" w:hAnsiTheme="minorEastAsia" w:eastAsiaTheme="minorEastAsia"/>
                <w:snapToGrid w:val="0"/>
                <w:color w:val="000000" w:themeColor="text1"/>
                <w:kern w:val="32"/>
                <w:sz w:val="15"/>
                <w:szCs w:val="15"/>
                <w14:textFill>
                  <w14:solidFill>
                    <w14:schemeClr w14:val="tx1"/>
                  </w14:solidFill>
                </w14:textFill>
              </w:rPr>
              <w:t>（根据发生违法行为选择适用）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处罚条款：第四十九条第三款，以及《北京市市容环境卫生条例》第三十九条第一款，责令限期改正，逾期不改正的，予以强制拆除，并可处500元以上5000元以下罚款。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1.违法设置大型固定式牌匾标识的，系数为2；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2.违法设置距地十米以上的固定式牌匾标识的，系数为2；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3.违法设置2处牌匾标识的，系数为2,以此类推。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电子显示装置不符合设置规范（或者运行时间要求）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处罚条款：第五十条，责令限期改正；逾期不改正的，处一千元以上一万元以下罚款。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1.大型电子显示装置，系数为2；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2.距地十米以上的电子显示装置，系数为2。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未按照公共汽电车车身户外广告设置方案设置户外广告</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处罚条款：第五十一条，责令限期改正；逾期不改正的，按照每辆车五千元处以罚款。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罚款数额＝5000×N（N为车辆数）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在非公共汽电车车身上设置广告</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违反条款：第二十六条第二款。</w:t>
            </w:r>
          </w:p>
          <w:p>
            <w:pPr>
              <w:spacing w:line="232" w:lineRule="exact"/>
              <w:rPr>
                <w:rFonts w:asciiTheme="minorEastAsia" w:hAnsiTheme="minorEastAsia" w:eastAsiaTheme="minorEastAsia"/>
                <w:color w:val="000000" w:themeColor="text1"/>
                <w:spacing w:val="-6"/>
                <w:sz w:val="15"/>
                <w:szCs w:val="15"/>
                <w14:textFill>
                  <w14:solidFill>
                    <w14:schemeClr w14:val="tx1"/>
                  </w14:solidFill>
                </w14:textFill>
              </w:rPr>
            </w:pPr>
            <w:r>
              <w:rPr>
                <w:rFonts w:hint="eastAsia" w:asciiTheme="minorEastAsia" w:hAnsiTheme="minorEastAsia" w:eastAsiaTheme="minorEastAsia"/>
                <w:color w:val="000000" w:themeColor="text1"/>
                <w:spacing w:val="-6"/>
                <w:sz w:val="15"/>
                <w:szCs w:val="15"/>
                <w14:textFill>
                  <w14:solidFill>
                    <w14:schemeClr w14:val="tx1"/>
                  </w14:solidFill>
                </w14:textFill>
              </w:rPr>
              <w:t>处罚条款：第五十一条，责令限期改正；逾期不改正的，按照每辆车五千元处以罚款。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罚款数额＝5000×N（N为车辆数）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公交候车亭户外广告设施不符合设置方案</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违反条款：第二十七条第二款。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处罚条款：第五十二条，责令限期改正；逾期不改正的，按照每个公交候车亭五千元处以罚款。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罚款数额＝5000×N（N为公交候车亭数）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设置的车身标识不符合要求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处罚条款：第五十三条，责令限期改正；逾期不改正的，按照每辆车二千元处以罚款。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罚款数额＝2000×N（N为车辆数）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6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未经许可设置标语宣传品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处罚条款：第五十四条第一款，责令立即改正；造成恶劣影响或者拒不改正的，处五百元以上五千元以下罚款。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1.利用交通、照明、电力、通信、邮政、环境卫生等公共设施设置的，系数为2；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3.未经许可设置标语宣传品引发有关事故的，系数为4。</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5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设置标语宣传品不符合相关要求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违反条款：第三十七条、第三十八条、第三十九条；（根据不同情形选择适用）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处罚条款：第五十四条第一款，责令立即改正；造成恶劣影响或者拒不改正的，处五百元以上五千元以下罚款。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1.设置2个不符合要求标语宣传品的，系数为2，以此类推；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3.设置标语宣传品不符合要求引发有关事故的，系数为4。</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所有人未履行安全管理责任</w:t>
            </w:r>
          </w:p>
        </w:tc>
        <w:tc>
          <w:tcPr>
            <w:tcW w:w="2789" w:type="dxa"/>
            <w:gridSpan w:val="3"/>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违反条款：第四十条第一款第(一)项、第(三)项、第(四)项、第(五)项；（根据不同情形选择适用）</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处罚条款：第五十五条第一款，责令其履行相关责任，恢复相关设施正常功能，处一千元以上一万元以下罚款。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1.设置在环路、高（快）速路两侧，或者车站、机场、居民小区、医院、学校、体育场馆、影剧院、繁华商业街区、旅游景区等人口集中地区的，系数2；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2.大型户外广告设施、固定式牌匾标识，系数为2；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3.距地十米以上的户外广告设施、牌匾标识，系数为2。</w:t>
            </w:r>
          </w:p>
        </w:tc>
        <w:tc>
          <w:tcPr>
            <w:tcW w:w="17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罚款数额＝1000×（1＋区域系数＋情节系数+变量系数）</w:t>
            </w:r>
          </w:p>
        </w:tc>
        <w:tc>
          <w:tcPr>
            <w:tcW w:w="23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未定期对大型（或者距地十米以上的）户外广告设施进行安全鉴定</w:t>
            </w:r>
          </w:p>
        </w:tc>
        <w:tc>
          <w:tcPr>
            <w:tcW w:w="2789" w:type="dxa"/>
            <w:gridSpan w:val="3"/>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违反条款：第四十条第一款第(二)项；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处罚条款：第五十五条第二款，责令限期改正；逾期不改正的，按照违法设置户外广告设施的行为处理，</w:t>
            </w:r>
            <w:r>
              <w:rPr>
                <w:rFonts w:asciiTheme="minorEastAsia" w:hAnsiTheme="minorEastAsia" w:eastAsiaTheme="minorEastAsia"/>
                <w:color w:val="000000" w:themeColor="text1"/>
                <w:sz w:val="15"/>
                <w:szCs w:val="15"/>
                <w14:textFill>
                  <w14:solidFill>
                    <w14:schemeClr w14:val="tx1"/>
                  </w14:solidFill>
                </w14:textFill>
              </w:rPr>
              <w:t>以及</w:t>
            </w:r>
            <w:r>
              <w:rPr>
                <w:rFonts w:hint="eastAsia" w:asciiTheme="minorEastAsia" w:hAnsiTheme="minorEastAsia" w:eastAsiaTheme="minorEastAsia"/>
                <w:color w:val="000000" w:themeColor="text1"/>
                <w:sz w:val="15"/>
                <w:szCs w:val="15"/>
                <w14:textFill>
                  <w14:solidFill>
                    <w14:schemeClr w14:val="tx1"/>
                  </w14:solidFill>
                </w14:textFill>
              </w:rPr>
              <w:t>《北京市市容环境卫生条例》第三十八条第二款，责令限期拆除，逾期未拆除的，强制拆除，并可处1万元以上10万元以下罚款。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1.设置在环路、高（快）速路两侧，或者车站、机场、居民小区、医院、学校、体育场馆、影剧院、繁华商业街区、旅游景区等人口集中地区的，系数为2；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2.因未安全鉴定引发户外广告设施掉落等行为影响公共安全的，系数为9。</w:t>
            </w:r>
          </w:p>
        </w:tc>
        <w:tc>
          <w:tcPr>
            <w:tcW w:w="17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实施处罚援引法律依据时，应当同时援引《条例》第五十五条第二款，以及《北京市市容环境卫生条例》第三十八条第二款规定</w:t>
            </w:r>
          </w:p>
        </w:tc>
        <w:tc>
          <w:tcPr>
            <w:tcW w:w="1208"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未定期对大型（或者距地十米以上的）固定式牌匾标识进行安全鉴定</w:t>
            </w:r>
          </w:p>
        </w:tc>
        <w:tc>
          <w:tcPr>
            <w:tcW w:w="2789" w:type="dxa"/>
            <w:gridSpan w:val="3"/>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违反条款：第四十条第一款第(二)项；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处罚条款：第五十五条第二款，责令限期改正；逾期不改正的，按照违法设置固定式牌匾标识的行为处理，</w:t>
            </w:r>
            <w:r>
              <w:rPr>
                <w:rFonts w:asciiTheme="minorEastAsia" w:hAnsiTheme="minorEastAsia" w:eastAsiaTheme="minorEastAsia"/>
                <w:color w:val="000000" w:themeColor="text1"/>
                <w:sz w:val="15"/>
                <w:szCs w:val="15"/>
                <w14:textFill>
                  <w14:solidFill>
                    <w14:schemeClr w14:val="tx1"/>
                  </w14:solidFill>
                </w14:textFill>
              </w:rPr>
              <w:t>以及</w:t>
            </w:r>
            <w:r>
              <w:rPr>
                <w:rFonts w:hint="eastAsia" w:asciiTheme="minorEastAsia" w:hAnsiTheme="minorEastAsia" w:eastAsiaTheme="minorEastAsia"/>
                <w:color w:val="000000" w:themeColor="text1"/>
                <w:sz w:val="15"/>
                <w:szCs w:val="15"/>
                <w14:textFill>
                  <w14:solidFill>
                    <w14:schemeClr w14:val="tx1"/>
                  </w14:solidFill>
                </w14:textFill>
              </w:rPr>
              <w:t>《北京市市容环境卫生条例》第三十九条第一款，责令限期改正，逾期不改正的，予以强制拆除，并可处500元以上5000元以下罚款。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1.设置在车站、机场、居民小区、医院、学校、体育场馆、影剧院、繁华商业街区、旅游景区等人口集中地区的，系数为2；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2.因未安全鉴定引发牌匾标识掉落等行为影响公共安全的，系数为9。</w:t>
            </w:r>
          </w:p>
        </w:tc>
        <w:tc>
          <w:tcPr>
            <w:tcW w:w="17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实施处罚援引法律依据时，应当同时援引《条例》第五十五条第二款，以及《北京市市容环境卫生条例》第三十九条第一款规定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所有人未履行日常维护责任</w:t>
            </w:r>
          </w:p>
        </w:tc>
        <w:tc>
          <w:tcPr>
            <w:tcW w:w="2789" w:type="dxa"/>
            <w:gridSpan w:val="3"/>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违反条款：第四十一条第(一)项、第（二）项、第(三)项、第(四)项；（根据不同情形选择适用）</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处罚条款：第五十五条第一款，责令其履行相关责任，恢复相关设施正常功能，处一千元以上一万元以下罚款。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1.设置在环路、高（快）速路两侧，或者车站、机场、居民小区、医院、学校、体育场馆、影剧院、繁华商业街区、旅游景区等人口集中地区的，系数2；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2.大型户外广告设施、固定式牌匾标识，变量系数为2；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3.距地十米以上的户外广告设施、牌匾标识，变量系数为2。</w:t>
            </w:r>
          </w:p>
        </w:tc>
        <w:tc>
          <w:tcPr>
            <w:tcW w:w="17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28" w:name="_Toc1259272913"/>
            <w:bookmarkStart w:id="29" w:name="_Toc295250662"/>
            <w:bookmarkStart w:id="30" w:name="_Toc110851445"/>
            <w:r>
              <w:rPr>
                <w:rFonts w:hint="eastAsia" w:asciiTheme="minorEastAsia" w:hAnsiTheme="minorEastAsia" w:eastAsiaTheme="minorEastAsia"/>
                <w:color w:val="000000" w:themeColor="text1"/>
                <w:sz w:val="15"/>
                <w:szCs w:val="15"/>
                <w14:textFill>
                  <w14:solidFill>
                    <w14:schemeClr w14:val="tx1"/>
                  </w14:solidFill>
                </w14:textFill>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标语宣传品含有商业广告内容</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处罚条款：第十八条 责令改正，处1000元以上1万元以下罚款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7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改变固定宣传设施的使用性质用于商业广告</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处罚条款：第十八条 责令改正，处1000元以上1万元以下罚款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w:t>
            </w:r>
            <w:r>
              <w:rPr>
                <w:rFonts w:cs="宋体" w:asciiTheme="minorEastAsia" w:hAnsiTheme="minorEastAsia" w:eastAsiaTheme="minorEastAsia"/>
                <w:color w:val="000000" w:themeColor="text1"/>
                <w:kern w:val="0"/>
                <w:sz w:val="15"/>
                <w:szCs w:val="15"/>
                <w14:textFill>
                  <w14:solidFill>
                    <w14:schemeClr w14:val="tx1"/>
                  </w14:solidFill>
                </w14:textFill>
              </w:rPr>
              <w:t>作出</w:t>
            </w:r>
            <w:r>
              <w:rPr>
                <w:rFonts w:hint="eastAsia" w:cs="宋体" w:asciiTheme="minorEastAsia" w:hAnsiTheme="minorEastAsia" w:eastAsiaTheme="minorEastAsia"/>
                <w:color w:val="000000" w:themeColor="text1"/>
                <w:kern w:val="0"/>
                <w:sz w:val="15"/>
                <w:szCs w:val="15"/>
                <w14:textFill>
                  <w14:solidFill>
                    <w14:schemeClr w14:val="tx1"/>
                  </w14:solidFill>
                </w14:textFill>
              </w:rPr>
              <w:t>其它处罚额度决定的，说明理由，报案审会决定</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6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未经批准设置标语宣传品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处罚条款：第十九条，责令限期改正，并可处500元以上5000以下罚款。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1.利用交通、照明、电力、通信、邮政、环境卫生等公共设施设置的，系数为2；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3.未经许可设置标语宣传品引发有关事故的，系数为4。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9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未按批准要求设置标语宣传品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违反条款：第十四条；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处罚条款：第十九条，责令限期改正，并可处500元以上5000以下罚款。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1.设置2个不符合要求标语宣传品的，系数为2，以此类推；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3.设置标语宣传品不符合要求引发有关事故的，系数为4。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未按规定管护宣传设施或者标语宣传品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处罚条款：第二十条第一款 责令限期改正，可处100元以上1000元以下罚款。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车站、机场、居民小区、医院、学校、体育场馆、影剧院、繁华商业街区、旅游景区等人口集中地区的固定宣传设施不安全不牢固的，系数为5；上述区域污损、残缺的，系数为3。</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2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未及时撤除标语宣传品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处罚条款：第二十条第一款 责令限期改正，可处100元以上1000元以下罚款。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w:t>
            </w:r>
            <w:r>
              <w:rPr>
                <w:rFonts w:cs="宋体" w:asciiTheme="minorEastAsia" w:hAnsiTheme="minorEastAsia" w:eastAsiaTheme="minorEastAsia"/>
                <w:color w:val="000000" w:themeColor="text1"/>
                <w:kern w:val="0"/>
                <w:sz w:val="15"/>
                <w:szCs w:val="15"/>
                <w14:textFill>
                  <w14:solidFill>
                    <w14:schemeClr w14:val="tx1"/>
                  </w14:solidFill>
                </w14:textFill>
              </w:rPr>
              <w:t>作出</w:t>
            </w:r>
            <w:r>
              <w:rPr>
                <w:rFonts w:hint="eastAsia" w:cs="宋体" w:asciiTheme="minorEastAsia" w:hAnsiTheme="minorEastAsia" w:eastAsiaTheme="minorEastAsia"/>
                <w:color w:val="000000" w:themeColor="text1"/>
                <w:kern w:val="0"/>
                <w:sz w:val="15"/>
                <w:szCs w:val="15"/>
                <w14:textFill>
                  <w14:solidFill>
                    <w14:schemeClr w14:val="tx1"/>
                  </w14:solidFill>
                </w14:textFill>
              </w:rPr>
              <w:t>其它处罚额度决定的，说明理由，报案审会决定</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31" w:name="_Toc110851446"/>
            <w:bookmarkStart w:id="32" w:name="_Toc2072230684"/>
            <w:bookmarkStart w:id="33" w:name="_Toc106972444"/>
            <w:r>
              <w:rPr>
                <w:rFonts w:hint="eastAsia" w:asciiTheme="minorEastAsia" w:hAnsiTheme="minorEastAsia" w:eastAsiaTheme="minorEastAsia"/>
                <w:color w:val="000000" w:themeColor="text1"/>
                <w:sz w:val="15"/>
                <w:szCs w:val="15"/>
                <w14:textFill>
                  <w14:solidFill>
                    <w14:schemeClr w14:val="tx1"/>
                  </w14:solidFill>
                </w14:textFill>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未按规定清扫保洁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违反条款：第六条第（一）项、第（二）项、第（三）项、第（四）项、第（五）项、第（七）项；处罚条款：第十条第（一）项，责令改正，并可处100元以上1000元以下罚款。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根据实际情况，选择对应款项。</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不及时清理果皮箱、垃圾箱</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违反条款：第六条第（六）项；处罚条款：第十条第（二）项：责令改正，并可处500元以上5000元以下罚款。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未保持果皮箱、垃圾箱箱体整洁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违反条款：第六条第（六）项；处罚条款：第十条第（二）项：责令改正，并可处500元以上5000元以下罚款。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果皮箱、垃圾箱周围严重脏乱</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违反条款：第六条第（六）项；处罚条款：第十条第（二）项：责令改正，并可处500元以上5000元以下罚款。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7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公共设施管护作业（绿化作业）未按规定清除废弃物</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违反条款：第七条第二款；处罚条款：第十条第（三）项，责令限期清理，并可处500元以上5000元以下罚款。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未做好施工期间压尘和清扫保洁</w:t>
            </w:r>
          </w:p>
        </w:tc>
        <w:tc>
          <w:tcPr>
            <w:tcW w:w="2789" w:type="dxa"/>
            <w:gridSpan w:val="3"/>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违反条款：第八条；处罚条款：第十条第（四）项，责令限期改正，并处2000元以上2万元以下罚款。</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建设工程竣工后未及时清除弃物弃料、围挡</w:t>
            </w:r>
          </w:p>
        </w:tc>
        <w:tc>
          <w:tcPr>
            <w:tcW w:w="2789" w:type="dxa"/>
            <w:gridSpan w:val="3"/>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违反条款：第八条；处罚条款：第十条第（四）项，责令限期改正，并处2000元以上2万元以下罚款。</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1.弃物弃料占地面积10㎡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2.逾期不清除的，每逾期5天，系数为1。</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tabs>
                <w:tab w:val="left" w:pos="5156"/>
              </w:tabs>
              <w:spacing w:line="180" w:lineRule="exact"/>
              <w:jc w:val="center"/>
              <w:rPr>
                <w:rStyle w:val="31"/>
                <w:rFonts w:asciiTheme="minorEastAsia" w:hAnsiTheme="minorEastAsia" w:eastAsiaTheme="minorEastAsia"/>
                <w:color w:val="000000" w:themeColor="text1"/>
                <w:sz w:val="15"/>
                <w:szCs w:val="15"/>
                <w14:textFill>
                  <w14:solidFill>
                    <w14:schemeClr w14:val="tx1"/>
                  </w14:solidFill>
                </w14:textFill>
              </w:rPr>
            </w:pPr>
            <w:bookmarkStart w:id="34" w:name="_Toc110851447"/>
            <w:bookmarkStart w:id="35" w:name="_Toc660874911"/>
            <w:bookmarkStart w:id="36" w:name="_Toc1270094260"/>
            <w:r>
              <w:rPr>
                <w:rStyle w:val="31"/>
                <w:rFonts w:hint="eastAsia" w:asciiTheme="minorEastAsia" w:hAnsiTheme="minorEastAsia" w:eastAsiaTheme="minorEastAsia"/>
                <w:color w:val="000000" w:themeColor="text1"/>
                <w:sz w:val="15"/>
                <w:szCs w:val="15"/>
                <w14:textFill>
                  <w14:solidFill>
                    <w14:schemeClr w14:val="tx1"/>
                  </w14:solidFill>
                </w14:textFill>
              </w:rPr>
              <w:t>《北京市建筑</w:t>
            </w:r>
            <w:r>
              <w:rPr>
                <w:rStyle w:val="31"/>
                <w:rFonts w:asciiTheme="minorEastAsia" w:hAnsiTheme="minorEastAsia" w:eastAsiaTheme="minorEastAsia"/>
                <w:color w:val="000000" w:themeColor="text1"/>
                <w:sz w:val="15"/>
                <w:szCs w:val="15"/>
                <w14:textFill>
                  <w14:solidFill>
                    <w14:schemeClr w14:val="tx1"/>
                  </w14:solidFill>
                </w14:textFill>
              </w:rPr>
              <w:t>垃圾处置管理规定</w:t>
            </w:r>
            <w:r>
              <w:rPr>
                <w:rStyle w:val="31"/>
                <w:rFonts w:hint="eastAsia" w:asciiTheme="minorEastAsia" w:hAnsiTheme="minorEastAsia" w:eastAsiaTheme="minorEastAsia"/>
                <w:color w:val="000000" w:themeColor="text1"/>
                <w:sz w:val="15"/>
                <w:szCs w:val="15"/>
                <w14:textFill>
                  <w14:solidFill>
                    <w14:schemeClr w14:val="tx1"/>
                  </w14:solidFill>
                </w14:textFill>
              </w:rPr>
              <w:t>》案由</w:t>
            </w:r>
            <w:r>
              <w:rPr>
                <w:rStyle w:val="31"/>
                <w:rFonts w:asciiTheme="minorEastAsia" w:hAnsiTheme="minorEastAsia" w:eastAsiaTheme="minorEastAsia"/>
                <w:color w:val="000000" w:themeColor="text1"/>
                <w:sz w:val="15"/>
                <w:szCs w:val="15"/>
                <w14:textFill>
                  <w14:solidFill>
                    <w14:schemeClr w14:val="tx1"/>
                  </w14:solidFill>
                </w14:textFill>
              </w:rPr>
              <w:t>24</w:t>
            </w:r>
            <w:r>
              <w:rPr>
                <w:rStyle w:val="31"/>
                <w:rFonts w:hint="eastAsia" w:asciiTheme="minorEastAsia" w:hAnsiTheme="minorEastAsia" w:eastAsiaTheme="minorEastAsia"/>
                <w:color w:val="000000" w:themeColor="text1"/>
                <w:sz w:val="15"/>
                <w:szCs w:val="15"/>
                <w14:textFill>
                  <w14:solidFill>
                    <w14:schemeClr w14:val="tx1"/>
                  </w14:solidFill>
                </w14:textFill>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随意倾倒、抛撒或者堆放建筑垃圾</w:t>
            </w:r>
          </w:p>
        </w:tc>
        <w:tc>
          <w:tcPr>
            <w:tcW w:w="2789" w:type="dxa"/>
            <w:gridSpan w:val="3"/>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违反条款：第六条第二款；</w:t>
            </w:r>
          </w:p>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处罚条款：第三十四条第一款 责令限期改正，给予警告，对单位处10万元以上100万元以下罚款，对产生建筑垃圾的个人处200元以下罚款。</w:t>
            </w:r>
          </w:p>
        </w:tc>
        <w:tc>
          <w:tcPr>
            <w:tcW w:w="851" w:type="dxa"/>
            <w:gridSpan w:val="2"/>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100000</w:t>
            </w:r>
          </w:p>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18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.沿途遗撒的，污染道路长21－30米的，系数1；31－40米的，系数2；以此类推；</w:t>
            </w:r>
          </w:p>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2.将垃圾随意倾倒、丢弃、堆放至绿地、公厕、城市道路等公共场所，或者燃气、供暖等公用管道和设施保护（管理）范围的，或者农田内的，系数3；</w:t>
            </w:r>
          </w:p>
          <w:p>
            <w:pPr>
              <w:spacing w:line="16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3.违法行为持续时间较长、对环境秩序造成较严重影响的，系数3-9；。</w:t>
            </w:r>
          </w:p>
        </w:tc>
        <w:tc>
          <w:tcPr>
            <w:tcW w:w="1785"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罚款数额＝100000×（1＋区域系数＋情节系数＋变量系数）</w:t>
            </w:r>
          </w:p>
        </w:tc>
        <w:tc>
          <w:tcPr>
            <w:tcW w:w="2385" w:type="dxa"/>
            <w:gridSpan w:val="2"/>
            <w:shd w:val="clear" w:color="auto" w:fill="auto"/>
            <w:vAlign w:val="center"/>
          </w:tcPr>
          <w:p>
            <w:pPr>
              <w:spacing w:line="18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18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参照基准规定，并根据实际情况处罚。</w:t>
            </w:r>
          </w:p>
        </w:tc>
        <w:tc>
          <w:tcPr>
            <w:tcW w:w="1208" w:type="dxa"/>
            <w:gridSpan w:val="2"/>
            <w:vMerge w:val="continue"/>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vMerge w:val="restart"/>
            <w:shd w:val="clear" w:color="auto" w:fill="auto"/>
            <w:vAlign w:val="center"/>
          </w:tcPr>
          <w:p>
            <w:pPr>
              <w:spacing w:line="204"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建筑垃圾与其他</w:t>
            </w:r>
            <w:r>
              <w:rPr>
                <w:rFonts w:asciiTheme="minorEastAsia" w:hAnsiTheme="minorEastAsia" w:eastAsiaTheme="minorEastAsia"/>
                <w:color w:val="000000" w:themeColor="text1"/>
                <w:sz w:val="15"/>
                <w:szCs w:val="15"/>
                <w14:textFill>
                  <w14:solidFill>
                    <w14:schemeClr w14:val="tx1"/>
                  </w14:solidFill>
                </w14:textFill>
              </w:rPr>
              <w:t>生活垃圾</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危险</w:t>
            </w:r>
            <w:r>
              <w:rPr>
                <w:rFonts w:hint="eastAsia" w:asciiTheme="minorEastAsia" w:hAnsiTheme="minorEastAsia" w:eastAsiaTheme="minorEastAsia"/>
                <w:color w:val="000000" w:themeColor="text1"/>
                <w:sz w:val="15"/>
                <w:szCs w:val="15"/>
                <w14:textFill>
                  <w14:solidFill>
                    <w14:schemeClr w14:val="tx1"/>
                  </w14:solidFill>
                </w14:textFill>
              </w:rPr>
              <w:t>废物</w:t>
            </w:r>
            <w:r>
              <w:rPr>
                <w:rFonts w:asciiTheme="minorEastAsia" w:hAnsiTheme="minorEastAsia" w:eastAsiaTheme="minorEastAsia"/>
                <w:color w:val="000000" w:themeColor="text1"/>
                <w:sz w:val="15"/>
                <w:szCs w:val="15"/>
                <w14:textFill>
                  <w14:solidFill>
                    <w14:schemeClr w14:val="tx1"/>
                  </w14:solidFill>
                </w14:textFill>
              </w:rPr>
              <w:t>混合</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第六条第二款；</w:t>
            </w:r>
            <w:r>
              <w:rPr>
                <w:rFonts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w:t>
            </w:r>
            <w:r>
              <w:rPr>
                <w:rFonts w:asciiTheme="minorEastAsia" w:hAnsiTheme="minorEastAsia" w:eastAsiaTheme="minorEastAsia"/>
                <w:color w:val="000000" w:themeColor="text1"/>
                <w:sz w:val="15"/>
                <w:szCs w:val="15"/>
                <w14:textFill>
                  <w14:solidFill>
                    <w14:schemeClr w14:val="tx1"/>
                  </w14:solidFill>
                </w14:textFill>
              </w:rPr>
              <w:t>四条第三款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责令立即改正，处1000元罚款；再次违反规定的，处1万元以上5万元以下罚款。</w:t>
            </w:r>
          </w:p>
        </w:tc>
        <w:tc>
          <w:tcPr>
            <w:tcW w:w="851"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（单位初次</w:t>
            </w:r>
            <w:r>
              <w:rPr>
                <w:rFonts w:asciiTheme="minorEastAsia" w:hAnsiTheme="minorEastAsia" w:eastAsiaTheme="minorEastAsia"/>
                <w:color w:val="000000" w:themeColor="text1"/>
                <w:sz w:val="15"/>
                <w:szCs w:val="15"/>
                <w14:textFill>
                  <w14:solidFill>
                    <w14:schemeClr w14:val="tx1"/>
                  </w14:solidFill>
                </w14:textFill>
              </w:rPr>
              <w:t>违反</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567" w:type="dxa"/>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04"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4"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4"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w:t>
            </w:r>
            <w:r>
              <w:rPr>
                <w:rFonts w:asciiTheme="minorEastAsia" w:hAnsiTheme="minorEastAsia" w:eastAsiaTheme="minorEastAsia"/>
                <w:color w:val="000000" w:themeColor="text1"/>
                <w:sz w:val="15"/>
                <w:szCs w:val="15"/>
                <w14:textFill>
                  <w14:solidFill>
                    <w14:schemeClr w14:val="tx1"/>
                  </w14:solidFill>
                </w14:textFill>
              </w:rPr>
              <w:t>规定执行</w:t>
            </w:r>
          </w:p>
        </w:tc>
        <w:tc>
          <w:tcPr>
            <w:tcW w:w="1208"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r>
              <w:rPr>
                <w:rFonts w:asciiTheme="minorEastAsia" w:hAnsiTheme="minorEastAsia" w:eastAsiaTheme="minorEastAsia"/>
                <w:color w:val="000000" w:themeColor="text1"/>
                <w:sz w:val="15"/>
                <w:szCs w:val="15"/>
                <w14:textFill>
                  <w14:solidFill>
                    <w14:schemeClr w14:val="tx1"/>
                  </w14:solidFill>
                </w14:textFill>
              </w:rPr>
              <w:t>再次违反）</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.建筑垃圾混合生活垃圾的,系数为1；</w:t>
            </w:r>
          </w:p>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2.建筑垃圾混合危险废物的，系数为2；</w:t>
            </w:r>
          </w:p>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3.建筑垃圾同时混合生活垃圾、危险废物，系数为3；</w:t>
            </w:r>
          </w:p>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4.违法事件持续较长，建筑垃圾与其他生活垃圾、危险废物混合产生量较大，造成环境秩序较严重影响的，系数为4.</w:t>
            </w:r>
          </w:p>
        </w:tc>
        <w:tc>
          <w:tcPr>
            <w:tcW w:w="1785"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情节系数+变量系数）</w:t>
            </w:r>
          </w:p>
        </w:tc>
        <w:tc>
          <w:tcPr>
            <w:tcW w:w="2385" w:type="dxa"/>
            <w:gridSpan w:val="2"/>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曾因此违法行为受过到行政处罚，再次违反的适用此情形。</w:t>
            </w:r>
          </w:p>
        </w:tc>
        <w:tc>
          <w:tcPr>
            <w:tcW w:w="1208" w:type="dxa"/>
            <w:gridSpan w:val="2"/>
            <w:vMerge w:val="restart"/>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违反条款：第六条第二款；</w:t>
            </w:r>
          </w:p>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处罚条款：第三十四条第四款 给予书面警告，再次违反规定的，处50元以上200元以下罚款。</w:t>
            </w:r>
          </w:p>
        </w:tc>
        <w:tc>
          <w:tcPr>
            <w:tcW w:w="851"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警告</w:t>
            </w:r>
          </w:p>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个人初次</w:t>
            </w:r>
            <w:r>
              <w:rPr>
                <w:rFonts w:asciiTheme="minorEastAsia" w:hAnsiTheme="minorEastAsia" w:eastAsiaTheme="minorEastAsia"/>
                <w:color w:val="000000" w:themeColor="text1"/>
                <w:sz w:val="15"/>
                <w:szCs w:val="15"/>
                <w14:textFill>
                  <w14:solidFill>
                    <w14:schemeClr w14:val="tx1"/>
                  </w14:solidFill>
                </w14:textFill>
              </w:rPr>
              <w:t>违反）</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个人拒不听从生活垃圾分类管理责任人劝阻，且拒不改正的，适用此情形。初次违反的，书面警告。</w:t>
            </w:r>
          </w:p>
        </w:tc>
        <w:tc>
          <w:tcPr>
            <w:tcW w:w="1208" w:type="dxa"/>
            <w:gridSpan w:val="2"/>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w:t>
            </w:r>
          </w:p>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r>
              <w:rPr>
                <w:rFonts w:asciiTheme="minorEastAsia" w:hAnsiTheme="minorEastAsia" w:eastAsiaTheme="minorEastAsia"/>
                <w:color w:val="000000" w:themeColor="text1"/>
                <w:sz w:val="15"/>
                <w:szCs w:val="15"/>
                <w14:textFill>
                  <w14:solidFill>
                    <w14:schemeClr w14:val="tx1"/>
                  </w14:solidFill>
                </w14:textFill>
              </w:rPr>
              <w:t>再次违反</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罚款数额＝50×（1＋情节系数）</w:t>
            </w: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个人拒不听从生活垃圾分类管理责任人劝阻，且拒不改正的，适用此情形。</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2.曾因此违法行为受过到行政处罚，再次违反的适用此情形。</w:t>
            </w:r>
          </w:p>
        </w:tc>
        <w:tc>
          <w:tcPr>
            <w:tcW w:w="1208" w:type="dxa"/>
            <w:gridSpan w:val="2"/>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200" w:lineRule="exac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生活垃圾</w:t>
            </w:r>
            <w:r>
              <w:rPr>
                <w:rFonts w:asciiTheme="minorEastAsia" w:hAnsiTheme="minorEastAsia" w:eastAsiaTheme="minorEastAsia"/>
                <w:color w:val="000000" w:themeColor="text1"/>
                <w:sz w:val="15"/>
                <w:szCs w:val="15"/>
                <w14:textFill>
                  <w14:solidFill>
                    <w14:schemeClr w14:val="tx1"/>
                  </w14:solidFill>
                </w14:textFill>
              </w:rPr>
              <w:t>分类管理人</w:t>
            </w:r>
            <w:r>
              <w:rPr>
                <w:rFonts w:hint="eastAsia" w:asciiTheme="minorEastAsia" w:hAnsiTheme="minorEastAsia" w:eastAsiaTheme="minorEastAsia"/>
                <w:color w:val="000000" w:themeColor="text1"/>
                <w:sz w:val="15"/>
                <w:szCs w:val="15"/>
                <w14:textFill>
                  <w14:solidFill>
                    <w14:schemeClr w14:val="tx1"/>
                  </w14:solidFill>
                </w14:textFill>
              </w:rPr>
              <w:t>对居民装饰装修产生的建筑垃圾未制定治理方案</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第十条第二款规定</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第三十五条 责令立即改正，处3000元以上3万元以下罚款。</w:t>
            </w:r>
          </w:p>
        </w:tc>
        <w:tc>
          <w:tcPr>
            <w:tcW w:w="851"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制定治理方案的，系数为</w:t>
            </w:r>
            <w:r>
              <w:rPr>
                <w:rFonts w:hint="eastAsia" w:asciiTheme="minorEastAsia" w:hAnsiTheme="minorEastAsia" w:eastAsiaTheme="minorEastAsia"/>
                <w:color w:val="000000" w:themeColor="text1"/>
                <w:sz w:val="15"/>
                <w:szCs w:val="15"/>
                <w14:textFill>
                  <w14:solidFill>
                    <w14:schemeClr w14:val="tx1"/>
                  </w14:solidFill>
                </w14:textFill>
              </w:rPr>
              <w:t>5；</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w:t>
            </w:r>
            <w:r>
              <w:rPr>
                <w:rFonts w:asciiTheme="minorEastAsia" w:hAnsiTheme="minorEastAsia" w:eastAsiaTheme="minorEastAsia"/>
                <w:color w:val="000000" w:themeColor="text1"/>
                <w:sz w:val="15"/>
                <w:szCs w:val="15"/>
                <w14:textFill>
                  <w14:solidFill>
                    <w14:schemeClr w14:val="tx1"/>
                  </w14:solidFill>
                </w14:textFill>
              </w:rPr>
              <w:t>制定方案的且对环境造成影响的系数为</w:t>
            </w:r>
            <w:r>
              <w:rPr>
                <w:rFonts w:hint="eastAsia" w:asciiTheme="minorEastAsia" w:hAnsiTheme="minorEastAsia" w:eastAsiaTheme="minorEastAsia"/>
                <w:color w:val="000000" w:themeColor="text1"/>
                <w:sz w:val="15"/>
                <w:szCs w:val="15"/>
                <w14:textFill>
                  <w14:solidFill>
                    <w14:schemeClr w14:val="tx1"/>
                  </w14:solidFill>
                </w14:textFill>
              </w:rPr>
              <w:t>6</w:t>
            </w:r>
            <w:r>
              <w:rPr>
                <w:rFonts w:asciiTheme="minorEastAsia" w:hAnsiTheme="minorEastAsia" w:eastAsiaTheme="minorEastAsia"/>
                <w:color w:val="000000" w:themeColor="text1"/>
                <w:sz w:val="15"/>
                <w:szCs w:val="15"/>
                <w14:textFill>
                  <w14:solidFill>
                    <w14:schemeClr w14:val="tx1"/>
                  </w14:solidFill>
                </w14:textFill>
              </w:rPr>
              <w:t>-9.</w:t>
            </w:r>
          </w:p>
        </w:tc>
        <w:tc>
          <w:tcPr>
            <w:tcW w:w="1785" w:type="dxa"/>
            <w:gridSpan w:val="2"/>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3000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p>
        </w:tc>
        <w:tc>
          <w:tcPr>
            <w:tcW w:w="2385"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shd w:val="clear" w:color="auto" w:fill="auto"/>
            <w:vAlign w:val="center"/>
          </w:tcPr>
          <w:p>
            <w:pPr>
              <w:spacing w:line="20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w:t>
            </w:r>
            <w:r>
              <w:rPr>
                <w:rFonts w:asciiTheme="minorEastAsia" w:hAnsiTheme="minorEastAsia" w:eastAsiaTheme="minorEastAsia"/>
                <w:color w:val="000000" w:themeColor="text1"/>
                <w:sz w:val="15"/>
                <w:szCs w:val="15"/>
                <w14:textFill>
                  <w14:solidFill>
                    <w14:schemeClr w14:val="tx1"/>
                  </w14:solidFill>
                </w14:textFill>
              </w:rPr>
              <w:t>垃圾分类管理责任人</w:t>
            </w:r>
            <w:r>
              <w:rPr>
                <w:rFonts w:hint="eastAsia" w:asciiTheme="minorEastAsia" w:hAnsiTheme="minorEastAsia" w:eastAsiaTheme="minorEastAsia"/>
                <w:color w:val="000000" w:themeColor="text1"/>
                <w:sz w:val="15"/>
                <w:szCs w:val="15"/>
                <w14:textFill>
                  <w14:solidFill>
                    <w14:schemeClr w14:val="tx1"/>
                  </w14:solidFill>
                </w14:textFill>
              </w:rPr>
              <w:t>未明确建筑垃圾投放规范、时间和地点、监督投诉方式等事项</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违反条款：第十条第二款规定</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处罚条款：第三十五条 责令立即改正，处3000元以上3万元以下罚款。</w:t>
            </w:r>
          </w:p>
        </w:tc>
        <w:tc>
          <w:tcPr>
            <w:tcW w:w="851"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pPr>
              <w:spacing w:line="200"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1.有</w:t>
            </w:r>
            <w:r>
              <w:rPr>
                <w:rFonts w:asciiTheme="minorEastAsia" w:hAnsiTheme="minorEastAsia" w:eastAsiaTheme="minorEastAsia"/>
                <w:color w:val="000000" w:themeColor="text1"/>
                <w:sz w:val="15"/>
                <w:szCs w:val="15"/>
                <w14:textFill>
                  <w14:solidFill>
                    <w14:schemeClr w14:val="tx1"/>
                  </w14:solidFill>
                </w14:textFill>
              </w:rPr>
              <w:t>治理方案的</w:t>
            </w:r>
            <w:r>
              <w:rPr>
                <w:rFonts w:hint="eastAsia" w:asciiTheme="minorEastAsia" w:hAnsiTheme="minorEastAsia" w:eastAsiaTheme="minorEastAsia"/>
                <w:color w:val="000000" w:themeColor="text1"/>
                <w:sz w:val="15"/>
                <w:szCs w:val="15"/>
                <w14:textFill>
                  <w14:solidFill>
                    <w14:schemeClr w14:val="tx1"/>
                  </w14:solidFill>
                </w14:textFill>
              </w:rPr>
              <w:t>，但明确</w:t>
            </w:r>
            <w:r>
              <w:rPr>
                <w:rFonts w:asciiTheme="minorEastAsia" w:hAnsiTheme="minorEastAsia" w:eastAsiaTheme="minorEastAsia"/>
                <w:color w:val="000000" w:themeColor="text1"/>
                <w:sz w:val="15"/>
                <w:szCs w:val="15"/>
                <w14:textFill>
                  <w14:solidFill>
                    <w14:schemeClr w14:val="tx1"/>
                  </w14:solidFill>
                </w14:textFill>
              </w:rPr>
              <w:t>事项造成缺项，系数为</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2.有</w:t>
            </w:r>
            <w:r>
              <w:rPr>
                <w:rFonts w:asciiTheme="minorEastAsia" w:hAnsiTheme="minorEastAsia" w:eastAsiaTheme="minorEastAsia"/>
                <w:color w:val="000000" w:themeColor="text1"/>
                <w:sz w:val="15"/>
                <w:szCs w:val="15"/>
                <w14:textFill>
                  <w14:solidFill>
                    <w14:schemeClr w14:val="tx1"/>
                  </w14:solidFill>
                </w14:textFill>
              </w:rPr>
              <w:t>治理方案的，</w:t>
            </w:r>
            <w:r>
              <w:rPr>
                <w:rFonts w:hint="eastAsia" w:asciiTheme="minorEastAsia" w:hAnsiTheme="minorEastAsia" w:eastAsiaTheme="minorEastAsia"/>
                <w:color w:val="000000" w:themeColor="text1"/>
                <w:sz w:val="15"/>
                <w:szCs w:val="15"/>
                <w14:textFill>
                  <w14:solidFill>
                    <w14:schemeClr w14:val="tx1"/>
                  </w14:solidFill>
                </w14:textFill>
              </w:rPr>
              <w:t>明确</w:t>
            </w:r>
            <w:r>
              <w:rPr>
                <w:rFonts w:asciiTheme="minorEastAsia" w:hAnsiTheme="minorEastAsia" w:eastAsiaTheme="minorEastAsia"/>
                <w:color w:val="000000" w:themeColor="text1"/>
                <w:sz w:val="15"/>
                <w:szCs w:val="15"/>
                <w14:textFill>
                  <w14:solidFill>
                    <w14:schemeClr w14:val="tx1"/>
                  </w14:solidFill>
                </w14:textFill>
              </w:rPr>
              <w:t>事项造成缺项，且对环境</w:t>
            </w:r>
            <w:r>
              <w:rPr>
                <w:rFonts w:hint="eastAsia" w:asciiTheme="minorEastAsia" w:hAnsiTheme="minorEastAsia" w:eastAsiaTheme="minorEastAsia"/>
                <w:color w:val="000000" w:themeColor="text1"/>
                <w:sz w:val="15"/>
                <w:szCs w:val="15"/>
                <w14:textFill>
                  <w14:solidFill>
                    <w14:schemeClr w14:val="tx1"/>
                  </w14:solidFill>
                </w14:textFill>
              </w:rPr>
              <w:t>秩序</w:t>
            </w:r>
            <w:r>
              <w:rPr>
                <w:rFonts w:asciiTheme="minorEastAsia" w:hAnsiTheme="minorEastAsia" w:eastAsiaTheme="minorEastAsia"/>
                <w:color w:val="000000" w:themeColor="text1"/>
                <w:sz w:val="15"/>
                <w:szCs w:val="15"/>
                <w14:textFill>
                  <w14:solidFill>
                    <w14:schemeClr w14:val="tx1"/>
                  </w14:solidFill>
                </w14:textFill>
              </w:rPr>
              <w:t>造成影响的，系数为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3.要素</w:t>
            </w:r>
            <w:r>
              <w:rPr>
                <w:rFonts w:asciiTheme="minorEastAsia" w:hAnsiTheme="minorEastAsia" w:eastAsiaTheme="minorEastAsia"/>
                <w:color w:val="000000" w:themeColor="text1"/>
                <w:sz w:val="15"/>
                <w:szCs w:val="15"/>
                <w14:textFill>
                  <w14:solidFill>
                    <w14:schemeClr w14:val="tx1"/>
                  </w14:solidFill>
                </w14:textFill>
              </w:rPr>
              <w:t>全部缺失</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对环境秩序造成</w:t>
            </w:r>
            <w:r>
              <w:rPr>
                <w:rFonts w:hint="eastAsia" w:asciiTheme="minorEastAsia" w:hAnsiTheme="minorEastAsia" w:eastAsiaTheme="minorEastAsia"/>
                <w:color w:val="000000" w:themeColor="text1"/>
                <w:sz w:val="15"/>
                <w:szCs w:val="15"/>
                <w14:textFill>
                  <w14:solidFill>
                    <w14:schemeClr w14:val="tx1"/>
                  </w14:solidFill>
                </w14:textFill>
              </w:rPr>
              <w:t>较</w:t>
            </w:r>
            <w:r>
              <w:rPr>
                <w:rFonts w:asciiTheme="minorEastAsia" w:hAnsiTheme="minorEastAsia" w:eastAsiaTheme="minorEastAsia"/>
                <w:color w:val="000000" w:themeColor="text1"/>
                <w:sz w:val="15"/>
                <w:szCs w:val="15"/>
                <w14:textFill>
                  <w14:solidFill>
                    <w14:schemeClr w14:val="tx1"/>
                  </w14:solidFill>
                </w14:textFill>
              </w:rPr>
              <w:t>严重影响的，系数为</w:t>
            </w:r>
            <w:r>
              <w:rPr>
                <w:rFonts w:hint="eastAsia" w:asciiTheme="minorEastAsia" w:hAnsiTheme="minorEastAsia" w:eastAsiaTheme="minorEastAsia"/>
                <w:color w:val="000000" w:themeColor="text1"/>
                <w:sz w:val="15"/>
                <w:szCs w:val="15"/>
                <w14:textFill>
                  <w14:solidFill>
                    <w14:schemeClr w14:val="tx1"/>
                  </w14:solidFill>
                </w14:textFill>
              </w:rPr>
              <w:t>5</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785" w:type="dxa"/>
            <w:gridSpan w:val="2"/>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auto"/>
            <w:vAlign w:val="center"/>
          </w:tcPr>
          <w:p>
            <w:pPr>
              <w:spacing w:line="20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建设单位（或生活垃圾分类管理责任人）委托他人</w:t>
            </w:r>
            <w:r>
              <w:rPr>
                <w:rFonts w:asciiTheme="minorEastAsia" w:hAnsiTheme="minorEastAsia" w:eastAsiaTheme="minorEastAsia"/>
                <w:color w:val="000000" w:themeColor="text1"/>
                <w:sz w:val="15"/>
                <w:szCs w:val="15"/>
                <w14:textFill>
                  <w14:solidFill>
                    <w14:schemeClr w14:val="tx1"/>
                  </w14:solidFill>
                </w14:textFill>
              </w:rPr>
              <w:t>处置建筑垃圾未选择有资质的运输服务单位</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第十三条第一款第(二)项</w:t>
            </w:r>
          </w:p>
          <w:p>
            <w:pPr>
              <w:spacing w:line="200"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第三十六条 责令立即改正，处以1万元以上10万元以下罚款。</w:t>
            </w:r>
          </w:p>
        </w:tc>
        <w:tc>
          <w:tcPr>
            <w:tcW w:w="851"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生活垃圾分类管理责任单位（</w:t>
            </w:r>
            <w:r>
              <w:rPr>
                <w:rFonts w:hint="eastAsia" w:asciiTheme="minorEastAsia" w:hAnsiTheme="minorEastAsia" w:eastAsiaTheme="minorEastAsia"/>
                <w:color w:val="000000" w:themeColor="text1"/>
                <w:sz w:val="15"/>
                <w:szCs w:val="15"/>
                <w14:textFill>
                  <w14:solidFill>
                    <w14:schemeClr w14:val="tx1"/>
                  </w14:solidFill>
                </w14:textFill>
              </w:rPr>
              <w:t>不含</w:t>
            </w:r>
            <w:r>
              <w:rPr>
                <w:rFonts w:asciiTheme="minorEastAsia" w:hAnsiTheme="minorEastAsia" w:eastAsiaTheme="minorEastAsia"/>
                <w:color w:val="000000" w:themeColor="text1"/>
                <w:sz w:val="15"/>
                <w:szCs w:val="15"/>
                <w14:textFill>
                  <w14:solidFill>
                    <w14:schemeClr w14:val="tx1"/>
                  </w14:solidFill>
                </w14:textFill>
              </w:rPr>
              <w:t>建设单位）</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系数为0-2</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建设单位违反规定的，系数3；</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3.违法行为持续时间较长、建筑垃圾产生量较大、造成环境秩序较严重影响的，系数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785" w:type="dxa"/>
            <w:gridSpan w:val="2"/>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+情节系数+变量系数）</w:t>
            </w:r>
          </w:p>
        </w:tc>
        <w:tc>
          <w:tcPr>
            <w:tcW w:w="2385" w:type="dxa"/>
            <w:gridSpan w:val="2"/>
            <w:shd w:val="clear" w:color="auto" w:fill="auto"/>
            <w:vAlign w:val="center"/>
          </w:tcPr>
          <w:p>
            <w:pPr>
              <w:spacing w:line="20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此案由</w:t>
            </w:r>
            <w:r>
              <w:rPr>
                <w:rFonts w:asciiTheme="minorEastAsia" w:hAnsiTheme="minorEastAsia" w:eastAsiaTheme="minorEastAsia"/>
                <w:color w:val="000000" w:themeColor="text1"/>
                <w:sz w:val="15"/>
                <w:szCs w:val="15"/>
                <w14:textFill>
                  <w14:solidFill>
                    <w14:schemeClr w14:val="tx1"/>
                  </w14:solidFill>
                </w14:textFill>
              </w:rPr>
              <w:t>适用建设单位</w:t>
            </w:r>
            <w:r>
              <w:rPr>
                <w:rFonts w:hint="eastAsia" w:asciiTheme="minorEastAsia" w:hAnsiTheme="minorEastAsia" w:eastAsiaTheme="minorEastAsia"/>
                <w:color w:val="000000" w:themeColor="text1"/>
                <w:sz w:val="15"/>
                <w:szCs w:val="15"/>
                <w14:textFill>
                  <w14:solidFill>
                    <w14:schemeClr w14:val="tx1"/>
                  </w14:solidFill>
                </w14:textFill>
              </w:rPr>
              <w:t>和</w:t>
            </w:r>
            <w:r>
              <w:rPr>
                <w:rFonts w:asciiTheme="minorEastAsia" w:hAnsiTheme="minorEastAsia" w:eastAsiaTheme="minorEastAsia"/>
                <w:color w:val="000000" w:themeColor="text1"/>
                <w:sz w:val="15"/>
                <w:szCs w:val="15"/>
                <w14:textFill>
                  <w14:solidFill>
                    <w14:schemeClr w14:val="tx1"/>
                  </w14:solidFill>
                </w14:textFill>
              </w:rPr>
              <w:t>生活垃圾分类管理责任人，施工单位按照《</w:t>
            </w:r>
            <w:r>
              <w:rPr>
                <w:rFonts w:hint="eastAsia" w:asciiTheme="minorEastAsia" w:hAnsiTheme="minorEastAsia" w:eastAsiaTheme="minorEastAsia"/>
                <w:color w:val="000000" w:themeColor="text1"/>
                <w:sz w:val="15"/>
                <w:szCs w:val="15"/>
                <w14:textFill>
                  <w14:solidFill>
                    <w14:schemeClr w14:val="tx1"/>
                  </w14:solidFill>
                </w14:textFill>
              </w:rPr>
              <w:t>城市</w:t>
            </w:r>
            <w:r>
              <w:rPr>
                <w:rFonts w:asciiTheme="minorEastAsia" w:hAnsiTheme="minorEastAsia" w:eastAsiaTheme="minorEastAsia"/>
                <w:color w:val="000000" w:themeColor="text1"/>
                <w:sz w:val="15"/>
                <w:szCs w:val="15"/>
                <w14:textFill>
                  <w14:solidFill>
                    <w14:schemeClr w14:val="tx1"/>
                  </w14:solidFill>
                </w14:textFill>
              </w:rPr>
              <w:t>建筑垃圾管理规定》</w:t>
            </w:r>
            <w:r>
              <w:rPr>
                <w:rFonts w:hint="eastAsia" w:asciiTheme="minorEastAsia" w:hAnsiTheme="minorEastAsia" w:eastAsiaTheme="minorEastAsia"/>
                <w:color w:val="000000" w:themeColor="text1"/>
                <w:sz w:val="15"/>
                <w:szCs w:val="15"/>
                <w14:textFill>
                  <w14:solidFill>
                    <w14:schemeClr w14:val="tx1"/>
                  </w14:solidFill>
                </w14:textFill>
              </w:rPr>
              <w:t>的</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施工</w:t>
            </w:r>
            <w:r>
              <w:rPr>
                <w:rFonts w:asciiTheme="minorEastAsia" w:hAnsiTheme="minorEastAsia" w:eastAsiaTheme="minorEastAsia"/>
                <w:color w:val="000000" w:themeColor="text1"/>
                <w:sz w:val="15"/>
                <w:szCs w:val="15"/>
                <w14:textFill>
                  <w14:solidFill>
                    <w14:schemeClr w14:val="tx1"/>
                  </w14:solidFill>
                </w14:textFill>
              </w:rPr>
              <w:t>单位将建筑垃圾</w:t>
            </w:r>
            <w:r>
              <w:rPr>
                <w:rFonts w:hint="eastAsia" w:asciiTheme="minorEastAsia" w:hAnsiTheme="minorEastAsia" w:eastAsiaTheme="minorEastAsia"/>
                <w:color w:val="000000" w:themeColor="text1"/>
                <w:sz w:val="15"/>
                <w:szCs w:val="15"/>
                <w14:textFill>
                  <w14:solidFill>
                    <w14:schemeClr w14:val="tx1"/>
                  </w14:solidFill>
                </w14:textFill>
              </w:rPr>
              <w:t>交给</w:t>
            </w:r>
            <w:r>
              <w:rPr>
                <w:rFonts w:asciiTheme="minorEastAsia" w:hAnsiTheme="minorEastAsia" w:eastAsiaTheme="minorEastAsia"/>
                <w:color w:val="000000" w:themeColor="text1"/>
                <w:sz w:val="15"/>
                <w:szCs w:val="15"/>
                <w14:textFill>
                  <w14:solidFill>
                    <w14:schemeClr w14:val="tx1"/>
                  </w14:solidFill>
                </w14:textFill>
              </w:rPr>
              <w:t>个人或者未经核准从事建筑垃圾运输的单位处置”</w:t>
            </w:r>
            <w:r>
              <w:rPr>
                <w:rFonts w:hint="eastAsia" w:asciiTheme="minorEastAsia" w:hAnsiTheme="minorEastAsia" w:eastAsiaTheme="minorEastAsia"/>
                <w:color w:val="000000" w:themeColor="text1"/>
                <w:sz w:val="15"/>
                <w:szCs w:val="15"/>
                <w14:textFill>
                  <w14:solidFill>
                    <w14:schemeClr w14:val="tx1"/>
                  </w14:solidFill>
                </w14:textFill>
              </w:rPr>
              <w:t>的</w:t>
            </w:r>
            <w:r>
              <w:rPr>
                <w:rFonts w:asciiTheme="minorEastAsia" w:hAnsiTheme="minorEastAsia" w:eastAsiaTheme="minorEastAsia"/>
                <w:color w:val="000000" w:themeColor="text1"/>
                <w:sz w:val="15"/>
                <w:szCs w:val="15"/>
                <w14:textFill>
                  <w14:solidFill>
                    <w14:schemeClr w14:val="tx1"/>
                  </w14:solidFill>
                </w14:textFill>
              </w:rPr>
              <w:t>案由进行处罚。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73" w:hRule="atLeast"/>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6</w:t>
            </w:r>
          </w:p>
        </w:tc>
        <w:tc>
          <w:tcPr>
            <w:tcW w:w="1500" w:type="dxa"/>
            <w:gridSpan w:val="2"/>
            <w:vMerge w:val="restart"/>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未经许可擅自设置建筑垃圾消纳场所</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5000</w:t>
            </w:r>
            <w:r>
              <w:rPr>
                <w:rFonts w:hint="eastAsia" w:asciiTheme="minorEastAsia" w:hAnsiTheme="minorEastAsia" w:eastAsiaTheme="minorEastAsia"/>
                <w:color w:val="000000" w:themeColor="text1"/>
                <w:sz w:val="15"/>
                <w:szCs w:val="15"/>
                <w14:textFill>
                  <w14:solidFill>
                    <w14:schemeClr w14:val="tx1"/>
                  </w14:solidFill>
                </w14:textFill>
              </w:rPr>
              <w:t>×（1＋情节系数）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14"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152"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场地</w:t>
            </w:r>
            <w:r>
              <w:rPr>
                <w:rFonts w:asciiTheme="minorEastAsia" w:hAnsiTheme="minorEastAsia" w:eastAsiaTheme="minorEastAsia"/>
                <w:color w:val="000000" w:themeColor="text1"/>
                <w:sz w:val="15"/>
                <w:szCs w:val="15"/>
                <w14:textFill>
                  <w14:solidFill>
                    <w14:schemeClr w14:val="tx1"/>
                  </w14:solidFill>
                </w14:textFill>
              </w:rPr>
              <w:t>占用面积为3</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以下，系数为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占地面积3</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亩（含</w:t>
            </w: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6-9</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含</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w:t>
            </w:r>
            <w:r>
              <w:rPr>
                <w:rFonts w:asciiTheme="minorEastAsia" w:hAnsiTheme="minorEastAsia" w:eastAsiaTheme="minorEastAsia"/>
                <w:color w:val="000000" w:themeColor="text1"/>
                <w:sz w:val="15"/>
                <w:szCs w:val="15"/>
                <w14:textFill>
                  <w14:solidFill>
                    <w14:schemeClr w14:val="tx1"/>
                  </w14:solidFill>
                </w14:textFill>
              </w:rPr>
              <w:t>为</w:t>
            </w:r>
            <w:r>
              <w:rPr>
                <w:rFonts w:hint="eastAsia" w:asciiTheme="minorEastAsia" w:hAnsiTheme="minorEastAsia" w:eastAsiaTheme="minorEastAsia"/>
                <w:color w:val="000000" w:themeColor="text1"/>
                <w:sz w:val="15"/>
                <w:szCs w:val="15"/>
                <w14:textFill>
                  <w14:solidFill>
                    <w14:schemeClr w14:val="tx1"/>
                  </w14:solidFill>
                </w14:textFill>
              </w:rPr>
              <w:t>2,以此类推；</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2.场所</w:t>
            </w:r>
            <w:r>
              <w:rPr>
                <w:rFonts w:asciiTheme="minorEastAsia" w:hAnsiTheme="minorEastAsia" w:eastAsiaTheme="minorEastAsia"/>
                <w:color w:val="000000" w:themeColor="text1"/>
                <w:sz w:val="15"/>
                <w:szCs w:val="15"/>
                <w14:textFill>
                  <w14:solidFill>
                    <w14:schemeClr w14:val="tx1"/>
                  </w14:solidFill>
                </w14:textFill>
              </w:rPr>
              <w:t>设置在农田、绿地、林地的，</w:t>
            </w:r>
            <w:r>
              <w:rPr>
                <w:rFonts w:hint="eastAsia" w:asciiTheme="minorEastAsia" w:hAnsiTheme="minorEastAsia" w:eastAsiaTheme="minorEastAsia"/>
                <w:color w:val="000000" w:themeColor="text1"/>
                <w:sz w:val="15"/>
                <w:szCs w:val="15"/>
                <w14:textFill>
                  <w14:solidFill>
                    <w14:schemeClr w14:val="tx1"/>
                  </w14:solidFill>
                </w14:textFill>
              </w:rPr>
              <w:t>或者燃气、供暖等公用管道和设施保护（管理）范围的，</w:t>
            </w:r>
            <w:r>
              <w:rPr>
                <w:rFonts w:asciiTheme="minorEastAsia" w:hAnsiTheme="minorEastAsia" w:eastAsiaTheme="minorEastAsia"/>
                <w:color w:val="000000" w:themeColor="text1"/>
                <w:sz w:val="15"/>
                <w:szCs w:val="15"/>
                <w14:textFill>
                  <w14:solidFill>
                    <w14:schemeClr w14:val="tx1"/>
                  </w14:solidFill>
                </w14:textFill>
              </w:rPr>
              <w:t>系数为5</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100000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适用于接收、消纳建筑垃圾，污染环境、破坏生态的情形。</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w:t>
            </w:r>
            <w:r>
              <w:rPr>
                <w:rFonts w:asciiTheme="minorEastAsia" w:hAnsiTheme="minorEastAsia" w:eastAsiaTheme="minorEastAsia"/>
                <w:color w:val="000000" w:themeColor="text1"/>
                <w:sz w:val="15"/>
                <w:szCs w:val="15"/>
                <w14:textFill>
                  <w14:solidFill>
                    <w14:schemeClr w14:val="tx1"/>
                  </w14:solidFill>
                </w14:textFill>
              </w:rPr>
              <w:t>场所（</w:t>
            </w:r>
            <w:r>
              <w:rPr>
                <w:rFonts w:hint="eastAsia" w:asciiTheme="minorEastAsia" w:hAnsiTheme="minorEastAsia" w:eastAsiaTheme="minorEastAsia"/>
                <w:color w:val="000000" w:themeColor="text1"/>
                <w:sz w:val="15"/>
                <w:szCs w:val="15"/>
                <w14:textFill>
                  <w14:solidFill>
                    <w14:schemeClr w14:val="tx1"/>
                  </w14:solidFill>
                </w14:textFill>
              </w:rPr>
              <w:t>或</w:t>
            </w:r>
            <w:r>
              <w:rPr>
                <w:rFonts w:asciiTheme="minorEastAsia" w:hAnsiTheme="minorEastAsia" w:eastAsiaTheme="minorEastAsia"/>
                <w:color w:val="000000" w:themeColor="text1"/>
                <w:sz w:val="15"/>
                <w:szCs w:val="15"/>
                <w14:textFill>
                  <w14:solidFill>
                    <w14:schemeClr w14:val="tx1"/>
                  </w14:solidFill>
                </w14:textFill>
              </w:rPr>
              <w:t>临时处置点经营单位）</w:t>
            </w:r>
            <w:r>
              <w:rPr>
                <w:rFonts w:hint="eastAsia" w:asciiTheme="minorEastAsia" w:hAnsiTheme="minorEastAsia" w:eastAsiaTheme="minorEastAsia"/>
                <w:color w:val="000000" w:themeColor="text1"/>
                <w:sz w:val="15"/>
                <w:szCs w:val="15"/>
                <w14:textFill>
                  <w14:solidFill>
                    <w14:schemeClr w14:val="tx1"/>
                  </w14:solidFill>
                </w14:textFill>
              </w:rPr>
              <w:t>未按照消纳处置协议的约定接收符合分类标准的建筑垃圾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第十七条第一款第(一)项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第三十八条</w:t>
            </w:r>
            <w:r>
              <w:rPr>
                <w:rFonts w:asciiTheme="minorEastAsia" w:hAnsiTheme="minorEastAsia" w:eastAsiaTheme="minorEastAsia"/>
                <w:color w:val="000000" w:themeColor="text1"/>
                <w:sz w:val="15"/>
                <w:szCs w:val="15"/>
                <w14:textFill>
                  <w14:solidFill>
                    <w14:schemeClr w14:val="tx1"/>
                  </w14:solidFill>
                </w14:textFill>
              </w:rPr>
              <w:t>第一款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责令限期改正，处5万元以上10万元以下罚款，情节严重的，由城市管理综合执法部门吊销建筑垃圾消纳场所设置许可。</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50000</w:t>
            </w:r>
            <w:r>
              <w:rPr>
                <w:rFonts w:hint="eastAsia" w:asciiTheme="minorEastAsia" w:hAnsiTheme="minorEastAsia" w:eastAsiaTheme="minorEastAsia"/>
                <w:color w:val="000000" w:themeColor="text1"/>
                <w:sz w:val="15"/>
                <w:szCs w:val="15"/>
                <w14:textFill>
                  <w14:solidFill>
                    <w14:schemeClr w14:val="tx1"/>
                  </w14:solidFill>
                </w14:textFill>
              </w:rPr>
              <w:t>×（1＋情节系数）</w:t>
            </w:r>
          </w:p>
        </w:tc>
        <w:tc>
          <w:tcPr>
            <w:tcW w:w="2385" w:type="dxa"/>
            <w:gridSpan w:val="2"/>
            <w:shd w:val="clear" w:color="auto" w:fill="auto"/>
            <w:vAlign w:val="center"/>
          </w:tcPr>
          <w:p>
            <w:pPr>
              <w:numPr>
                <w:ilvl w:val="0"/>
                <w:numId w:val="2"/>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w:t>
            </w:r>
            <w:r>
              <w:rPr>
                <w:rFonts w:asciiTheme="minorEastAsia" w:hAnsiTheme="minorEastAsia" w:eastAsiaTheme="minorEastAsia"/>
                <w:color w:val="000000" w:themeColor="text1"/>
                <w:sz w:val="15"/>
                <w:szCs w:val="15"/>
                <w14:textFill>
                  <w14:solidFill>
                    <w14:schemeClr w14:val="tx1"/>
                  </w14:solidFill>
                </w14:textFill>
              </w:rPr>
              <w:t>部门</w:t>
            </w:r>
            <w:r>
              <w:rPr>
                <w:rFonts w:hint="eastAsia" w:asciiTheme="minorEastAsia" w:hAnsiTheme="minorEastAsia" w:eastAsiaTheme="minorEastAsia"/>
                <w:color w:val="000000" w:themeColor="text1"/>
                <w:sz w:val="15"/>
                <w:szCs w:val="15"/>
                <w14:textFill>
                  <w14:solidFill>
                    <w14:schemeClr w14:val="tx1"/>
                  </w14:solidFill>
                </w14:textFill>
              </w:rPr>
              <w:t>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建筑垃圾消纳场所（或临时处置点经营单位）未按照规定采取扬尘污染防治措施或者采取措施不当</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第十七条第一款第(二)项</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三十八条第二款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责令限期改正，处1万元以上10万元以下罚款；逾期未改正的，责令停工整治或者停业整治。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1.产生较大环境污染或者社会影响的，系数为5-8；</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造成社会恶劣影响或者其它较严重后果的，系数为9。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w:t>
            </w:r>
            <w:r>
              <w:rPr>
                <w:rFonts w:asciiTheme="minorEastAsia" w:hAnsiTheme="minorEastAsia" w:eastAsiaTheme="minorEastAsia"/>
                <w:color w:val="000000" w:themeColor="text1"/>
                <w:sz w:val="15"/>
                <w:szCs w:val="15"/>
                <w14:textFill>
                  <w14:solidFill>
                    <w14:schemeClr w14:val="tx1"/>
                  </w14:solidFill>
                </w14:textFill>
              </w:rPr>
              <w:t>根据实际情况选择</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7"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建筑垃圾消纳场所（或临时处置点经营单位）未按照</w:t>
            </w:r>
            <w:r>
              <w:rPr>
                <w:rFonts w:asciiTheme="minorEastAsia" w:hAnsiTheme="minorEastAsia" w:eastAsiaTheme="minorEastAsia"/>
                <w:color w:val="000000" w:themeColor="text1"/>
                <w:sz w:val="15"/>
                <w:szCs w:val="15"/>
                <w14:textFill>
                  <w14:solidFill>
                    <w14:schemeClr w14:val="tx1"/>
                  </w14:solidFill>
                </w14:textFill>
              </w:rPr>
              <w:t>规定设置双向称重系统</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第十七条第一款第(三)项</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三十八条第三款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责令限期改正，处1万元以上10万元以下罚款。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1.作业</w:t>
            </w:r>
            <w:r>
              <w:rPr>
                <w:rFonts w:asciiTheme="minorEastAsia" w:hAnsiTheme="minorEastAsia" w:eastAsiaTheme="minorEastAsia"/>
                <w:color w:val="000000" w:themeColor="text1"/>
                <w:sz w:val="15"/>
                <w:szCs w:val="15"/>
                <w14:textFill>
                  <w14:solidFill>
                    <w14:schemeClr w14:val="tx1"/>
                  </w14:solidFill>
                </w14:textFill>
              </w:rPr>
              <w:t>场所</w:t>
            </w:r>
            <w:r>
              <w:rPr>
                <w:rFonts w:hint="eastAsia" w:asciiTheme="minorEastAsia" w:hAnsiTheme="minorEastAsia" w:eastAsiaTheme="minorEastAsia"/>
                <w:color w:val="000000" w:themeColor="text1"/>
                <w:sz w:val="15"/>
                <w:szCs w:val="15"/>
                <w14:textFill>
                  <w14:solidFill>
                    <w14:schemeClr w14:val="tx1"/>
                  </w14:solidFill>
                </w14:textFill>
              </w:rPr>
              <w:t>20亩以下</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亩，系数为</w:t>
            </w: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40</w:t>
            </w:r>
            <w:r>
              <w:rPr>
                <w:rFonts w:hint="eastAsia" w:asciiTheme="minorEastAsia" w:hAnsiTheme="minorEastAsia" w:eastAsiaTheme="minorEastAsia"/>
                <w:color w:val="000000" w:themeColor="text1"/>
                <w:sz w:val="15"/>
                <w:szCs w:val="15"/>
                <w14:textFill>
                  <w14:solidFill>
                    <w14:schemeClr w14:val="tx1"/>
                  </w14:solidFill>
                </w14:textFill>
              </w:rPr>
              <w:t>亩，系数为</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；以此类推；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r>
              <w:rPr>
                <w:rFonts w:asciiTheme="minorEastAsia" w:hAnsiTheme="minorEastAsia" w:eastAsiaTheme="minorEastAsia"/>
                <w:color w:val="000000" w:themeColor="text1"/>
                <w:sz w:val="15"/>
                <w:szCs w:val="15"/>
                <w14:textFill>
                  <w14:solidFill>
                    <w14:schemeClr w14:val="tx1"/>
                  </w14:solidFill>
                </w14:textFill>
              </w:rPr>
              <w:t>.违法行为持续较长的系数为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lang w:val="en"/>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87"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建筑垃圾消纳场所（或临时处置点经营单位）未保持双向称重系统正常运转</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处罚条款：第三十八条第三款 责令限期改正，处1万元以上10万元以下罚款。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建筑垃圾消纳场所（或临时处置点经营单位）未如实记录进出场的建筑垃圾运输车辆载重状况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处罚条款：第三十八条第三款 责令限期改正，处1万元以上10万元以下罚款。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建筑垃圾消纳场所（或临时处置点经营单位）在</w:t>
            </w:r>
            <w:r>
              <w:rPr>
                <w:rFonts w:asciiTheme="minorEastAsia" w:hAnsiTheme="minorEastAsia" w:eastAsiaTheme="minorEastAsia"/>
                <w:color w:val="000000" w:themeColor="text1"/>
                <w:sz w:val="15"/>
                <w:szCs w:val="15"/>
                <w14:textFill>
                  <w14:solidFill>
                    <w14:schemeClr w14:val="tx1"/>
                  </w14:solidFill>
                </w14:textFill>
              </w:rPr>
              <w:t>作业场所</w:t>
            </w:r>
            <w:r>
              <w:rPr>
                <w:rFonts w:hint="eastAsia" w:asciiTheme="minorEastAsia" w:hAnsiTheme="minorEastAsia" w:eastAsiaTheme="minorEastAsia"/>
                <w:color w:val="000000" w:themeColor="text1"/>
                <w:sz w:val="15"/>
                <w:szCs w:val="15"/>
                <w14:textFill>
                  <w14:solidFill>
                    <w14:schemeClr w14:val="tx1"/>
                  </w14:solidFill>
                </w14:textFill>
              </w:rPr>
              <w:t>未安装运输车辆识别装置（或扬尘污染实时监控装置）</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十七条第一款第（</w:t>
            </w:r>
            <w:r>
              <w:rPr>
                <w:rFonts w:hint="eastAsia" w:asciiTheme="minorEastAsia" w:hAnsiTheme="minorEastAsia" w:eastAsiaTheme="minorEastAsia"/>
                <w:color w:val="000000" w:themeColor="text1"/>
                <w:sz w:val="15"/>
                <w:szCs w:val="15"/>
                <w14:textFill>
                  <w14:solidFill>
                    <w14:schemeClr w14:val="tx1"/>
                  </w14:solidFill>
                </w14:textFill>
              </w:rPr>
              <w:t>四</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条款：第三十八条第四款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责令限期改正，处2000元以上2万元以下罚款。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2000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建筑垃圾消纳场所（或临时处置点经营单位）在作业场所未</w:t>
            </w:r>
            <w:r>
              <w:rPr>
                <w:rFonts w:asciiTheme="minorEastAsia" w:hAnsiTheme="minorEastAsia" w:eastAsiaTheme="minorEastAsia"/>
                <w:color w:val="000000" w:themeColor="text1"/>
                <w:sz w:val="15"/>
                <w:szCs w:val="15"/>
                <w14:textFill>
                  <w14:solidFill>
                    <w14:schemeClr w14:val="tx1"/>
                  </w14:solidFill>
                </w14:textFill>
              </w:rPr>
              <w:t>正常使用</w:t>
            </w:r>
            <w:r>
              <w:rPr>
                <w:rFonts w:hint="eastAsia" w:asciiTheme="minorEastAsia" w:hAnsiTheme="minorEastAsia" w:eastAsiaTheme="minorEastAsia"/>
                <w:color w:val="000000" w:themeColor="text1"/>
                <w:sz w:val="15"/>
                <w:szCs w:val="15"/>
                <w14:textFill>
                  <w14:solidFill>
                    <w14:schemeClr w14:val="tx1"/>
                  </w14:solidFill>
                </w14:textFill>
              </w:rPr>
              <w:t>运输车辆识别装置（或扬尘污染实时监控装置）</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违反条款：第十七条第一款第（四）项</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处罚条款：第三十八条第四款 责令限期改正，处2000元以上2万元以下罚款。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作业场所20亩以下，系数为0；20-30亩，系数为1；3.30亩-40亩，系数为2；以此类。</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199"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建筑垃圾消纳场所（或临时处置点经营单位）未将建筑垃圾接收量（或处置量或再生产品生产供应等）数据</w:t>
            </w:r>
            <w:r>
              <w:rPr>
                <w:rFonts w:asciiTheme="minorEastAsia" w:hAnsiTheme="minorEastAsia" w:eastAsiaTheme="minorEastAsia"/>
                <w:color w:val="000000" w:themeColor="text1"/>
                <w:sz w:val="15"/>
                <w:szCs w:val="15"/>
                <w14:textFill>
                  <w14:solidFill>
                    <w14:schemeClr w14:val="tx1"/>
                  </w14:solidFill>
                </w14:textFill>
              </w:rPr>
              <w:t>实时传输至</w:t>
            </w: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垃圾管理和服务平台</w:t>
            </w:r>
          </w:p>
        </w:tc>
        <w:tc>
          <w:tcPr>
            <w:tcW w:w="2789" w:type="dxa"/>
            <w:gridSpan w:val="3"/>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违反条款：第十七条第一款第（五）项</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处罚条款：第三十八条第四款 责令限期改正，处2000元以上2万元以下罚款。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10"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未取得生活垃圾运输经营许可擅自运输建筑垃圾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第十八条第一款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w:t>
            </w:r>
            <w:r>
              <w:rPr>
                <w:rFonts w:asciiTheme="minorEastAsia" w:hAnsiTheme="minorEastAsia" w:eastAsiaTheme="minorEastAsia"/>
                <w:color w:val="000000" w:themeColor="text1"/>
                <w:sz w:val="15"/>
                <w:szCs w:val="15"/>
                <w14:textFill>
                  <w14:solidFill>
                    <w14:schemeClr w14:val="tx1"/>
                  </w14:solidFill>
                </w14:textFill>
              </w:rPr>
              <w:t>：第</w:t>
            </w:r>
            <w:r>
              <w:rPr>
                <w:rFonts w:hint="eastAsia" w:asciiTheme="minorEastAsia" w:hAnsiTheme="minorEastAsia" w:eastAsiaTheme="minorEastAsia"/>
                <w:color w:val="000000" w:themeColor="text1"/>
                <w:sz w:val="15"/>
                <w:szCs w:val="15"/>
                <w14:textFill>
                  <w14:solidFill>
                    <w14:schemeClr w14:val="tx1"/>
                  </w14:solidFill>
                </w14:textFill>
              </w:rPr>
              <w:t>三十九条 责令限期改正，给予警告，处5000元以上3万元以下罚款</w:t>
            </w:r>
            <w:r>
              <w:rPr>
                <w:rFonts w:asciiTheme="minorEastAsia" w:hAnsiTheme="minorEastAsia" w:eastAsiaTheme="minorEastAsia"/>
                <w:color w:val="000000" w:themeColor="text1"/>
                <w:sz w:val="15"/>
                <w:szCs w:val="15"/>
                <w14:textFill>
                  <w14:solidFill>
                    <w14:schemeClr w14:val="tx1"/>
                  </w14:solidFill>
                </w14:textFill>
              </w:rPr>
              <w:t>。</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违法时间</w:t>
            </w:r>
            <w:r>
              <w:rPr>
                <w:rFonts w:asciiTheme="minorEastAsia" w:hAnsiTheme="minorEastAsia" w:eastAsiaTheme="minorEastAsia"/>
                <w:color w:val="000000" w:themeColor="text1"/>
                <w:sz w:val="15"/>
                <w:szCs w:val="15"/>
                <w14:textFill>
                  <w14:solidFill>
                    <w14:schemeClr w14:val="tx1"/>
                  </w14:solidFill>
                </w14:textFill>
              </w:rPr>
              <w:t>持续较长，造成严重环境秩序影响的，系数为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000×（1＋情节系数+</w:t>
            </w:r>
            <w:r>
              <w:rPr>
                <w:rFonts w:asciiTheme="minorEastAsia" w:hAnsiTheme="minorEastAsia" w:eastAsiaTheme="minorEastAsia"/>
                <w:color w:val="000000" w:themeColor="text1"/>
                <w:sz w:val="15"/>
                <w:szCs w:val="15"/>
                <w14:textFill>
                  <w14:solidFill>
                    <w14:schemeClr w14:val="tx1"/>
                  </w14:solidFill>
                </w14:textFill>
              </w:rPr>
              <w:t>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使用不符合</w:t>
            </w:r>
            <w:r>
              <w:rPr>
                <w:rFonts w:asciiTheme="minorEastAsia" w:hAnsiTheme="minorEastAsia" w:eastAsiaTheme="minorEastAsia"/>
                <w:color w:val="000000" w:themeColor="text1"/>
                <w:sz w:val="15"/>
                <w:szCs w:val="15"/>
                <w14:textFill>
                  <w14:solidFill>
                    <w14:schemeClr w14:val="tx1"/>
                  </w14:solidFill>
                </w14:textFill>
              </w:rPr>
              <w:t>标准的车辆（</w:t>
            </w:r>
            <w:r>
              <w:rPr>
                <w:rFonts w:hint="eastAsia" w:asciiTheme="minorEastAsia" w:hAnsiTheme="minorEastAsia" w:eastAsiaTheme="minorEastAsia"/>
                <w:color w:val="000000" w:themeColor="text1"/>
                <w:sz w:val="15"/>
                <w:szCs w:val="15"/>
                <w14:textFill>
                  <w14:solidFill>
                    <w14:schemeClr w14:val="tx1"/>
                  </w14:solidFill>
                </w14:textFill>
              </w:rPr>
              <w:t>或未取得建筑垃圾准运许可</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运输建筑垃圾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条款：第十八条第一款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第三十九条 责令限期改正，并处1万元以上3万元以下罚款；情节严重的，由城市管理综合执法部门吊销生活垃圾运输经营许可。</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不符合标准的运输车辆，系数为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2.无</w:t>
            </w:r>
            <w:r>
              <w:rPr>
                <w:rFonts w:asciiTheme="minorEastAsia" w:hAnsiTheme="minorEastAsia" w:eastAsiaTheme="minorEastAsia"/>
                <w:color w:val="000000" w:themeColor="text1"/>
                <w:sz w:val="15"/>
                <w:szCs w:val="15"/>
                <w14:textFill>
                  <w14:solidFill>
                    <w14:schemeClr w14:val="tx1"/>
                  </w14:solidFill>
                </w14:textFill>
              </w:rPr>
              <w:t>准运证的，系数为</w:t>
            </w: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000×（1＋情节系数+</w:t>
            </w:r>
            <w:r>
              <w:rPr>
                <w:rFonts w:asciiTheme="minorEastAsia" w:hAnsiTheme="minorEastAsia" w:eastAsiaTheme="minorEastAsia"/>
                <w:color w:val="000000" w:themeColor="text1"/>
                <w:sz w:val="15"/>
                <w:szCs w:val="15"/>
                <w14:textFill>
                  <w14:solidFill>
                    <w14:schemeClr w14:val="tx1"/>
                  </w14:solidFill>
                </w14:textFill>
              </w:rPr>
              <w:t>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numPr>
                <w:ilvl w:val="0"/>
                <w:numId w:val="3"/>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w:t>
            </w:r>
            <w:r>
              <w:rPr>
                <w:rFonts w:asciiTheme="minorEastAsia" w:hAnsiTheme="minorEastAsia" w:eastAsiaTheme="minorEastAsia"/>
                <w:color w:val="000000" w:themeColor="text1"/>
                <w:sz w:val="15"/>
                <w:szCs w:val="15"/>
                <w14:textFill>
                  <w14:solidFill>
                    <w14:schemeClr w14:val="tx1"/>
                  </w14:solidFill>
                </w14:textFill>
              </w:rPr>
              <w:t>部门</w:t>
            </w:r>
            <w:r>
              <w:rPr>
                <w:rFonts w:hint="eastAsia" w:asciiTheme="minorEastAsia" w:hAnsiTheme="minorEastAsia" w:eastAsiaTheme="minorEastAsia"/>
                <w:color w:val="000000" w:themeColor="text1"/>
                <w:sz w:val="15"/>
                <w:szCs w:val="15"/>
                <w14:textFill>
                  <w14:solidFill>
                    <w14:schemeClr w14:val="tx1"/>
                  </w14:solidFill>
                </w14:textFill>
              </w:rPr>
              <w:t>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未采取措施防止建筑垃圾遗撒、泄漏</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违反条款：第十九条第一款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未造成</w:t>
            </w:r>
            <w:r>
              <w:rPr>
                <w:rFonts w:asciiTheme="minorEastAsia" w:hAnsiTheme="minorEastAsia" w:eastAsiaTheme="minorEastAsia"/>
                <w:color w:val="000000" w:themeColor="text1"/>
                <w:sz w:val="15"/>
                <w:szCs w:val="15"/>
                <w14:textFill>
                  <w14:solidFill>
                    <w14:schemeClr w14:val="tx1"/>
                  </w14:solidFill>
                </w14:textFill>
              </w:rPr>
              <w:t>遗撒、泄漏的，系数为</w:t>
            </w:r>
            <w:r>
              <w:rPr>
                <w:rFonts w:hint="eastAsia" w:asciiTheme="minorEastAsia" w:hAnsiTheme="minorEastAsia" w:eastAsiaTheme="minorEastAsia"/>
                <w:color w:val="000000" w:themeColor="text1"/>
                <w:sz w:val="15"/>
                <w:szCs w:val="15"/>
                <w14:textFill>
                  <w14:solidFill>
                    <w14:schemeClr w14:val="tx1"/>
                  </w14:solidFill>
                </w14:textFill>
              </w:rPr>
              <w:t>0；污染道路长21－30米的，系数1；31－40米的，系数2；以此类推。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罚款数额＝20000×（1＋区域系数＋情节系数＋变量系数）</w:t>
            </w:r>
          </w:p>
        </w:tc>
        <w:tc>
          <w:tcPr>
            <w:tcW w:w="2385" w:type="dxa"/>
            <w:gridSpan w:val="2"/>
            <w:shd w:val="clear" w:color="auto" w:fill="auto"/>
            <w:vAlign w:val="center"/>
          </w:tcPr>
          <w:p>
            <w:pPr>
              <w:numPr>
                <w:ilvl w:val="0"/>
                <w:numId w:val="4"/>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京政发〔2017〕32号），拟作出吊销处罚的，作出处罚决定前，要邀请城市管理部门共同会商；对于可能影响公共利益的，提请城市管理</w:t>
            </w:r>
            <w:r>
              <w:rPr>
                <w:rFonts w:asciiTheme="minorEastAsia" w:hAnsiTheme="minorEastAsia" w:eastAsiaTheme="minorEastAsia"/>
                <w:color w:val="000000" w:themeColor="text1"/>
                <w:sz w:val="15"/>
                <w:szCs w:val="15"/>
                <w14:textFill>
                  <w14:solidFill>
                    <w14:schemeClr w14:val="tx1"/>
                  </w14:solidFill>
                </w14:textFill>
              </w:rPr>
              <w:t>部门</w:t>
            </w:r>
            <w:r>
              <w:rPr>
                <w:rFonts w:hint="eastAsia" w:asciiTheme="minorEastAsia" w:hAnsiTheme="minorEastAsia" w:eastAsiaTheme="minorEastAsia"/>
                <w:color w:val="000000" w:themeColor="text1"/>
                <w:sz w:val="15"/>
                <w:szCs w:val="15"/>
                <w14:textFill>
                  <w14:solidFill>
                    <w14:schemeClr w14:val="tx1"/>
                  </w14:solidFill>
                </w14:textFill>
              </w:rPr>
              <w:t>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w:t>
            </w:r>
            <w:r>
              <w:rPr>
                <w:rFonts w:hint="eastAsia" w:asciiTheme="minorEastAsia" w:hAnsiTheme="minorEastAsia" w:eastAsiaTheme="minorEastAsia"/>
                <w:color w:val="000000" w:themeColor="text1"/>
                <w:sz w:val="15"/>
                <w:szCs w:val="15"/>
                <w14:textFill>
                  <w14:solidFill>
                    <w14:schemeClr w14:val="tx1"/>
                  </w14:solidFill>
                </w14:textFill>
              </w:rPr>
              <w:t>运输</w:t>
            </w:r>
            <w:r>
              <w:rPr>
                <w:rFonts w:asciiTheme="minorEastAsia" w:hAnsiTheme="minorEastAsia" w:eastAsiaTheme="minorEastAsia"/>
                <w:color w:val="000000" w:themeColor="text1"/>
                <w:sz w:val="15"/>
                <w:szCs w:val="15"/>
                <w14:textFill>
                  <w14:solidFill>
                    <w14:schemeClr w14:val="tx1"/>
                  </w14:solidFill>
                </w14:textFill>
              </w:rPr>
              <w:t>服务单位</w:t>
            </w:r>
            <w:r>
              <w:rPr>
                <w:rFonts w:hint="eastAsia" w:asciiTheme="minorEastAsia" w:hAnsiTheme="minorEastAsia" w:eastAsiaTheme="minorEastAsia"/>
                <w:color w:val="000000" w:themeColor="text1"/>
                <w:sz w:val="15"/>
                <w:szCs w:val="15"/>
                <w14:textFill>
                  <w14:solidFill>
                    <w14:schemeClr w14:val="tx1"/>
                  </w14:solidFill>
                </w14:textFill>
              </w:rPr>
              <w:t>将建筑垃圾与其他生活垃圾、危险废物混装混运</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条款：第十九条第一款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条款：第四十条</w:t>
            </w:r>
            <w:r>
              <w:rPr>
                <w:rFonts w:hint="eastAsia" w:asciiTheme="minorEastAsia" w:hAnsiTheme="minorEastAsia" w:eastAsiaTheme="minorEastAsia"/>
                <w:color w:val="000000" w:themeColor="text1"/>
                <w:sz w:val="15"/>
                <w:szCs w:val="15"/>
                <w14:textFill>
                  <w14:solidFill>
                    <w14:schemeClr w14:val="tx1"/>
                  </w14:solidFill>
                </w14:textFill>
              </w:rPr>
              <w:t>第一款 责令立即改正，处2万元以上10万元以下罚款；情节严重的，由城市管理综合执法部门吊销生活垃圾运输经营许可</w:t>
            </w:r>
            <w:r>
              <w:rPr>
                <w:rFonts w:asciiTheme="minorEastAsia" w:hAnsiTheme="minorEastAsia" w:eastAsiaTheme="minorEastAsia"/>
                <w:color w:val="000000" w:themeColor="text1"/>
                <w:sz w:val="15"/>
                <w:szCs w:val="15"/>
                <w14:textFill>
                  <w14:solidFill>
                    <w14:schemeClr w14:val="tx1"/>
                  </w14:solidFill>
                </w14:textFill>
              </w:rPr>
              <w:t xml:space="preserve"> </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1.运输</w:t>
            </w:r>
            <w:r>
              <w:rPr>
                <w:rFonts w:asciiTheme="minorEastAsia" w:hAnsiTheme="minorEastAsia" w:eastAsiaTheme="minorEastAsia"/>
                <w:color w:val="000000" w:themeColor="text1"/>
                <w:sz w:val="15"/>
                <w:szCs w:val="15"/>
                <w14:textFill>
                  <w14:solidFill>
                    <w14:schemeClr w14:val="tx1"/>
                  </w14:solidFill>
                </w14:textFill>
              </w:rPr>
              <w:t>车辆（</w:t>
            </w:r>
            <w:r>
              <w:rPr>
                <w:rFonts w:hint="eastAsia" w:asciiTheme="minorEastAsia" w:hAnsiTheme="minorEastAsia" w:eastAsiaTheme="minorEastAsia"/>
                <w:color w:val="000000" w:themeColor="text1"/>
                <w:sz w:val="15"/>
                <w:szCs w:val="15"/>
                <w14:textFill>
                  <w14:solidFill>
                    <w14:schemeClr w14:val="tx1"/>
                  </w14:solidFill>
                </w14:textFill>
              </w:rPr>
              <w:t>4.5吨</w:t>
            </w:r>
            <w:r>
              <w:rPr>
                <w:rFonts w:asciiTheme="minorEastAsia" w:hAnsiTheme="minorEastAsia" w:eastAsiaTheme="minorEastAsia"/>
                <w:color w:val="000000" w:themeColor="text1"/>
                <w:sz w:val="15"/>
                <w:szCs w:val="15"/>
                <w14:textFill>
                  <w14:solidFill>
                    <w14:schemeClr w14:val="tx1"/>
                  </w14:solidFill>
                </w14:textFill>
              </w:rPr>
              <w:t>以下）</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运输车辆</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4.5吨</w:t>
            </w:r>
            <w:r>
              <w:rPr>
                <w:rFonts w:asciiTheme="minorEastAsia" w:hAnsiTheme="minorEastAsia" w:eastAsiaTheme="minorEastAsia"/>
                <w:color w:val="000000" w:themeColor="text1"/>
                <w:sz w:val="15"/>
                <w:szCs w:val="15"/>
                <w14:textFill>
                  <w14:solidFill>
                    <w14:schemeClr w14:val="tx1"/>
                  </w14:solidFill>
                </w14:textFill>
              </w:rPr>
              <w:t>以上）</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与</w:t>
            </w:r>
            <w:r>
              <w:rPr>
                <w:rFonts w:asciiTheme="minorEastAsia" w:hAnsiTheme="minorEastAsia" w:eastAsiaTheme="minorEastAsia"/>
                <w:color w:val="000000" w:themeColor="text1"/>
                <w:sz w:val="15"/>
                <w:szCs w:val="15"/>
                <w14:textFill>
                  <w14:solidFill>
                    <w14:schemeClr w14:val="tx1"/>
                  </w14:solidFill>
                </w14:textFill>
              </w:rPr>
              <w:t>生活垃圾混装混运，系数为1-2</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.与</w:t>
            </w:r>
            <w:r>
              <w:rPr>
                <w:rFonts w:asciiTheme="minorEastAsia" w:hAnsiTheme="minorEastAsia" w:eastAsiaTheme="minorEastAsia"/>
                <w:color w:val="000000" w:themeColor="text1"/>
                <w:sz w:val="15"/>
                <w:szCs w:val="15"/>
                <w14:textFill>
                  <w14:solidFill>
                    <w14:schemeClr w14:val="tx1"/>
                  </w14:solidFill>
                </w14:textFill>
              </w:rPr>
              <w:t>危险废物混装</w:t>
            </w:r>
            <w:r>
              <w:rPr>
                <w:rFonts w:hint="eastAsia" w:asciiTheme="minorEastAsia" w:hAnsiTheme="minorEastAsia" w:eastAsiaTheme="minorEastAsia"/>
                <w:color w:val="000000" w:themeColor="text1"/>
                <w:sz w:val="15"/>
                <w:szCs w:val="15"/>
                <w14:textFill>
                  <w14:solidFill>
                    <w14:schemeClr w14:val="tx1"/>
                  </w14:solidFill>
                </w14:textFill>
              </w:rPr>
              <w:t>混运</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numPr>
                <w:ilvl w:val="0"/>
                <w:numId w:val="5"/>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京政发〔2017〕32号），拟作出吊销处罚的，作出处罚决定前，要邀请城市管理部门共同会商；对于可能影响公共利益的，提请城市管理部门拟定接管方案。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333"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按照规定使用电子运单</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如实记录建筑垃圾处置情况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十九条第</w:t>
            </w:r>
            <w:r>
              <w:rPr>
                <w:rFonts w:hint="eastAsia" w:asciiTheme="minorEastAsia" w:hAnsiTheme="minorEastAsia" w:eastAsiaTheme="minorEastAsia"/>
                <w:color w:val="000000" w:themeColor="text1"/>
                <w:sz w:val="15"/>
                <w:szCs w:val="15"/>
                <w14:textFill>
                  <w14:solidFill>
                    <w14:schemeClr w14:val="tx1"/>
                  </w14:solidFill>
                </w14:textFill>
              </w:rPr>
              <w:t>二</w:t>
            </w:r>
            <w:r>
              <w:rPr>
                <w:rFonts w:asciiTheme="minorEastAsia" w:hAnsiTheme="minorEastAsia" w:eastAsiaTheme="minorEastAsia"/>
                <w:color w:val="000000" w:themeColor="text1"/>
                <w:sz w:val="15"/>
                <w:szCs w:val="15"/>
                <w14:textFill>
                  <w14:solidFill>
                    <w14:schemeClr w14:val="tx1"/>
                  </w14:solidFill>
                </w14:textFill>
              </w:rPr>
              <w:t>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四十条第二款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责令限期改正，处1000元以上1万元以下罚款；情节严重的，由城市管理综合执法部门依法吊销生活垃圾运输经营许可。</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有</w:t>
            </w:r>
            <w:r>
              <w:rPr>
                <w:rFonts w:asciiTheme="minorEastAsia" w:hAnsiTheme="minorEastAsia" w:eastAsiaTheme="minorEastAsia"/>
                <w:color w:val="000000" w:themeColor="text1"/>
                <w:sz w:val="15"/>
                <w:szCs w:val="15"/>
                <w14:textFill>
                  <w14:solidFill>
                    <w14:schemeClr w14:val="tx1"/>
                  </w14:solidFill>
                </w14:textFill>
              </w:rPr>
              <w:t>电子运单的</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如实记录的，系数为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2.未建立</w:t>
            </w:r>
            <w:r>
              <w:rPr>
                <w:rFonts w:asciiTheme="minorEastAsia" w:hAnsiTheme="minorEastAsia" w:eastAsiaTheme="minorEastAsia"/>
                <w:color w:val="000000" w:themeColor="text1"/>
                <w:sz w:val="15"/>
                <w:szCs w:val="15"/>
                <w14:textFill>
                  <w14:solidFill>
                    <w14:schemeClr w14:val="tx1"/>
                  </w14:solidFill>
                </w14:textFill>
              </w:rPr>
              <w:t>电子</w:t>
            </w:r>
            <w:r>
              <w:rPr>
                <w:rFonts w:hint="eastAsia" w:asciiTheme="minorEastAsia" w:hAnsiTheme="minorEastAsia" w:eastAsiaTheme="minorEastAsia"/>
                <w:color w:val="000000" w:themeColor="text1"/>
                <w:sz w:val="15"/>
                <w:szCs w:val="15"/>
                <w14:textFill>
                  <w14:solidFill>
                    <w14:schemeClr w14:val="tx1"/>
                  </w14:solidFill>
                </w14:textFill>
              </w:rPr>
              <w:t>运单</w:t>
            </w:r>
            <w:r>
              <w:rPr>
                <w:rFonts w:asciiTheme="minorEastAsia" w:hAnsiTheme="minorEastAsia" w:eastAsiaTheme="minorEastAsia"/>
                <w:color w:val="000000" w:themeColor="text1"/>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系数</w:t>
            </w:r>
            <w:r>
              <w:rPr>
                <w:rFonts w:asciiTheme="minorEastAsia" w:hAnsiTheme="minorEastAsia" w:eastAsiaTheme="minorEastAsia"/>
                <w:color w:val="000000" w:themeColor="text1"/>
                <w:sz w:val="15"/>
                <w:szCs w:val="15"/>
                <w14:textFill>
                  <w14:solidFill>
                    <w14:schemeClr w14:val="tx1"/>
                  </w14:solidFill>
                </w14:textFill>
              </w:rPr>
              <w:t>为</w:t>
            </w:r>
            <w:r>
              <w:rPr>
                <w:rFonts w:hint="eastAsia" w:asciiTheme="minorEastAsia" w:hAnsiTheme="minorEastAsia" w:eastAsiaTheme="minorEastAsia"/>
                <w:color w:val="000000" w:themeColor="text1"/>
                <w:sz w:val="15"/>
                <w:szCs w:val="15"/>
                <w14:textFill>
                  <w14:solidFill>
                    <w14:schemeClr w14:val="tx1"/>
                  </w14:solidFill>
                </w14:textFill>
              </w:rPr>
              <w:t>5</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罚款数额＝1000×（1＋情节系数+变量系数）</w:t>
            </w:r>
          </w:p>
        </w:tc>
        <w:tc>
          <w:tcPr>
            <w:tcW w:w="2385" w:type="dxa"/>
            <w:gridSpan w:val="2"/>
            <w:shd w:val="clear" w:color="auto" w:fill="auto"/>
            <w:vAlign w:val="center"/>
          </w:tcPr>
          <w:p>
            <w:pPr>
              <w:numPr>
                <w:ilvl w:val="0"/>
                <w:numId w:val="6"/>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京政发〔2017〕32号），拟作出吊销处罚的，作出处罚决定前，要邀请城市管理部门共同会商；对于可能影响公共利益的，提请城市管理部门拟定接管方案。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w:t>
            </w:r>
            <w:r>
              <w:rPr>
                <w:rFonts w:asciiTheme="minorEastAsia" w:hAnsiTheme="minorEastAsia" w:eastAsiaTheme="minorEastAsia"/>
                <w:color w:val="000000" w:themeColor="text1"/>
                <w:sz w:val="15"/>
                <w:szCs w:val="15"/>
                <w14:textFill>
                  <w14:solidFill>
                    <w14:schemeClr w14:val="tx1"/>
                  </w14:solidFill>
                </w14:textFill>
              </w:rPr>
              <w:t>单位</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编制建筑垃圾处理方案</w:t>
            </w:r>
            <w:r>
              <w:rPr>
                <w:rFonts w:hint="eastAsia" w:asciiTheme="minorEastAsia" w:hAnsiTheme="minorEastAsia" w:eastAsiaTheme="minorEastAsia"/>
                <w:color w:val="000000" w:themeColor="text1"/>
                <w:sz w:val="15"/>
                <w:szCs w:val="15"/>
                <w14:textFill>
                  <w14:solidFill>
                    <w14:schemeClr w14:val="tx1"/>
                  </w14:solidFill>
                </w14:textFill>
              </w:rPr>
              <w:t>报备案</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违反条款：第二十条第一款</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处罚条款：第四十一条第一款 责令限期改正，处10万元以上100万元以下罚款。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罚款数额＝100000×（1＋情节系数+区域系数）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w:t>
            </w:r>
            <w:r>
              <w:rPr>
                <w:rFonts w:asciiTheme="minorEastAsia" w:hAnsiTheme="minorEastAsia" w:eastAsiaTheme="minorEastAsia"/>
                <w:color w:val="000000" w:themeColor="text1"/>
                <w:sz w:val="15"/>
                <w:szCs w:val="15"/>
                <w14:textFill>
                  <w14:solidFill>
                    <w14:schemeClr w14:val="tx1"/>
                  </w14:solidFill>
                </w14:textFill>
              </w:rPr>
              <w:t>未及时清运建筑垃圾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条款：第二十条第二款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四十一条第二款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责令限期改正，处10万元以上100万元以下罚款。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未清运垃圾面积在10㎡以下的，系数0；11－15㎡，系数2；16－20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4，以此类推。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罚款数额＝100000×（1＋情节系数+变量系数+区域</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82"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w:t>
            </w:r>
            <w:r>
              <w:rPr>
                <w:rFonts w:asciiTheme="minorEastAsia" w:hAnsiTheme="minorEastAsia" w:eastAsiaTheme="minorEastAsia"/>
                <w:color w:val="000000" w:themeColor="text1"/>
                <w:sz w:val="15"/>
                <w:szCs w:val="15"/>
                <w14:textFill>
                  <w14:solidFill>
                    <w14:schemeClr w14:val="tx1"/>
                  </w14:solidFill>
                </w14:textFill>
              </w:rPr>
              <w:t>单位</w:t>
            </w:r>
            <w:r>
              <w:rPr>
                <w:rFonts w:hint="eastAsia" w:asciiTheme="minorEastAsia" w:hAnsiTheme="minorEastAsia" w:eastAsiaTheme="minorEastAsia"/>
                <w:color w:val="000000" w:themeColor="text1"/>
                <w:sz w:val="15"/>
                <w:szCs w:val="15"/>
                <w14:textFill>
                  <w14:solidFill>
                    <w14:schemeClr w14:val="tx1"/>
                  </w14:solidFill>
                </w14:textFill>
              </w:rPr>
              <w:t>未按照规定对施工过程中产生的建筑垃圾进行资源化利用或者处置</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第二十条第二款</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第四十</w:t>
            </w:r>
            <w:r>
              <w:rPr>
                <w:rFonts w:asciiTheme="minorEastAsia" w:hAnsiTheme="minorEastAsia" w:eastAsiaTheme="minorEastAsia"/>
                <w:color w:val="000000" w:themeColor="text1"/>
                <w:sz w:val="15"/>
                <w:szCs w:val="15"/>
                <w14:textFill>
                  <w14:solidFill>
                    <w14:schemeClr w14:val="tx1"/>
                  </w14:solidFill>
                </w14:textFill>
              </w:rPr>
              <w:t>一条第二款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万元以上10</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r>
              <w:rPr>
                <w:rFonts w:asciiTheme="minorEastAsia" w:hAnsiTheme="minorEastAsia" w:eastAsiaTheme="minorEastAsia"/>
                <w:color w:val="000000" w:themeColor="text1"/>
                <w:sz w:val="15"/>
                <w:szCs w:val="15"/>
                <w14:textFill>
                  <w14:solidFill>
                    <w14:schemeClr w14:val="tx1"/>
                  </w14:solidFill>
                </w14:textFill>
              </w:rPr>
              <w:t>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按规定利用或</w:t>
            </w:r>
            <w:r>
              <w:rPr>
                <w:rFonts w:hint="eastAsia" w:asciiTheme="minorEastAsia" w:hAnsiTheme="minorEastAsia" w:eastAsiaTheme="minorEastAsia"/>
                <w:color w:val="000000" w:themeColor="text1"/>
                <w:sz w:val="15"/>
                <w:szCs w:val="15"/>
                <w14:textFill>
                  <w14:solidFill>
                    <w14:schemeClr w14:val="tx1"/>
                  </w14:solidFill>
                </w14:textFill>
              </w:rPr>
              <w:t>处置</w:t>
            </w:r>
            <w:r>
              <w:rPr>
                <w:rFonts w:asciiTheme="minorEastAsia" w:hAnsiTheme="minorEastAsia" w:eastAsiaTheme="minorEastAsia"/>
                <w:color w:val="000000" w:themeColor="text1"/>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垃圾占地面积</w:t>
            </w:r>
            <w:r>
              <w:rPr>
                <w:rFonts w:hint="eastAsia" w:asciiTheme="minorEastAsia" w:hAnsiTheme="minorEastAsia" w:eastAsiaTheme="minorEastAsia"/>
                <w:color w:val="000000" w:themeColor="text1"/>
                <w:sz w:val="15"/>
                <w:szCs w:val="15"/>
                <w14:textFill>
                  <w14:solidFill>
                    <w14:schemeClr w14:val="tx1"/>
                  </w14:solidFill>
                </w14:textFill>
              </w:rPr>
              <w:t>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w:t>
            </w:r>
            <w:r>
              <w:rPr>
                <w:rFonts w:asciiTheme="minorEastAsia" w:hAnsiTheme="minorEastAsia" w:eastAsiaTheme="minorEastAsia"/>
                <w:color w:val="000000" w:themeColor="text1"/>
                <w:sz w:val="15"/>
                <w:szCs w:val="15"/>
                <w14:textFill>
                  <w14:solidFill>
                    <w14:schemeClr w14:val="tx1"/>
                  </w14:solidFill>
                </w14:textFill>
              </w:rPr>
              <w:t>的，系数为</w:t>
            </w:r>
            <w:r>
              <w:rPr>
                <w:rFonts w:hint="eastAsia" w:asciiTheme="minorEastAsia" w:hAnsiTheme="minorEastAsia" w:eastAsiaTheme="minorEastAsia"/>
                <w:color w:val="000000" w:themeColor="text1"/>
                <w:sz w:val="15"/>
                <w:szCs w:val="15"/>
                <w14:textFill>
                  <w14:solidFill>
                    <w14:schemeClr w14:val="tx1"/>
                  </w14:solidFill>
                </w14:textFill>
              </w:rPr>
              <w:t>0；.11—15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1；16</w:t>
            </w:r>
            <w:r>
              <w:rPr>
                <w:rFonts w:asciiTheme="minorEastAsia" w:hAnsiTheme="minorEastAsia" w:eastAsiaTheme="minorEastAsia"/>
                <w:color w:val="000000" w:themeColor="text1"/>
                <w:sz w:val="15"/>
                <w:szCs w:val="15"/>
                <w14:textFill>
                  <w14:solidFill>
                    <w14:schemeClr w14:val="tx1"/>
                  </w14:solidFill>
                </w14:textFill>
              </w:rPr>
              <w:t>-20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w:t>
            </w:r>
            <w:r>
              <w:rPr>
                <w:rFonts w:asciiTheme="minorEastAsia" w:hAnsiTheme="minorEastAsia" w:eastAsiaTheme="minorEastAsia"/>
                <w:color w:val="000000" w:themeColor="text1"/>
                <w:sz w:val="15"/>
                <w:szCs w:val="15"/>
                <w14:textFill>
                  <w14:solidFill>
                    <w14:schemeClr w14:val="tx1"/>
                  </w14:solidFill>
                </w14:textFill>
              </w:rPr>
              <w:t>为</w:t>
            </w:r>
            <w:r>
              <w:rPr>
                <w:rFonts w:hint="eastAsia" w:asciiTheme="minorEastAsia" w:hAnsiTheme="minorEastAsia" w:eastAsiaTheme="minorEastAsia"/>
                <w:color w:val="000000" w:themeColor="text1"/>
                <w:sz w:val="15"/>
                <w:szCs w:val="15"/>
                <w14:textFill>
                  <w14:solidFill>
                    <w14:schemeClr w14:val="tx1"/>
                  </w14:solidFill>
                </w14:textFill>
              </w:rPr>
              <w:t>2，以此</w:t>
            </w:r>
            <w:r>
              <w:rPr>
                <w:rFonts w:asciiTheme="minorEastAsia" w:hAnsiTheme="minorEastAsia" w:eastAsiaTheme="minorEastAsia"/>
                <w:color w:val="000000" w:themeColor="text1"/>
                <w:sz w:val="15"/>
                <w:szCs w:val="15"/>
                <w14:textFill>
                  <w14:solidFill>
                    <w14:schemeClr w14:val="tx1"/>
                  </w14:solidFill>
                </w14:textFill>
              </w:rPr>
              <w:t>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90"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施工单位未按照规定对现场贮存的建筑垃圾采取扬尘防治措施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第二十条第二款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第四十</w:t>
            </w:r>
            <w:r>
              <w:rPr>
                <w:rFonts w:asciiTheme="minorEastAsia" w:hAnsiTheme="minorEastAsia" w:eastAsiaTheme="minorEastAsia"/>
                <w:color w:val="000000" w:themeColor="text1"/>
                <w:sz w:val="15"/>
                <w:szCs w:val="15"/>
                <w14:textFill>
                  <w14:solidFill>
                    <w14:schemeClr w14:val="tx1"/>
                  </w14:solidFill>
                </w14:textFill>
              </w:rPr>
              <w:t>一条第二款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责令限期改正，处1万元以上10万元以下罚款；拒不改正的，责令停工整治。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numPr>
                <w:ilvl w:val="0"/>
                <w:numId w:val="7"/>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p>
            <w:pPr>
              <w:numPr>
                <w:ilvl w:val="0"/>
                <w:numId w:val="7"/>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000×（1＋情节系数+变量系数+</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未按照规定建立台账并如实报告建筑垃圾处置情况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w:t>
            </w:r>
            <w:r>
              <w:rPr>
                <w:rFonts w:asciiTheme="minorEastAsia" w:hAnsiTheme="minorEastAsia" w:eastAsiaTheme="minorEastAsia"/>
                <w:color w:val="000000" w:themeColor="text1"/>
                <w:sz w:val="15"/>
                <w:szCs w:val="15"/>
                <w14:textFill>
                  <w14:solidFill>
                    <w14:schemeClr w14:val="tx1"/>
                  </w14:solidFill>
                </w14:textFill>
              </w:rPr>
              <w:t>：第二十七条</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四十三条</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责令限期改正，处1000元以上1万元以下罚款；情节严重的，由城市管理综合执法部门依法吊销生活垃圾运输经营许可或者建筑垃圾消纳场所设置许可。</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1.已记录</w:t>
            </w:r>
            <w:r>
              <w:rPr>
                <w:rFonts w:asciiTheme="minorEastAsia" w:hAnsiTheme="minorEastAsia" w:eastAsiaTheme="minorEastAsia"/>
                <w:color w:val="000000" w:themeColor="text1"/>
                <w:sz w:val="15"/>
                <w:szCs w:val="15"/>
                <w14:textFill>
                  <w14:solidFill>
                    <w14:schemeClr w14:val="tx1"/>
                  </w14:solidFill>
                </w14:textFill>
              </w:rPr>
              <w:t>台账而记录内容不完整的，系数为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2.未建立台账的</w:t>
            </w:r>
            <w:r>
              <w:rPr>
                <w:rFonts w:asciiTheme="minorEastAsia" w:hAnsiTheme="minorEastAsia" w:eastAsiaTheme="minorEastAsia"/>
                <w:color w:val="000000" w:themeColor="text1"/>
                <w:sz w:val="15"/>
                <w:szCs w:val="15"/>
                <w14:textFill>
                  <w14:solidFill>
                    <w14:schemeClr w14:val="tx1"/>
                  </w14:solidFill>
                </w14:textFill>
              </w:rPr>
              <w:t>或者台账弄虚作假的，系数为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3.同时造成</w:t>
            </w:r>
            <w:r>
              <w:rPr>
                <w:rFonts w:asciiTheme="minorEastAsia" w:hAnsiTheme="minorEastAsia" w:eastAsiaTheme="minorEastAsia"/>
                <w:color w:val="000000" w:themeColor="text1"/>
                <w:sz w:val="15"/>
                <w:szCs w:val="15"/>
                <w14:textFill>
                  <w14:solidFill>
                    <w14:schemeClr w14:val="tx1"/>
                  </w14:solidFill>
                </w14:textFill>
              </w:rPr>
              <w:t>环境秩序严重影响的</w:t>
            </w:r>
            <w:r>
              <w:rPr>
                <w:rFonts w:hint="eastAsia" w:asciiTheme="minorEastAsia" w:hAnsiTheme="minorEastAsia" w:eastAsiaTheme="minorEastAsia"/>
                <w:color w:val="000000" w:themeColor="text1"/>
                <w:sz w:val="15"/>
                <w:szCs w:val="15"/>
                <w14:textFill>
                  <w14:solidFill>
                    <w14:schemeClr w14:val="tx1"/>
                  </w14:solidFill>
                </w14:textFill>
              </w:rPr>
              <w:t>为7</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罚款数额＝1000×（1＋情节系数+变量系数）</w:t>
            </w:r>
          </w:p>
        </w:tc>
        <w:tc>
          <w:tcPr>
            <w:tcW w:w="2385" w:type="dxa"/>
            <w:gridSpan w:val="2"/>
            <w:shd w:val="clear" w:color="auto" w:fill="auto"/>
            <w:vAlign w:val="center"/>
          </w:tcPr>
          <w:p>
            <w:pPr>
              <w:numPr>
                <w:ilvl w:val="0"/>
                <w:numId w:val="8"/>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京政发〔2017〕32号），拟作出吊销处罚的，作出处罚决定前，邀请城市管理部门划出部门共同会商；对于可能影响公共利益的，提请城市管理部门拟定接管方案。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37" w:name="_Toc495418307"/>
            <w:bookmarkStart w:id="38" w:name="_Toc2067813418"/>
            <w:bookmarkStart w:id="39" w:name="_Toc110851448"/>
            <w:r>
              <w:rPr>
                <w:rFonts w:hint="eastAsia" w:asciiTheme="minorEastAsia" w:hAnsiTheme="minorEastAsia" w:eastAsiaTheme="minorEastAsia"/>
                <w:color w:val="000000" w:themeColor="text1"/>
                <w:sz w:val="15"/>
                <w:szCs w:val="15"/>
                <w14:textFill>
                  <w14:solidFill>
                    <w14:schemeClr w14:val="tx1"/>
                  </w14:solidFill>
                </w14:textFill>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携犬人未清除户外犬粪便</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违反条款：第十七条第（六）项；处罚条款：第三十条：责令改正，并可处50元罚款。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0" w:name="_Toc110851449"/>
            <w:bookmarkStart w:id="41" w:name="_Toc986557284"/>
            <w:bookmarkStart w:id="42" w:name="_Toc1582196544"/>
            <w:r>
              <w:rPr>
                <w:rFonts w:hint="eastAsia" w:asciiTheme="minorEastAsia" w:hAnsiTheme="minorEastAsia" w:eastAsiaTheme="minorEastAsia"/>
                <w:color w:val="000000" w:themeColor="text1"/>
                <w:sz w:val="15"/>
                <w:szCs w:val="15"/>
                <w14:textFill>
                  <w14:solidFill>
                    <w14:schemeClr w14:val="tx1"/>
                  </w14:solidFill>
                </w14:textFill>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在长城保护范围和建设控制地带内设置</w:t>
            </w:r>
            <w:r>
              <w:rPr>
                <w:rFonts w:hint="eastAsia" w:cs="宋体" w:asciiTheme="minorEastAsia" w:hAnsiTheme="minorEastAsia" w:eastAsiaTheme="minorEastAsia"/>
                <w:color w:val="000000" w:themeColor="text1"/>
                <w:kern w:val="0"/>
                <w:sz w:val="15"/>
                <w:szCs w:val="15"/>
                <w14:textFill>
                  <w14:solidFill>
                    <w14:schemeClr w14:val="tx1"/>
                  </w14:solidFill>
                </w14:textFill>
              </w:rPr>
              <w:t>不符合要求</w:t>
            </w:r>
            <w:r>
              <w:rPr>
                <w:rFonts w:cs="宋体" w:asciiTheme="minorEastAsia" w:hAnsiTheme="minorEastAsia" w:eastAsiaTheme="minorEastAsia"/>
                <w:color w:val="000000" w:themeColor="text1"/>
                <w:kern w:val="0"/>
                <w:sz w:val="15"/>
                <w:szCs w:val="15"/>
                <w14:textFill>
                  <w14:solidFill>
                    <w14:schemeClr w14:val="tx1"/>
                  </w14:solidFill>
                </w14:textFill>
              </w:rPr>
              <w:t>的标志标牌</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第十二条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第十七条</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 xml:space="preserve">责令拆除或者更换，并可处200元以上1000元以下的罚款。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3" w:name="_Toc29457572"/>
            <w:bookmarkStart w:id="44" w:name="_Toc110851450"/>
            <w:bookmarkStart w:id="45" w:name="_Toc703776516"/>
            <w:r>
              <w:rPr>
                <w:rFonts w:hint="eastAsia" w:asciiTheme="minorEastAsia" w:hAnsiTheme="minorEastAsia" w:eastAsiaTheme="minorEastAsia"/>
                <w:color w:val="000000" w:themeColor="text1"/>
                <w:sz w:val="15"/>
                <w:szCs w:val="15"/>
                <w14:textFill>
                  <w14:solidFill>
                    <w14:schemeClr w14:val="tx1"/>
                  </w14:solidFill>
                </w14:textFill>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8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任何单位或个人擅自设置、移动、拆除或者损毁、涂改、遮挡保护标志</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违反条款：第五十二条第二款；处罚条款：第七十四条  责令限期改正；逾期不改正的，对单位处一万元以上五万元以下罚款，对个人处一千元以上一万元以下罚款。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针对个人，罚款数额＝1000×（1＋情节系数））。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38"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针对单位，罚款数额＝10000×（1＋情节系数）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6" w:name="_Toc1990907407"/>
            <w:bookmarkStart w:id="47" w:name="_Toc110851451"/>
            <w:bookmarkStart w:id="48" w:name="_Toc958675012"/>
            <w:r>
              <w:rPr>
                <w:rFonts w:hint="eastAsia" w:asciiTheme="minorEastAsia" w:hAnsiTheme="minorEastAsia" w:eastAsiaTheme="minorEastAsia"/>
                <w:color w:val="000000" w:themeColor="text1"/>
                <w:sz w:val="15"/>
                <w:szCs w:val="15"/>
                <w14:textFill>
                  <w14:solidFill>
                    <w14:schemeClr w14:val="tx1"/>
                  </w14:solidFill>
                </w14:textFill>
              </w:rPr>
              <w:t>《北京市架空线管理若干规定》案由</w:t>
            </w:r>
            <w:r>
              <w:rPr>
                <w:rFonts w:asciiTheme="minorEastAsia" w:hAnsiTheme="minorEastAsia" w:eastAsiaTheme="minorEastAsia"/>
                <w:color w:val="000000" w:themeColor="text1"/>
                <w:sz w:val="15"/>
                <w:szCs w:val="15"/>
                <w14:textFill>
                  <w14:solidFill>
                    <w14:schemeClr w14:val="tx1"/>
                  </w14:solidFill>
                </w14:textFill>
              </w:rPr>
              <w:t>7</w:t>
            </w:r>
            <w:r>
              <w:rPr>
                <w:rFonts w:hint="eastAsia" w:asciiTheme="minorEastAsia" w:hAnsiTheme="minorEastAsia" w:eastAsiaTheme="minorEastAsia"/>
                <w:color w:val="000000" w:themeColor="text1"/>
                <w:sz w:val="15"/>
                <w:szCs w:val="15"/>
                <w14:textFill>
                  <w14:solidFill>
                    <w14:schemeClr w14:val="tx1"/>
                  </w14:solidFill>
                </w14:textFill>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0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设置架空线不符合设置架空线行政许可决定</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违反条款：第九条第一款；处罚条款：第十九条第一款 责令限期改正，可以处200元以上2000元以下罚款。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numPr>
                <w:ilvl w:val="0"/>
                <w:numId w:val="9"/>
              </w:num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对其它管线正常使用造成影响的，系数4；</w:t>
            </w:r>
          </w:p>
          <w:p>
            <w:pPr>
              <w:numPr>
                <w:ilvl w:val="0"/>
                <w:numId w:val="9"/>
              </w:num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影响交通通行，或者造成其它安全隐患的，系数4。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行政许可有效期届满未清除架空线</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违反条款：第九条第二款；处罚条款：第十九条第二款 ，责令限期改正，可以处300元以上3000元以下罚款。逾期不改正的，由区县市政市容行政管理部门组织清除。</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每逾期1天，系数1，以此累加。</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未按要求在架空线的显著位置设置标识信息</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违反条款：第十条第(一)项；处罚条款：第二十条第一款；责令限期改正，可以处200元以上2000元以下罚款。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对其它管线正常使用造成影响，或者造成其它安全隐患的，系数4。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发现架空线存在影响安全或者市容景观情况未立及时处理 </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违反条款：第十条第(四)项；处罚条款：第二十条第一款；责令限期改正，可以处200元以上2000元以下罚款。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经责令改正仍未及时处理的，自责改之日起每逾期1天，系数1，以此累加。</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发现擅自搭挂的线缆，未按要求清除或者报告</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违反条款：第十条第(六)项；处罚条款：第二十条第一款；责令限期改正，可以处200元以上2000元以下罚款。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经责令改正仍未及时清除或者报告的，自责改之日起每逾期1天，系数1，以此累加。</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未及时清除废弃架空线</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违反条款：第十条第(五)项；处罚条款：第二十条第二款；责令限期改正，可以处300元以上3000元以下罚款。逾期不改正的，由区县市政市容行政管理部门组织清除。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经责令改正仍未及时处理的，自责改之日起每逾期1天，系数1，以此累加。</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未按要求实施架空线埋设入地</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违反条款：第十三条第二款；处罚条款：第二十一条；责令限期改正，可以处3000元以上3万元以下罚款。架空线管理人逾期不改正的，由区县市政市容行政管理部门组织清除。</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经责令改正，仍未制定入地方案，并及时采取入地措施的，自责改之日起每逾期5天，系数1，以此累加。</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9" w:name="_Toc1563678502"/>
            <w:bookmarkStart w:id="50" w:name="_Toc1265824748"/>
            <w:bookmarkStart w:id="51" w:name="_Toc110851452"/>
            <w:r>
              <w:rPr>
                <w:rFonts w:hint="eastAsia" w:asciiTheme="minorEastAsia" w:hAnsiTheme="minorEastAsia" w:eastAsiaTheme="minorEastAsia"/>
                <w:color w:val="000000" w:themeColor="text1"/>
                <w:sz w:val="15"/>
                <w:szCs w:val="15"/>
                <w14:textFill>
                  <w14:solidFill>
                    <w14:schemeClr w14:val="tx1"/>
                  </w14:solidFill>
                </w14:textFill>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7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在城市景观照明中有过度照明等超能耗标准行为</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违反条款：第十九条第二款；处罚条款：　第三十一条,责令限期改正；逾期未改正的，处以1000元以上3万元以下的罚款。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14"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实施影响城市照明设施正常运行的行为</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刻划、涂污照明设施多处，或者严重污损照明设施的，系数4；存在其它已严重危害或者影响设施正常运行的行为，系数为4-9。</w:t>
            </w:r>
          </w:p>
        </w:tc>
        <w:tc>
          <w:tcPr>
            <w:tcW w:w="1785" w:type="dxa"/>
            <w:gridSpan w:val="2"/>
            <w:shd w:val="clear" w:color="auto" w:fill="auto"/>
            <w:vAlign w:val="center"/>
          </w:tcPr>
          <w:p>
            <w:pPr>
              <w:spacing w:line="27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对张贴宣传品、设置广告等行为，《北京市市容环境卫生条例》有规定的，建议适用其规定和裁量。未作具体规定的，依此案由为补充。</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根据实际，选择款项。</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5"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7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罚款数额＝1000×（1＋区域系数＋情节系数＋变量系数）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7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52" w:name="_Toc275604405"/>
            <w:bookmarkStart w:id="53" w:name="_Toc110851453"/>
            <w:bookmarkStart w:id="54" w:name="_Toc1124716628"/>
            <w:r>
              <w:rPr>
                <w:rFonts w:hint="eastAsia" w:asciiTheme="minorEastAsia" w:hAnsiTheme="minorEastAsia" w:eastAsiaTheme="minorEastAsia"/>
                <w:color w:val="000000" w:themeColor="text1"/>
                <w:sz w:val="15"/>
                <w:szCs w:val="15"/>
                <w14:textFill>
                  <w14:solidFill>
                    <w14:schemeClr w14:val="tx1"/>
                  </w14:solidFill>
                </w14:textFill>
              </w:rPr>
              <w:t>《北京市</w:t>
            </w:r>
            <w:r>
              <w:rPr>
                <w:rFonts w:asciiTheme="minorEastAsia" w:hAnsiTheme="minorEastAsia" w:eastAsiaTheme="minorEastAsia"/>
                <w:color w:val="000000" w:themeColor="text1"/>
                <w:sz w:val="15"/>
                <w:szCs w:val="15"/>
                <w14:textFill>
                  <w14:solidFill>
                    <w14:schemeClr w14:val="tx1"/>
                  </w14:solidFill>
                </w14:textFill>
              </w:rPr>
              <w:t>物业管理条例</w:t>
            </w:r>
            <w:r>
              <w:rPr>
                <w:rFonts w:hint="eastAsia" w:asciiTheme="minorEastAsia" w:hAnsiTheme="minorEastAsia" w:eastAsiaTheme="minorEastAsia"/>
                <w:color w:val="000000" w:themeColor="text1"/>
                <w:sz w:val="15"/>
                <w:szCs w:val="15"/>
                <w14:textFill>
                  <w14:solidFill>
                    <w14:schemeClr w14:val="tx1"/>
                  </w14:solidFill>
                </w14:textFill>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2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占用、堵塞、封闭其他共用部位（或者损坏其他共用设施设备）</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违反条款：第七十八条第二款第(十)项。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处罚条款：第九十八条第(十)项，责令改正，给予警告，对单位处二千元以上二万元以下的罚款，对个人处二百元以上五百元以下的罚款。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占用、堵塞、封闭共用部位空间较大、损坏共用设施设备较为严重的，系数9。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做好与本市机动车停车管理法规、规章，以及与消防部门职责分工的衔接。</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5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占用、堵塞、封闭共用部位空间较大、损坏共用设施设备较为严重的，系数1。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14329" w:type="dxa"/>
            <w:gridSpan w:val="19"/>
            <w:tcBorders>
              <w:left w:val="single" w:color="000000" w:sz="4" w:space="0"/>
              <w:bottom w:val="single" w:color="000000" w:sz="4" w:space="0"/>
              <w:right w:val="single" w:color="000000" w:sz="4" w:space="0"/>
            </w:tcBorders>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55" w:name="_Toc110851454"/>
            <w:bookmarkStart w:id="56" w:name="_Toc1648797625"/>
            <w:bookmarkStart w:id="57" w:name="_Toc54194176"/>
            <w:r>
              <w:rPr>
                <w:rFonts w:hint="eastAsia"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lang w:val="zh-CN"/>
                <w14:textFill>
                  <w14:solidFill>
                    <w14:schemeClr w14:val="tx1"/>
                  </w14:solidFill>
                </w14:textFill>
              </w:rPr>
              <w:t>北京市国际交往语言环境建设条例</w:t>
            </w:r>
            <w:r>
              <w:rPr>
                <w:rFonts w:hint="eastAsia" w:asciiTheme="minorEastAsia" w:hAnsiTheme="minorEastAsia" w:eastAsiaTheme="minorEastAsia"/>
                <w:color w:val="000000" w:themeColor="text1"/>
                <w:sz w:val="15"/>
                <w:szCs w:val="15"/>
                <w14:textFill>
                  <w14:solidFill>
                    <w14:schemeClr w14:val="tx1"/>
                  </w14:solidFill>
                </w14:textFill>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940" w:type="dxa"/>
            <w:gridSpan w:val="3"/>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公共场所标识单独使用外语拒不改正</w:t>
            </w:r>
          </w:p>
        </w:tc>
        <w:tc>
          <w:tcPr>
            <w:tcW w:w="2789" w:type="dxa"/>
            <w:gridSpan w:val="3"/>
            <w:tcBorders>
              <w:left w:val="single" w:color="000000" w:sz="4" w:space="0"/>
              <w:bottom w:val="single" w:color="000000" w:sz="4" w:space="0"/>
              <w:right w:val="single" w:color="000000" w:sz="4" w:space="0"/>
            </w:tcBorders>
            <w:shd w:val="clear" w:color="auto" w:fill="auto"/>
            <w:vAlign w:val="center"/>
          </w:tcPr>
          <w:p>
            <w:pPr>
              <w:spacing w:line="21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违反条款：第十六条第一款；处罚条款：第三十条  由城市管理综合执法机构责令改正；拒不改正的，给予警告，并可处五千元以上一万元以下罚款。</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5000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属于</w:t>
            </w: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第十七条第一款应当设置、使用外语标识的公共场所的，变量系数为1。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5</w:t>
            </w:r>
            <w:r>
              <w:rPr>
                <w:rFonts w:hint="eastAsia" w:cs="仿宋_GB2312"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拒不改正的情形，不记入本项“情节系数”。</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940" w:type="dxa"/>
            <w:gridSpan w:val="3"/>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应当设置、使用公共场所外语标识而未设置、使用拒不改正</w:t>
            </w:r>
          </w:p>
        </w:tc>
        <w:tc>
          <w:tcPr>
            <w:tcW w:w="2789" w:type="dxa"/>
            <w:gridSpan w:val="3"/>
            <w:tcBorders>
              <w:left w:val="single" w:color="000000" w:sz="4" w:space="0"/>
              <w:bottom w:val="single" w:color="000000" w:sz="4" w:space="0"/>
              <w:right w:val="single" w:color="000000" w:sz="4" w:space="0"/>
            </w:tcBorders>
            <w:shd w:val="clear" w:color="auto" w:fill="auto"/>
            <w:vAlign w:val="center"/>
          </w:tcPr>
          <w:p>
            <w:pPr>
              <w:spacing w:line="21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违反条款：第十七条第一款；处罚条款：第三十一条　由城市管理综合执法机构责令改正；拒不改正的，给予警告，并可处二千元以上五千元以下罚款。</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罚款数额＝2000×（1＋区域系数+情节系数）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拒不改正的情形，不记入本项“情节系数”。</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pPr>
              <w:spacing w:line="232" w:lineRule="exact"/>
              <w:jc w:val="center"/>
              <w:rPr>
                <w:rFonts w:asciiTheme="minorEastAsia" w:hAnsiTheme="minorEastAsia" w:eastAsiaTheme="minorEastAsia"/>
                <w:sz w:val="15"/>
                <w:szCs w:val="15"/>
                <w:lang w:val="en"/>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p>
            <w:pPr>
              <w:spacing w:line="232" w:lineRule="exact"/>
              <w:ind w:firstLine="333"/>
              <w:jc w:val="center"/>
              <w:rPr>
                <w:rFonts w:asciiTheme="minorEastAsia" w:hAnsiTheme="minorEastAsia" w:eastAsiaTheme="minorEastAsia"/>
                <w:sz w:val="15"/>
                <w:szCs w:val="15"/>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940" w:type="dxa"/>
            <w:gridSpan w:val="3"/>
            <w:vMerge w:val="restart"/>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vMerge w:val="restart"/>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公共场所外语标识含有禁止性内容</w:t>
            </w:r>
          </w:p>
        </w:tc>
        <w:tc>
          <w:tcPr>
            <w:tcW w:w="2789" w:type="dxa"/>
            <w:gridSpan w:val="3"/>
            <w:vMerge w:val="restart"/>
            <w:tcBorders>
              <w:left w:val="single" w:color="000000" w:sz="4" w:space="0"/>
              <w:bottom w:val="single" w:color="000000" w:sz="4" w:space="0"/>
              <w:right w:val="single" w:color="000000" w:sz="4" w:space="0"/>
            </w:tcBorders>
            <w:shd w:val="clear" w:color="auto" w:fill="auto"/>
            <w:vAlign w:val="center"/>
          </w:tcPr>
          <w:p>
            <w:pPr>
              <w:spacing w:line="212" w:lineRule="exact"/>
              <w:textAlignment w:val="center"/>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cs="仿宋_GB2312" w:asciiTheme="minorEastAsia" w:hAnsiTheme="minorEastAsia" w:eastAsiaTheme="minorEastAsia"/>
                <w:color w:val="000000" w:themeColor="text1"/>
                <w:spacing w:val="-4"/>
                <w:kern w:val="0"/>
                <w:sz w:val="15"/>
                <w:szCs w:val="15"/>
                <w:lang w:bidi="ar"/>
                <w14:textFill>
                  <w14:solidFill>
                    <w14:schemeClr w14:val="tx1"/>
                  </w14:solidFill>
                </w14:textFill>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5000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同时存在两项及以上禁止性内容的，变量系数为1。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940" w:type="dxa"/>
            <w:gridSpan w:val="3"/>
            <w:vMerge w:val="continue"/>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32" w:lineRule="exact"/>
              <w:jc w:val="lef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000000" w:sz="4" w:space="0"/>
              <w:bottom w:val="single" w:color="000000" w:sz="4" w:space="0"/>
              <w:right w:val="single" w:color="000000" w:sz="4" w:space="0"/>
            </w:tcBorders>
            <w:shd w:val="clear" w:color="auto" w:fill="auto"/>
            <w:vAlign w:val="center"/>
          </w:tcPr>
          <w:p>
            <w:pPr>
              <w:spacing w:line="220" w:lineRule="exact"/>
              <w:jc w:val="lef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10000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同时存在两项禁止性内容的，变量系数为1；同时存在三项以上禁止性内容的，变量系数为2。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拒不改正或两次及以上违法的，或者被市级以上媒体曝光，或者造成其它恶劣影响的，视为“情节严重、造成恶劣影响”。</w:t>
            </w:r>
          </w:p>
          <w:p>
            <w:pPr>
              <w:pStyle w:val="21"/>
              <w:tabs>
                <w:tab w:val="left" w:pos="0"/>
                <w:tab w:val="left" w:pos="420"/>
              </w:tabs>
              <w:spacing w:after="0" w:line="210" w:lineRule="exact"/>
              <w:ind w:left="0" w:leftChars="0" w:firstLine="0" w:firstLineChars="0"/>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拒不改正或两次及以上违法的，不重复记入本项“情节系数”。</w:t>
            </w:r>
          </w:p>
        </w:tc>
        <w:tc>
          <w:tcPr>
            <w:tcW w:w="1208" w:type="dxa"/>
            <w:gridSpan w:val="2"/>
            <w:vMerge w:val="continue"/>
            <w:tcBorders>
              <w:left w:val="single" w:color="000000" w:sz="4" w:space="0"/>
              <w:bottom w:val="single" w:color="000000" w:sz="4" w:space="0"/>
              <w:right w:val="single" w:color="000000" w:sz="4" w:space="0"/>
            </w:tcBorders>
            <w:shd w:val="clear" w:color="auto" w:fill="auto"/>
            <w:vAlign w:val="center"/>
          </w:tcPr>
          <w:p>
            <w:pPr>
              <w:pStyle w:val="21"/>
              <w:tabs>
                <w:tab w:val="left" w:pos="0"/>
                <w:tab w:val="left" w:pos="420"/>
              </w:tabs>
              <w:spacing w:line="232" w:lineRule="exact"/>
              <w:ind w:left="0" w:leftChars="0" w:firstLine="0" w:firstLineChars="0"/>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Height w:val="2065" w:hRule="atLeast"/>
        </w:trPr>
        <w:tc>
          <w:tcPr>
            <w:tcW w:w="940" w:type="dxa"/>
            <w:gridSpan w:val="3"/>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公共场所外语标识译写错误或者明显不当拒不改正</w:t>
            </w:r>
          </w:p>
        </w:tc>
        <w:tc>
          <w:tcPr>
            <w:tcW w:w="2789" w:type="dxa"/>
            <w:gridSpan w:val="3"/>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违反条款：第十九条第一款；处罚条款：第三十三条　由城市管理综合执法机构责令改正；拒不改正的，给予警告，并可处二千元以上五千元以下罚款。</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属于第十七条第一款应当设置、使用外语标识的公共场所的，变量系数为1；</w:t>
            </w:r>
          </w:p>
          <w:p>
            <w:pPr>
              <w:pStyle w:val="21"/>
              <w:spacing w:after="0" w:line="232" w:lineRule="exact"/>
              <w:ind w:left="0" w:leftChars="0" w:firstLine="0" w:firstLineChars="0"/>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被媒体曝光的，变量系数为1;</w:t>
            </w:r>
          </w:p>
          <w:p>
            <w:pPr>
              <w:pStyle w:val="21"/>
              <w:spacing w:after="0" w:line="232" w:lineRule="exact"/>
              <w:ind w:left="0" w:leftChars="0" w:firstLine="0" w:firstLineChars="0"/>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造成恶劣影响的，变量系数为2。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2</w:t>
            </w:r>
            <w:r>
              <w:rPr>
                <w:rFonts w:hint="eastAsia" w:cs="仿宋_GB2312"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拒不改正的情形，不记入本项“情节系数”</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Height w:val="617" w:hRule="atLeast"/>
        </w:trPr>
        <w:tc>
          <w:tcPr>
            <w:tcW w:w="14329" w:type="dxa"/>
            <w:gridSpan w:val="19"/>
            <w:tcBorders>
              <w:left w:val="single" w:color="000000" w:sz="4" w:space="0"/>
              <w:bottom w:val="single" w:color="000000" w:sz="4" w:space="0"/>
              <w:right w:val="single" w:color="000000" w:sz="4" w:space="0"/>
            </w:tcBorders>
            <w:shd w:val="clear" w:color="auto" w:fill="auto"/>
            <w:vAlign w:val="center"/>
          </w:tcPr>
          <w:p>
            <w:pPr>
              <w:pStyle w:val="2"/>
              <w:rPr>
                <w:rFonts w:ascii="黑体" w:hAnsi="黑体" w:eastAsia="黑体" w:cs="仿宋_GB2312"/>
                <w:color w:val="000000" w:themeColor="text1"/>
                <w:lang w:val="en"/>
                <w14:textFill>
                  <w14:solidFill>
                    <w14:schemeClr w14:val="tx1"/>
                  </w14:solidFill>
                </w14:textFill>
              </w:rPr>
            </w:pPr>
            <w:bookmarkStart w:id="58" w:name="_Toc435705406"/>
            <w:bookmarkStart w:id="59" w:name="_Toc1501393034"/>
            <w:r>
              <w:rPr>
                <w:rFonts w:hint="eastAsia" w:ascii="黑体" w:hAnsi="黑体" w:eastAsia="黑体" w:cs="黑体"/>
                <w:b w:val="0"/>
                <w:bCs w:val="0"/>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Height w:val="522" w:hRule="atLeast"/>
        </w:trPr>
        <w:tc>
          <w:tcPr>
            <w:tcW w:w="14329" w:type="dxa"/>
            <w:gridSpan w:val="19"/>
            <w:tcBorders>
              <w:left w:val="single" w:color="000000" w:sz="4" w:space="0"/>
              <w:bottom w:val="single" w:color="000000" w:sz="4" w:space="0"/>
              <w:right w:val="single" w:color="000000" w:sz="4" w:space="0"/>
            </w:tcBorders>
            <w:shd w:val="clear" w:color="auto" w:fill="auto"/>
            <w:vAlign w:val="center"/>
          </w:tcPr>
          <w:p>
            <w:pPr>
              <w:pStyle w:val="3"/>
              <w:jc w:val="center"/>
              <w:rPr>
                <w:rFonts w:cs="方正小标宋简体" w:asciiTheme="minorEastAsia" w:hAnsiTheme="minorEastAsia" w:eastAsiaTheme="minorEastAsia"/>
                <w:color w:val="000000" w:themeColor="text1"/>
                <w:szCs w:val="15"/>
                <w14:textFill>
                  <w14:solidFill>
                    <w14:schemeClr w14:val="tx1"/>
                  </w14:solidFill>
                </w14:textFill>
              </w:rPr>
            </w:pPr>
            <w:bookmarkStart w:id="60" w:name="_Toc1018838380"/>
            <w:bookmarkStart w:id="61" w:name="_Toc988225114"/>
            <w:r>
              <w:rPr>
                <w:rFonts w:hint="eastAsia"/>
                <w:sz w:val="15"/>
                <w:szCs w:val="15"/>
              </w:rPr>
              <w:t>《中华人民共和国无障碍环境建设法》案由2项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57" w:hRule="atLeast"/>
        </w:trPr>
        <w:tc>
          <w:tcPr>
            <w:tcW w:w="940" w:type="dxa"/>
            <w:gridSpan w:val="3"/>
            <w:vMerge w:val="restart"/>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城市道路范围内</w:t>
            </w:r>
            <w:r>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无障碍设施</w:t>
            </w:r>
            <w:r>
              <w:rPr>
                <w:rFonts w:hint="eastAsia" w:cs="仿宋_GB2312" w:asciiTheme="minorEastAsia" w:hAnsiTheme="minorEastAsia" w:eastAsiaTheme="minorEastAsia"/>
                <w:color w:val="000000" w:themeColor="text1"/>
                <w:kern w:val="0"/>
                <w:sz w:val="15"/>
                <w:szCs w:val="15"/>
                <w:lang w:val="zh-CN"/>
                <w14:textFill>
                  <w14:solidFill>
                    <w14:schemeClr w14:val="tx1"/>
                  </w14:solidFill>
                </w14:textFill>
              </w:rPr>
              <w:t>责任人不履行维护管理责任</w:t>
            </w:r>
          </w:p>
        </w:tc>
        <w:tc>
          <w:tcPr>
            <w:tcW w:w="2789" w:type="dxa"/>
            <w:gridSpan w:val="3"/>
            <w:vMerge w:val="restart"/>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违反条款：第二十六条第一款</w:t>
            </w:r>
            <w:r>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t>第（一）项、第（二）项、第（三）项、第（四）项（需根据实际发生的违法行为选择）；</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；处罚条款：第六十五条第（一）项，责令限期改正；逾期未改正的，对单位处一万元以上三万元以下罚款，对个人处一百元以上五百元以下罚款。</w:t>
            </w:r>
          </w:p>
        </w:tc>
        <w:tc>
          <w:tcPr>
            <w:tcW w:w="851"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10000（对单位）</w:t>
            </w:r>
          </w:p>
        </w:tc>
        <w:tc>
          <w:tcPr>
            <w:tcW w:w="567" w:type="dxa"/>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同时违反第二十六第一款规定中两项的，变量系数为1；同时违反三项及三项以上的，变量系数为2。</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2" w:hRule="atLeast"/>
        </w:trPr>
        <w:tc>
          <w:tcPr>
            <w:tcW w:w="940" w:type="dxa"/>
            <w:gridSpan w:val="3"/>
            <w:vMerge w:val="continue"/>
            <w:shd w:val="clear" w:color="auto" w:fill="auto"/>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tcPr>
          <w:p>
            <w:pPr>
              <w:spacing w:line="232" w:lineRule="exact"/>
              <w:rPr>
                <w:rFonts w:cs="仿宋_GB2312" w:asciiTheme="minorEastAsia" w:hAnsiTheme="minorEastAsia" w:eastAsiaTheme="minorEastAsia"/>
                <w:color w:val="000000" w:themeColor="text1"/>
                <w:kern w:val="0"/>
                <w:sz w:val="15"/>
                <w:szCs w:val="15"/>
                <w:lang w:val="en"/>
                <w14:textFill>
                  <w14:solidFill>
                    <w14:schemeClr w14:val="tx1"/>
                  </w14:solidFill>
                </w14:textFill>
              </w:rPr>
            </w:pPr>
          </w:p>
        </w:tc>
        <w:tc>
          <w:tcPr>
            <w:tcW w:w="2789" w:type="dxa"/>
            <w:gridSpan w:val="3"/>
            <w:vMerge w:val="continue"/>
            <w:shd w:val="clear" w:color="auto" w:fill="auto"/>
          </w:tcPr>
          <w:p>
            <w:pPr>
              <w:spacing w:line="232" w:lineRule="exact"/>
              <w:rPr>
                <w:rFonts w:cs="仿宋_GB2312" w:asciiTheme="minorEastAsia" w:hAnsiTheme="minorEastAsia" w:eastAsiaTheme="minorEastAsia"/>
                <w:color w:val="000000" w:themeColor="text1"/>
                <w:kern w:val="0"/>
                <w:sz w:val="15"/>
                <w:szCs w:val="15"/>
                <w:lang w:val="en"/>
                <w14:textFill>
                  <w14:solidFill>
                    <w14:schemeClr w14:val="tx1"/>
                  </w14:solidFill>
                </w14:textFill>
              </w:rPr>
            </w:pPr>
          </w:p>
        </w:tc>
        <w:tc>
          <w:tcPr>
            <w:tcW w:w="851"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100（对个人）</w:t>
            </w:r>
          </w:p>
        </w:tc>
        <w:tc>
          <w:tcPr>
            <w:tcW w:w="567" w:type="dxa"/>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同时违反第二十六第一款规定中两项的，变量系数为2；同时违反三项及三项以上的，变量系数为4。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罚款数额=100×（1+区域系数+情节系数+变量系数）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02" w:hRule="atLeast"/>
        </w:trPr>
        <w:tc>
          <w:tcPr>
            <w:tcW w:w="940" w:type="dxa"/>
            <w:gridSpan w:val="3"/>
            <w:vMerge w:val="restart"/>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vMerge w:val="restart"/>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t>非法占用、损坏城市道路范围内无障碍设施</w:t>
            </w:r>
          </w:p>
        </w:tc>
        <w:tc>
          <w:tcPr>
            <w:tcW w:w="2789" w:type="dxa"/>
            <w:gridSpan w:val="3"/>
            <w:vMerge w:val="restart"/>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违反条款：第二十八条第一款；处罚条款：第六十五条第（三）项，责令限期改正；逾期未改正的，对单位处一万元以上三万元以下罚款，对个人处一百元以上五百元以下罚款。</w:t>
            </w:r>
          </w:p>
        </w:tc>
        <w:tc>
          <w:tcPr>
            <w:tcW w:w="851"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10000（对单位）</w:t>
            </w:r>
          </w:p>
        </w:tc>
        <w:tc>
          <w:tcPr>
            <w:tcW w:w="567" w:type="dxa"/>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1.对通行秩序、市容秩序造成较大影响的，系数1；2.造成行人伤亡或其它事故的，系数2。</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02" w:hRule="atLeast"/>
        </w:trPr>
        <w:tc>
          <w:tcPr>
            <w:tcW w:w="940" w:type="dxa"/>
            <w:gridSpan w:val="3"/>
            <w:vMerge w:val="continue"/>
            <w:shd w:val="clear" w:color="auto" w:fill="auto"/>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tcPr>
          <w:p>
            <w:pPr>
              <w:spacing w:line="232" w:lineRule="exact"/>
              <w:rPr>
                <w:rFonts w:cs="仿宋_GB2312" w:asciiTheme="minorEastAsia" w:hAnsiTheme="minorEastAsia" w:eastAsiaTheme="minorEastAsia"/>
                <w:color w:val="000000" w:themeColor="text1"/>
                <w:kern w:val="0"/>
                <w:sz w:val="15"/>
                <w:szCs w:val="15"/>
                <w:lang w:val="en"/>
                <w14:textFill>
                  <w14:solidFill>
                    <w14:schemeClr w14:val="tx1"/>
                  </w14:solidFill>
                </w14:textFill>
              </w:rPr>
            </w:pPr>
          </w:p>
        </w:tc>
        <w:tc>
          <w:tcPr>
            <w:tcW w:w="2789" w:type="dxa"/>
            <w:gridSpan w:val="3"/>
            <w:vMerge w:val="continue"/>
            <w:shd w:val="clear" w:color="auto" w:fill="auto"/>
          </w:tcPr>
          <w:p>
            <w:pPr>
              <w:spacing w:line="232" w:lineRule="exact"/>
              <w:rPr>
                <w:rFonts w:cs="仿宋_GB2312" w:asciiTheme="minorEastAsia" w:hAnsiTheme="minorEastAsia" w:eastAsiaTheme="minorEastAsia"/>
                <w:color w:val="000000" w:themeColor="text1"/>
                <w:kern w:val="0"/>
                <w:sz w:val="15"/>
                <w:szCs w:val="15"/>
                <w:lang w:val="en"/>
                <w14:textFill>
                  <w14:solidFill>
                    <w14:schemeClr w14:val="tx1"/>
                  </w14:solidFill>
                </w14:textFill>
              </w:rPr>
            </w:pPr>
          </w:p>
        </w:tc>
        <w:tc>
          <w:tcPr>
            <w:tcW w:w="851"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100（对个人）</w:t>
            </w:r>
          </w:p>
        </w:tc>
        <w:tc>
          <w:tcPr>
            <w:tcW w:w="567" w:type="dxa"/>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1.对通行秩序、市容秩序造成较大影响的，系数2；2.造成行人伤亡或其它事故的，系数4。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罚款数额=100×（1+区域系数+情节系数+变量系数）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717" w:hRule="atLeast"/>
        </w:trPr>
        <w:tc>
          <w:tcPr>
            <w:tcW w:w="14329" w:type="dxa"/>
            <w:gridSpan w:val="19"/>
            <w:shd w:val="clear" w:color="auto" w:fill="auto"/>
            <w:vAlign w:val="center"/>
          </w:tcPr>
          <w:p>
            <w:pPr>
              <w:pStyle w:val="3"/>
              <w:jc w:val="center"/>
              <w:rPr>
                <w:rFonts w:cs="仿宋_GB2312" w:asciiTheme="minorEastAsia" w:hAnsiTheme="minorEastAsia" w:eastAsiaTheme="minorEastAsia"/>
                <w:color w:val="000000" w:themeColor="text1"/>
                <w:szCs w:val="15"/>
                <w14:textFill>
                  <w14:solidFill>
                    <w14:schemeClr w14:val="tx1"/>
                  </w14:solidFill>
                </w14:textFill>
              </w:rPr>
            </w:pPr>
            <w:bookmarkStart w:id="62" w:name="_Toc1931437739"/>
            <w:r>
              <w:rPr>
                <w:rFonts w:hint="eastAsia"/>
                <w:sz w:val="15"/>
                <w:szCs w:val="15"/>
              </w:rPr>
              <w:t>《北京市无障碍环境建设条例》案由6项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02" w:hRule="atLeast"/>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城市道路范围内</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无障碍设施</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管理责任人未履行维护管理责任</w:t>
            </w:r>
          </w:p>
        </w:tc>
        <w:tc>
          <w:tcPr>
            <w:tcW w:w="2789" w:type="dxa"/>
            <w:gridSpan w:val="3"/>
            <w:shd w:val="clear" w:color="auto" w:fill="auto"/>
            <w:vAlign w:val="center"/>
          </w:tcPr>
          <w:p>
            <w:pPr>
              <w:spacing w:line="232"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处罚条款：第三十七条，责令限期改正；逾期不改正的，处三千元以上三万元以下罚款。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同时违反第十四条第一款规定中两项的，变量系数为4；同时违反三项及三项以上的，变量系数为9。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罚款数额=3000×（1+区域系数+情节系数+变量系数）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5" w:hRule="atLeast"/>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50" w:lineRule="exact"/>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城市道路范围内</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无障碍设施</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管理责任人未在限定的时间内完成整改</w:t>
            </w:r>
          </w:p>
        </w:tc>
        <w:tc>
          <w:tcPr>
            <w:tcW w:w="2789" w:type="dxa"/>
            <w:gridSpan w:val="3"/>
            <w:shd w:val="clear" w:color="auto" w:fill="auto"/>
            <w:vAlign w:val="center"/>
          </w:tcPr>
          <w:p>
            <w:pPr>
              <w:spacing w:line="250" w:lineRule="exact"/>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违反条款：第十五条第一款、第二款</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（需根据实际发生的违法行为选择）</w:t>
            </w:r>
            <w:r>
              <w:rPr>
                <w:rFonts w:hint="eastAsia" w:cs="仿宋_GB2312" w:asciiTheme="minorEastAsia" w:hAnsiTheme="minorEastAsia" w:eastAsiaTheme="minorEastAsia"/>
                <w:color w:val="000000" w:themeColor="text1"/>
                <w:sz w:val="15"/>
                <w:szCs w:val="15"/>
                <w14:textFill>
                  <w14:solidFill>
                    <w14:schemeClr w14:val="tx1"/>
                  </w14:solidFill>
                </w14:textFill>
              </w:rPr>
              <w:t>；</w:t>
            </w:r>
          </w:p>
          <w:p>
            <w:pPr>
              <w:spacing w:line="250" w:lineRule="exact"/>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处罚条款：第三十八条，责令限期改正；逾期不改正的，处应当建设或者改造的无障碍设施工程造价一倍以上二倍以下罚款。</w:t>
            </w:r>
          </w:p>
        </w:tc>
        <w:tc>
          <w:tcPr>
            <w:tcW w:w="851"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无障碍设施工程造价款</w:t>
            </w:r>
          </w:p>
        </w:tc>
        <w:tc>
          <w:tcPr>
            <w:tcW w:w="567" w:type="dxa"/>
            <w:shd w:val="clear" w:color="auto" w:fill="auto"/>
            <w:vAlign w:val="center"/>
          </w:tcPr>
          <w:p>
            <w:pPr>
              <w:spacing w:line="25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造成行人伤亡或其它事故的，系数1。</w:t>
            </w:r>
          </w:p>
        </w:tc>
        <w:tc>
          <w:tcPr>
            <w:tcW w:w="17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罚款数额=无障碍设施工程造价款×（1+情节系数+变量系数）</w:t>
            </w:r>
          </w:p>
        </w:tc>
        <w:tc>
          <w:tcPr>
            <w:tcW w:w="23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公共停车场</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擅自改变无障碍停车位用途</w:t>
            </w:r>
          </w:p>
        </w:tc>
        <w:tc>
          <w:tcPr>
            <w:tcW w:w="2789" w:type="dxa"/>
            <w:gridSpan w:val="3"/>
            <w:shd w:val="clear" w:color="auto" w:fill="auto"/>
            <w:vAlign w:val="center"/>
          </w:tcPr>
          <w:p>
            <w:pPr>
              <w:spacing w:line="250" w:lineRule="exact"/>
              <w:rPr>
                <w:rFonts w:cs="仿宋_GB2312" w:asciiTheme="minorEastAsia" w:hAnsiTheme="minorEastAsia" w:eastAsiaTheme="minorEastAsia"/>
                <w:color w:val="000000" w:themeColor="text1"/>
                <w:sz w:val="15"/>
                <w:szCs w:val="15"/>
                <w:lang w:val="zh-CN"/>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第十七条第一款；</w:t>
            </w:r>
          </w:p>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第三十九条第一款，责令限期改正；逾期不改正的，按照擅自改变用途的无障碍停车位数量，每个泊位处一万元罚款。</w:t>
            </w:r>
          </w:p>
        </w:tc>
        <w:tc>
          <w:tcPr>
            <w:tcW w:w="851"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5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罚款数额=10000×改变用途</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停车</w:t>
            </w:r>
            <w:r>
              <w:rPr>
                <w:rFonts w:hint="eastAsia" w:cs="仿宋_GB2312" w:asciiTheme="minorEastAsia" w:hAnsiTheme="minorEastAsia" w:eastAsiaTheme="minorEastAsia"/>
                <w:color w:val="000000" w:themeColor="text1"/>
                <w:sz w:val="15"/>
                <w:szCs w:val="15"/>
                <w14:textFill>
                  <w14:solidFill>
                    <w14:schemeClr w14:val="tx1"/>
                  </w14:solidFill>
                </w14:textFill>
              </w:rPr>
              <w:t>泊位数</w:t>
            </w:r>
          </w:p>
        </w:tc>
        <w:tc>
          <w:tcPr>
            <w:tcW w:w="23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损毁、侵占或者擅自停止使用道路内无障碍设施</w:t>
            </w:r>
          </w:p>
        </w:tc>
        <w:tc>
          <w:tcPr>
            <w:tcW w:w="2789" w:type="dxa"/>
            <w:gridSpan w:val="3"/>
            <w:shd w:val="clear" w:color="auto" w:fill="auto"/>
            <w:vAlign w:val="center"/>
          </w:tcPr>
          <w:p>
            <w:pPr>
              <w:spacing w:line="250" w:lineRule="exact"/>
              <w:rPr>
                <w:rFonts w:cs="仿宋_GB2312" w:asciiTheme="minorEastAsia" w:hAnsiTheme="minorEastAsia" w:eastAsiaTheme="minorEastAsia"/>
                <w:color w:val="000000" w:themeColor="text1"/>
                <w:sz w:val="15"/>
                <w:szCs w:val="15"/>
                <w:lang w:val="zh-CN"/>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第十九条第一款；</w:t>
            </w:r>
          </w:p>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第四十条第一款，责令限期改正；逾期不改正的，处三千元以上三万元以下罚款。</w:t>
            </w:r>
          </w:p>
        </w:tc>
        <w:tc>
          <w:tcPr>
            <w:tcW w:w="851"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pPr>
              <w:spacing w:line="25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1.对通行秩序、市容秩序造成较大影响的，系数4；2.造成行人伤亡或其它事故的，系数9。</w:t>
            </w:r>
          </w:p>
        </w:tc>
        <w:tc>
          <w:tcPr>
            <w:tcW w:w="17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罚款数额＝3000×（1＋区域系数+情节系数＋变量系数）</w:t>
            </w:r>
          </w:p>
        </w:tc>
        <w:tc>
          <w:tcPr>
            <w:tcW w:w="23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经批准临时占用道路内无障碍设施的，</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未设置护栏、警示标志或者语音提示，或者未采取必要的替代措施</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（需根据实际发生的违法行为选择）</w:t>
            </w:r>
          </w:p>
        </w:tc>
        <w:tc>
          <w:tcPr>
            <w:tcW w:w="2789" w:type="dxa"/>
            <w:gridSpan w:val="3"/>
            <w:shd w:val="clear" w:color="auto" w:fill="auto"/>
            <w:vAlign w:val="center"/>
          </w:tcPr>
          <w:p>
            <w:pPr>
              <w:spacing w:line="220"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违反条款：第十九条第二款；</w:t>
            </w:r>
          </w:p>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处罚条款：第四十条第二款，责令限期改正；逾期不改正的，处三千元以上三万元以下罚款。</w:t>
            </w:r>
          </w:p>
        </w:tc>
        <w:tc>
          <w:tcPr>
            <w:tcW w:w="851"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pPr>
              <w:spacing w:line="22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1.对通行秩序造成较大影响的，系数4；2.造成行人伤亡或其它事故的，系数9。</w:t>
            </w:r>
          </w:p>
        </w:tc>
        <w:tc>
          <w:tcPr>
            <w:tcW w:w="1785"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罚款数额＝3000×（1＋区域系数+情节系数＋变量系数）</w:t>
            </w:r>
          </w:p>
        </w:tc>
        <w:tc>
          <w:tcPr>
            <w:tcW w:w="2385" w:type="dxa"/>
            <w:gridSpan w:val="2"/>
            <w:shd w:val="clear" w:color="auto" w:fill="auto"/>
            <w:vAlign w:val="center"/>
          </w:tcPr>
          <w:p>
            <w:pPr>
              <w:spacing w:line="220"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经批准临时占用道路内无障碍设施占用期届满，未及时恢复无障碍设施功能</w:t>
            </w:r>
          </w:p>
        </w:tc>
        <w:tc>
          <w:tcPr>
            <w:tcW w:w="2789" w:type="dxa"/>
            <w:gridSpan w:val="3"/>
            <w:shd w:val="clear" w:color="auto" w:fill="auto"/>
            <w:vAlign w:val="center"/>
          </w:tcPr>
          <w:p>
            <w:pPr>
              <w:spacing w:line="220"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违反条款：第十九条第二款；</w:t>
            </w:r>
          </w:p>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处罚条款：第四十条第二款，责令限期改正；逾期不改正的，处恢复无障碍设施功能所需的工程造价一倍以上二倍以下罚款。</w:t>
            </w:r>
          </w:p>
        </w:tc>
        <w:tc>
          <w:tcPr>
            <w:tcW w:w="851" w:type="dxa"/>
            <w:gridSpan w:val="2"/>
            <w:shd w:val="clear" w:color="auto" w:fill="auto"/>
            <w:vAlign w:val="center"/>
          </w:tcPr>
          <w:p>
            <w:pPr>
              <w:spacing w:line="22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2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对通行秩序、市容秩序造成较大影响的，或者造成行人伤亡或其它事故的，系数1。</w:t>
            </w:r>
          </w:p>
        </w:tc>
        <w:tc>
          <w:tcPr>
            <w:tcW w:w="1785"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罚款数额＝恢复无障碍设施功能所需的工程造价×（1+情节系数+变量系数）</w:t>
            </w:r>
          </w:p>
        </w:tc>
        <w:tc>
          <w:tcPr>
            <w:tcW w:w="2385"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jc w:val="center"/>
            </w:pPr>
            <w:bookmarkStart w:id="63" w:name="_Toc1076292788"/>
            <w:bookmarkStart w:id="64" w:name="_Toc1038902727"/>
            <w:r>
              <w:rPr>
                <w:rFonts w:hint="eastAsia"/>
                <w:sz w:val="15"/>
                <w:szCs w:val="15"/>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城市道路上设置的检查井、箱盖或者城市道路附属设施发生缺损未及时补缺或者修复</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违反条款：《条例》第二十三条；</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处罚条款：《条例》第四十二条第（一）项 责令限期改正，可以处以2万元以下的罚款。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注意此案由与《北京市地下设施检查井井盖管理规定》等法规相关案由的区别适用。</w:t>
            </w:r>
          </w:p>
          <w:p>
            <w:pPr>
              <w:spacing w:line="22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需要</w:t>
            </w:r>
            <w:r>
              <w:rPr>
                <w:rFonts w:cs="宋体" w:asciiTheme="minorEastAsia" w:hAnsiTheme="minorEastAsia" w:eastAsiaTheme="minorEastAsia"/>
                <w:color w:val="000000" w:themeColor="text1"/>
                <w:sz w:val="15"/>
                <w:szCs w:val="15"/>
                <w14:textFill>
                  <w14:solidFill>
                    <w14:schemeClr w14:val="tx1"/>
                  </w14:solidFill>
                </w14:textFill>
              </w:rPr>
              <w:t>作出</w:t>
            </w:r>
            <w:r>
              <w:rPr>
                <w:rFonts w:hint="eastAsia" w:cs="宋体" w:asciiTheme="minorEastAsia" w:hAnsiTheme="minorEastAsia" w:eastAsiaTheme="minorEastAsia"/>
                <w:color w:val="000000" w:themeColor="text1"/>
                <w:sz w:val="15"/>
                <w:szCs w:val="15"/>
                <w14:textFill>
                  <w14:solidFill>
                    <w14:schemeClr w14:val="tx1"/>
                  </w14:solidFill>
                </w14:textFill>
              </w:rPr>
              <w:t>其它处罚额度决定的，说明理由，报案审会决定</w:t>
            </w:r>
            <w:r>
              <w:rPr>
                <w:rFonts w:cs="宋体"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擅自占用、挖掘城市道路</w:t>
            </w:r>
          </w:p>
        </w:tc>
        <w:tc>
          <w:tcPr>
            <w:tcW w:w="2789" w:type="dxa"/>
            <w:gridSpan w:val="3"/>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违反条款：《条例》第二十七条第（一）项；处罚条款：《条例》第四十二条 责令限期改正，可以处以2万元以下的罚款。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1.对通行秩序、市容秩序造成较大影响的，系数4；2.损毁地下管线或市政设施的，系数9；3.造成行人伤亡或其它严重事故的，系数9。</w:t>
            </w:r>
          </w:p>
        </w:tc>
        <w:tc>
          <w:tcPr>
            <w:tcW w:w="17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城市道路养护、维修工程施工现场未设置明显标志和安全防围设施</w:t>
            </w:r>
          </w:p>
        </w:tc>
        <w:tc>
          <w:tcPr>
            <w:tcW w:w="2789" w:type="dxa"/>
            <w:gridSpan w:val="3"/>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违反条款：《条例》第二十四条；</w:t>
            </w:r>
          </w:p>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处罚条款：《条例》第四十二条第（二）项 责令限期改正，可以处以2万元以下的罚款。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7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挖掘城市道路施工现场未设置明显标志和安全防围设施</w:t>
            </w:r>
          </w:p>
        </w:tc>
        <w:tc>
          <w:tcPr>
            <w:tcW w:w="2789" w:type="dxa"/>
            <w:gridSpan w:val="3"/>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违反条款：《条例》第三十五条；</w:t>
            </w:r>
          </w:p>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处罚条款：《条例》第四十二条第（二）项 责令限期改正，可以处以2万元以下的罚款。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7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占用城市道路期满未及时清理现场</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违反条款：《条例》第三十一条第二款；</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处罚条款：《条例》第四十二条第（三）项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1.违法行为持续2天以上的，含2天，系数1；2. 对通行秩序、市容秩序造成较大影响的，系数4；3.造成行人伤亡或其它严重事故的，系数9。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挖掘城市道路竣工未及时清理现场</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违反条款：《条例》第三十五条；</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处罚条款：《条例》第四十二条第（三）项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1.违法行为持续2天以上的，含2天，系数1；2. 对通行秩序、市容秩序造成较大影响的，系数4；3.造成行人伤亡或其它严重事故的，系数9。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紧急抢修埋设在城市道路下的管线，未按照规定补办批准手续</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违反条款：《条例》第三十四条；</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处罚条款：《条例》第四十二条第（五）项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应在24小时内申请补办，逾期未申请补办的，每延后1天，系数1。</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未按照批准的要求占用或者挖掘城市道路</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违反条款：《条例》第三十六条；</w:t>
            </w:r>
          </w:p>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处罚条款：《条例》第四十二条第（六）项 责令限期改正，可以处以2万元以下的罚款。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1.对通行秩序、市容秩序造成较大影响的，系数4；2.损毁地下管线或市政设施的，系数9；3.造成行人伤亡或其它严重事故的，系数9。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履带车、铁轮车或者超重、超高、超长车辆未按规定在城市道路上行驶</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违反条款：《条例》第二十七条第（二）项；处罚条款：《条例》第四十二条：责令限期改正，可以处以2万元以下的罚款。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1.对城市道路造成较大损害的，或者对通行秩序、市容秩序造成较大影响的，系数4；2.造成行人伤亡或其它严重事故的，系数9。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机动车在桥梁或者非指定的城市道路上试刹车</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违反条款：《条例》第二十七条第（三）项。处罚条款：《条例》第四十二条：责令限期改正，可以处以2万元以下的罚款。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1.对城市道路造成较大损害的，或者对通行秩序、市容秩序造成较大影响的，系数4；2.造成行人伤亡或其它严重事故的，系数9。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擅自在城市道路上建设建筑物、搭建构筑物</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违反条款：《条例》第二十七条第（四）项；处罚条款：《条例》第四十二条：责令限期改正，可以处以2万元以下的罚款。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可按照“违法建设”案由进行查处。</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在桥梁上架设压力在4公斤/平方厘米（0.4兆帕）以上的煤气管道、10千伏以上的高压电线和其它易燃易爆管线</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违反条款：《条例》第二十七条第（五）项；处罚条款：《条例》第四十二条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1.造成人员伤亡或者其它严重事故的，系数3；</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2.对桥梁造成损害影响使用的，系数3。</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注意与《城市道路管理条例》“擅自依附城市道路、桥梁设置各种管线、杆线等设施”案由的区别。</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擅自在桥梁或者路灯设施上设置广告牌或者其它挂浮物</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违反条款：《条例》第二十七条第（六）项；处罚条款：《条例》第四十二条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2.造成行人伤亡或其它严重事故的，系数9；</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3.对桥梁、路灯设施造成损坏影响使用的，系数9。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擅自设置户外广告、标语宣传品行为，可依据《北京市市容环境卫生条例》《北京市户外广告设施、牌匾标识和标语宣传品设置管理条例》相关规定进行查处，对擅自在桥梁或者路灯设施上设置其它挂浮物行为，可据此案由进行查处。</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擅自依附城市道路、桥梁设置各种管线、杆线等设施</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违反条款：《条例》第二十九条；处罚条款：《条例》第四十二条第（四）项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1.影响交通通行，或者造成其它安全隐患的，系数4；</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2.造成行人伤亡或者其它严重事故的，系数9；</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3.对桥梁造成损害影响使用的，系数9。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擅自拆改、移动城市道路设施或者设置障碍物</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违反条款：《办法》第二十条第（一）项和《条例》第二十七条第（七）项；处罚条款：《办法》第三十一条和《条例》第四十二条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利用城市桥梁进行牵拉、吊装等施工作业</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违反条款：《办法》第二十条第（四）项和《条例》第二十七条第（七）项；处罚条款：《办法》第三十一条和《条例》第四十二条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1.对通行秩序、市容秩序造成较大影响的，系数4；2.造成行人伤亡或其它严重事故的，系数9；3.对桥梁造成损害影响使用的，系数9。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65" w:name="_Toc1973624040"/>
            <w:bookmarkStart w:id="66" w:name="_Toc2100296052"/>
            <w:bookmarkStart w:id="67" w:name="_Toc110851455"/>
            <w:r>
              <w:rPr>
                <w:rFonts w:hint="eastAsia" w:asciiTheme="minorEastAsia" w:hAnsiTheme="minorEastAsia" w:eastAsiaTheme="minorEastAsia"/>
                <w:color w:val="000000" w:themeColor="text1"/>
                <w:sz w:val="15"/>
                <w:szCs w:val="15"/>
                <w14:textFill>
                  <w14:solidFill>
                    <w14:schemeClr w14:val="tx1"/>
                  </w14:solidFill>
                </w14:textFill>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井盖管理单位未建立管理制度</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违反条款：第九条第一款；处罚条款：第十一条第一款，责令限期改正，并可处200元以上2000元以下罚款。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w:t>
            </w: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需要给予1000元以下处罚的，报案审会决定。</w:t>
            </w:r>
          </w:p>
        </w:tc>
        <w:tc>
          <w:tcPr>
            <w:tcW w:w="1208"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未及时补装、维修或更换井盖</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违反条款：第九条第二款；处罚条款：第十一条第一款,责令限期改正，并可处200元以上2000元以下罚款。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擅自移动井盖</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违反条款：第十条第一款；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处罚条款：第十一条第一款：责令限期改正，并可处200元以上2000元以下罚款。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1．擅自移动车站、机场、居民小区、医院、学校、体育场馆、影剧院、繁华商业街区、旅游景区等人口集中地区井盖的，系数4；2.致人伤亡或者损害车辆等严重事故的，系数9。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8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井盖作业未采取安全措施</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处罚条款：第十一条第一款 责令限期改正，并可处200元以上2000元以下罚款。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1.车站、机场、居民小区、医院、学校、体育场馆、影剧院、繁华商业街区、旅游景区等人口集中地区范围内的，系数4；2.致人伤亡或者损害车辆等严重事故的，系数9。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5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井盖作业完毕未及时清理现场、恢复原状</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处罚条款：第十一条第一款 责令限期改正，并可处200元以上2000元以下罚款。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1．车站、机场、居民小区、医院、学校、体育场馆、影剧院、繁华商业街区、旅游景区等人口集中地区范围内的，系数4；2.致人伤亡或者损害车辆等严重事故的，系数9。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65"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68" w:name="_Toc110851456"/>
            <w:bookmarkStart w:id="69" w:name="_Toc1693504403"/>
            <w:bookmarkStart w:id="70" w:name="_Toc980030273"/>
            <w:r>
              <w:rPr>
                <w:rFonts w:hint="eastAsia" w:ascii="黑体" w:hAnsi="黑体" w:eastAsia="黑体"/>
                <w:b w:val="0"/>
                <w:color w:val="000000" w:themeColor="text1"/>
                <w:sz w:val="24"/>
                <w:szCs w:val="24"/>
                <w14:textFill>
                  <w14:solidFill>
                    <w14:schemeClr w14:val="tx1"/>
                  </w14:solidFill>
                </w14:textFill>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1" w:name="_Toc1148468323"/>
            <w:bookmarkStart w:id="72" w:name="_Toc1349825120"/>
            <w:bookmarkStart w:id="73" w:name="_Toc110851457"/>
            <w:r>
              <w:rPr>
                <w:rFonts w:hint="eastAsia" w:asciiTheme="minorEastAsia" w:hAnsiTheme="minorEastAsia" w:eastAsiaTheme="minorEastAsia"/>
                <w:color w:val="000000" w:themeColor="text1"/>
                <w:sz w:val="15"/>
                <w:szCs w:val="15"/>
                <w14:textFill>
                  <w14:solidFill>
                    <w14:schemeClr w14:val="tx1"/>
                  </w14:solidFill>
                </w14:textFill>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未取得燃气经营许可从事经营活动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违反条款：第十五条第一款；处罚条款：第四十五条第一款 责令停止违法行为，处5万元以上50万元以下罚款。有违法所得的，没收违法所得。</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1.违规经营规模较大，或者经营场所在人口集中地区、人员密集场所，存在较大安全隐患的，系数5；2.持续时间超过半年，系数4；1年以上，系数9；3.发生燃气安全事故的，系数9。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97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不按照燃气经营许可的规定从事经营活动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违反条款、处罚条款：第四十五条第二款 责令限期改正，处3万元以上20万元以下罚款；有违法所得的，没收违法所得；情节严重的，吊销燃气经营许可证。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经营时间较长（超过半年），规模较大，或者经营场所在人口集中地区、人员密集场所，存在较大安全隐患的，系数4；2.未按燃气管理部门要求整改，或整改后再次发生类似违法行为的，系数6；3.发生燃气安全事故，系数6。</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tc>
        <w:tc>
          <w:tcPr>
            <w:tcW w:w="1208" w:type="dxa"/>
            <w:gridSpan w:val="2"/>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拒绝向市政燃气管网覆盖范围内符合用气条件的单位或者个人供气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违反条款：第十八条第（一）项；处罚条款：第四十六条第（一）项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拒绝向市政燃气管网覆盖范围内符合用气条件的单位或者个人供气</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，有以下情形之一的吊销燃气经营许可证：1.发生燃气安全事故，经事故调查部门认定对事故发生负有责任的。2.</w:t>
            </w:r>
            <w:r>
              <w:rPr>
                <w:rFonts w:asciiTheme="minorEastAsia" w:hAnsiTheme="minorEastAsia" w:eastAsiaTheme="minorEastAsia"/>
                <w:color w:val="000000" w:themeColor="text1"/>
                <w:sz w:val="15"/>
                <w:szCs w:val="15"/>
                <w14:textFill>
                  <w14:solidFill>
                    <w14:schemeClr w14:val="tx1"/>
                  </w14:solidFill>
                </w14:textFill>
              </w:rPr>
              <w:t>市政燃气管网覆盖范围内</w:t>
            </w:r>
            <w:r>
              <w:rPr>
                <w:rFonts w:hint="eastAsia" w:asciiTheme="minorEastAsia" w:hAnsiTheme="minorEastAsia" w:eastAsiaTheme="minorEastAsia"/>
                <w:color w:val="000000" w:themeColor="text1"/>
                <w:sz w:val="15"/>
                <w:szCs w:val="15"/>
                <w14:textFill>
                  <w14:solidFill>
                    <w14:schemeClr w14:val="tx1"/>
                  </w14:solidFill>
                </w14:textFill>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000000" w:themeColor="text1"/>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7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倒卖、抵押、出租、出借、转让、涂改燃气经营许可证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违反条款：第十八条第（二）项；处罚条款：第四十六条第（二）项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1.违法行为持续时间较长（半年以上），存在较大燃气安全隐患的，系数9；</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2.许可证有效期内发现2次以上（含2次）倒卖、抵押、出租、出借、转让燃气经营许可证行为的，系数9；</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3.涂改燃气经营许可证的，系数9；4.未按燃气管理部门要求整改，或整改后再次发生类似违法行为的，系数9；</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5.发生燃气安全事故的，系数9。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倒卖、抵押、出租、出借、转让、涂改燃气经营许可证</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68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擅自停止供气、调整供气量，或者擅自停业或者歇业</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违反条款：第十八条第（三）项；处罚条款：第四十六条第（三）项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1.断供超过12小时的，或者100户以上（含100户）居民无法正常用气超过24小时的；或影响1000户以上（含1000户）居民无法正常供气超过2小时的，系数9；</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2.未按燃气管理部门要求整改，或整改后再次发生类似违法行为的，系数9；</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3.发生燃气安全事故或者引发群体性事件的，系数9。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擅自停止供气、调整供气量或停业、歇业，有以下情形之一的吊销燃气经营许可证：1.发生燃气安全事故，经事故调查部门认定对事故发生负有责任的； 2.导致</w:t>
            </w:r>
            <w:r>
              <w:rPr>
                <w:rFonts w:asciiTheme="minorEastAsia" w:hAnsiTheme="minorEastAsia" w:eastAsiaTheme="minorEastAsia"/>
                <w:color w:val="000000" w:themeColor="text1"/>
                <w:sz w:val="15"/>
                <w:szCs w:val="15"/>
                <w14:textFill>
                  <w14:solidFill>
                    <w14:schemeClr w14:val="tx1"/>
                  </w14:solidFill>
                </w14:textFill>
              </w:rPr>
              <w:t>燃气管网覆盖范围内</w:t>
            </w:r>
            <w:r>
              <w:rPr>
                <w:rFonts w:hint="eastAsia" w:asciiTheme="minorEastAsia" w:hAnsiTheme="minorEastAsia" w:eastAsiaTheme="minorEastAsia"/>
                <w:color w:val="000000" w:themeColor="text1"/>
                <w:sz w:val="15"/>
                <w:szCs w:val="15"/>
                <w14:textFill>
                  <w14:solidFill>
                    <w14:schemeClr w14:val="tx1"/>
                  </w14:solidFill>
                </w14:textFill>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54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向未取得燃气经营许可证的单位或者个人提供用于经营的燃气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违反条款：第十八条第（四）项；处罚条款：第四十六条第（四）项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18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燃气经营者在不具备安全条件的场所储存燃气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违反条款：第十八条第（五）项；处罚条款：第四十六条第（五）项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20" w:lineRule="exact"/>
              <w:rPr>
                <w:rFonts w:cs="宋体" w:asciiTheme="minorEastAsia" w:hAnsiTheme="minorEastAsia" w:eastAsiaTheme="minorEastAsia"/>
                <w:color w:val="000000" w:themeColor="text1"/>
                <w:spacing w:val="-6"/>
                <w:kern w:val="0"/>
                <w:sz w:val="15"/>
                <w:szCs w:val="15"/>
                <w14:textFill>
                  <w14:solidFill>
                    <w14:schemeClr w14:val="tx1"/>
                  </w14:solidFill>
                </w14:textFill>
              </w:rPr>
            </w:pPr>
            <w:r>
              <w:rPr>
                <w:rFonts w:asciiTheme="minorEastAsia" w:hAnsiTheme="minorEastAsia" w:eastAsiaTheme="minorEastAsia"/>
                <w:color w:val="000000" w:themeColor="text1"/>
                <w:spacing w:val="-6"/>
                <w:sz w:val="15"/>
                <w:szCs w:val="15"/>
                <w14:textFill>
                  <w14:solidFill>
                    <w14:schemeClr w14:val="tx1"/>
                  </w14:solidFill>
                </w14:textFill>
              </w:rPr>
              <w:t>在不具备安全条件的场所储存燃气</w:t>
            </w:r>
            <w:r>
              <w:rPr>
                <w:rFonts w:hint="eastAsia" w:asciiTheme="minorEastAsia" w:hAnsiTheme="minorEastAsia" w:eastAsiaTheme="minorEastAsia"/>
                <w:color w:val="000000" w:themeColor="text1"/>
                <w:spacing w:val="-6"/>
                <w:sz w:val="15"/>
                <w:szCs w:val="15"/>
                <w14:textFill>
                  <w14:solidFill>
                    <w14:schemeClr w14:val="tx1"/>
                  </w14:solidFill>
                </w14:textFill>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4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要求燃气用户购买其指定的产品或者接受其提供的服务</w:t>
            </w:r>
          </w:p>
        </w:tc>
        <w:tc>
          <w:tcPr>
            <w:tcW w:w="2789" w:type="dxa"/>
            <w:gridSpan w:val="3"/>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违反条款：第十八条第（六）项；处罚条款：第四十六条第（六）项 责令限期改正，处1万元以上10万元以下罚款；有违法所得的，没收违法所得；情节严重的，吊销燃气经营许可证</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1.未按燃气管理部门要求整改，或整改后再次发生类似违法行为的，系数9；2.发生燃气安全事故，经事故调查部门认定，事故发生与其提供的产品或服务存在因果关系的，系数9。</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要求燃气用户购买其指定的产品或者接受其提供的服务</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未向燃气用户持续、稳定、安全供应符合国家质量标准的燃气，或者未对燃气用户的燃气设施定期进行安全检查</w:t>
            </w:r>
          </w:p>
        </w:tc>
        <w:tc>
          <w:tcPr>
            <w:tcW w:w="2789" w:type="dxa"/>
            <w:gridSpan w:val="3"/>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违反条款：第十七条第一款；处罚条款：第四十六条第（七）项 责令限期改正，处1万元以上10万元以下罚款；有违法所得的，没收违法所得；情节严重的，吊销燃气经营许可证</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燃气经营者未向燃气用户持续、稳定、安全供应符合国家质量标准的燃气，或者未对燃气用户的燃气设施定期进行安全检查</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8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销售充装单位擅自为非自有气瓶充装的瓶装燃气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违反条款：第十八条第（八）项；处罚条款：第四十七条第二款 责令改正，可以处1万元以下罚款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3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未按规定设置燃气设施保护装置和安全警示标志</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《城镇燃气管理条例》违反条款：第三十五条；处罚条款：第四十八条 责令限期改正，处1万元以上10万元以下罚款。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275"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507" w:type="dxa"/>
            <w:gridSpan w:val="7"/>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未在有较大危险因素的生产经营场所和有关设施、设备上设置明显的安全警示标志有5处以下，逾期未改正的，处5万元以上10万元以下的罚款，对其直接负责的主管人员和其他直接责任人员处1万元以上2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未在有较大危险因素的生产经营场所和有关设施、设备上设置明显的安全警示标志有5处以上10处以下，逾期未改正的，处10万元以上15万元以下的罚款，对其直接负责的主管人员和其他直接责任人员处1万元以上2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未在有较大危险因素的生产经营场所和有关设施、设备上设置明显的安全警示标志有10处以上，逾期未改正的，处15万元以上20万元以下的罚款，对其直接负责的主管人员和其他直接责任人员处1万元以上2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4.逾期未改正，经责令仍拒不改正的，可予以责令停产停业整顿。</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对燃气经营者</w:t>
            </w:r>
            <w:r>
              <w:rPr>
                <w:rFonts w:hint="eastAsia" w:cs="宋体" w:asciiTheme="minorEastAsia" w:hAnsiTheme="minorEastAsia" w:eastAsiaTheme="minorEastAsia"/>
                <w:color w:val="000000" w:themeColor="text1"/>
                <w:kern w:val="0"/>
                <w:sz w:val="15"/>
                <w:szCs w:val="15"/>
                <w14:textFill>
                  <w14:solidFill>
                    <w14:schemeClr w14:val="tx1"/>
                  </w14:solidFill>
                </w14:textFill>
              </w:rPr>
              <w:t>的</w:t>
            </w:r>
            <w:r>
              <w:rPr>
                <w:rFonts w:cs="宋体" w:asciiTheme="minorEastAsia" w:hAnsiTheme="minorEastAsia" w:eastAsiaTheme="minorEastAsia"/>
                <w:color w:val="000000" w:themeColor="text1"/>
                <w:kern w:val="0"/>
                <w:sz w:val="15"/>
                <w:szCs w:val="15"/>
                <w14:textFill>
                  <w14:solidFill>
                    <w14:schemeClr w14:val="tx1"/>
                  </w14:solidFill>
                </w14:textFill>
              </w:rPr>
              <w:t>违法行为，适用《城镇燃气管理条例》处罚。逾期未改正的，应另行立案，适用《中华人民共和国安全生产法》“逾期未改正”情形处罚。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4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燃气经营者未定期进行巡查、检测、维修和维护 </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违反条款：第三十五条；处罚条款：第四十八条 责令限期改正，处1万元以上10万元以下罚款。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未采取措施及时消除燃气安全事故隐患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违反条款：《城镇燃气管理条例》第四十一条第一款；处罚条款：第四十八条 责令限期改正，处1万元以上10万元以下罚款。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p>
            <w:pPr>
              <w:spacing w:line="232" w:lineRule="exact"/>
            </w:pPr>
            <w:r>
              <w:rPr>
                <w:rFonts w:hint="eastAsia" w:asciiTheme="minorEastAsia" w:hAnsiTheme="minorEastAsia" w:eastAsiaTheme="minorEastAsia"/>
                <w:color w:val="000000" w:themeColor="text1"/>
                <w:sz w:val="15"/>
                <w:szCs w:val="15"/>
                <w14:textFill>
                  <w14:solidFill>
                    <w14:schemeClr w14:val="tx1"/>
                  </w14:solidFill>
                </w14:textFill>
              </w:rPr>
              <w:t>对燃气经营者相关违法行为，适用《城镇燃气管理条例》处罚。拒不执行的，应另行立案，适用《中华人民共和国安全生产法》“拒不执行”情形处罚。</w:t>
            </w:r>
          </w:p>
          <w:p>
            <w:pPr>
              <w:pStyle w:val="21"/>
              <w:ind w:left="0" w:leftChars="0" w:firstLine="0" w:firstLineChars="0"/>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2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507" w:type="dxa"/>
            <w:gridSpan w:val="7"/>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1.对1处一般事故隐患未采取措施消除，拒不执行的，责令停产停业整顿，对其直接负责的主管人员和其他直接责任人员处5万元以上7万元以下的罚款；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2.对2处一般事故隐患未采取措施消除，拒不执行的，责令停产停业整顿，对其直接负责的主管人员和其他直接责任人员处7万元以上9万元以下的罚款；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3.对重大事故隐患或者3处以上一般事故隐患未采取措施消除，拒不执行的，责令停产停业整顿，对其直接负责的主管人员和其他直接责任人员处9万元以上10万元以下的罚款。</w:t>
            </w:r>
          </w:p>
        </w:tc>
        <w:tc>
          <w:tcPr>
            <w:tcW w:w="2385" w:type="dxa"/>
            <w:gridSpan w:val="2"/>
            <w:vMerge w:val="continue"/>
            <w:shd w:val="clear" w:color="auto" w:fill="auto"/>
            <w:vAlign w:val="center"/>
          </w:tcPr>
          <w:p>
            <w:pPr>
              <w:spacing w:line="232" w:lineRule="exact"/>
              <w:ind w:firstLine="242"/>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擅自操作公用燃气阀门</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违反条款：第二十八条第（一）项；处罚条款：第四十九条第一款第（一）项 责令限期改正；逾期不改正的，对单位可以处10万元以下罚款，对个人可以处1000元以下罚款。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将燃气管道作为负重支架或者接地引线</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违反条款：第二十八条第（二）项；处罚条款：第四十九条第一款第（二）项 责令限期改正；逾期不改正的，对单位可以处10万元以下罚款，对个人可以处1000元以下罚款。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安装、使用不符合气源要求的燃气燃烧器具</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违反条款：第二十八条第（三）项；处罚条款：第四十九条第一款第（三）项 责令限期改正；逾期不改正的，对单位可以处10万元以下罚款，对个人可以处1000元以下罚款。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擅自安装、改装、拆除户内燃气设施和燃气计量装置</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违反条款：第二十八条第（四）项；处罚条款：第四十九条第一款第（四）项 责令限期改正；逾期不改正的，对单位可以处10万元以下罚款，对个人可以处1000元以下罚款。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在不具备安全条件的场所使用、储存燃气</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违反条款：第二十八条第（五）项；处罚条款：第四十九条第一款第（五）项 责令限期改正；逾期不改正的，对单位可以处10万元以下罚款，对个人可以处1000元以下罚款。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改变燃气用途或者转供燃气</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违反条款：第二十八条第（七）项；处罚条款：第四十九条第一款第（六）项 责令限期改正；逾期不改正的，对单位可以处10万元以下罚款，对个人可以处1000元以下罚款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未设立售后服务站点或者未配备经考核合格的燃气燃烧器具安装、维修人员</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违反条款：第三十二条第一款；处罚条款：第四十九条第一款第（七）项 责令限期改正；逾期不改正的，对单位可以处10万元以下罚款，对个人可以处1000元以下罚款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燃气燃烧器具的安装、维修不符合国家有关标准</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违反条款：第三十二条第二款；处罚条款：第四十九条第一款第（八）项 责令限期改正；逾期不改正的，对单位可以处10万元以下罚款，对个人可以处1000元以下罚款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在燃气设施保护范围内进行爆破取土等作业或者动用明火</w:t>
            </w:r>
          </w:p>
        </w:tc>
        <w:tc>
          <w:tcPr>
            <w:tcW w:w="2789" w:type="dxa"/>
            <w:gridSpan w:val="3"/>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gridSpan w:val="2"/>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在燃气设施保护范围内倾倒、排放腐蚀性物质</w:t>
            </w:r>
          </w:p>
        </w:tc>
        <w:tc>
          <w:tcPr>
            <w:tcW w:w="2789" w:type="dxa"/>
            <w:gridSpan w:val="3"/>
            <w:vMerge w:val="restart"/>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24</w:t>
            </w:r>
          </w:p>
        </w:tc>
        <w:tc>
          <w:tcPr>
            <w:tcW w:w="1500" w:type="dxa"/>
            <w:gridSpan w:val="2"/>
            <w:vMerge w:val="restart"/>
            <w:shd w:val="clear" w:color="auto" w:fill="auto"/>
            <w:vAlign w:val="center"/>
          </w:tcPr>
          <w:p>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在燃气设施保护范围内放置易燃易爆物品或者种植深根植物</w:t>
            </w:r>
          </w:p>
        </w:tc>
        <w:tc>
          <w:tcPr>
            <w:tcW w:w="2789" w:type="dxa"/>
            <w:gridSpan w:val="3"/>
            <w:vMerge w:val="restart"/>
            <w:shd w:val="clear" w:color="auto" w:fill="auto"/>
            <w:vAlign w:val="center"/>
          </w:tcPr>
          <w:p>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gridSpan w:val="2"/>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7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7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6"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25</w:t>
            </w:r>
          </w:p>
        </w:tc>
        <w:tc>
          <w:tcPr>
            <w:tcW w:w="1500" w:type="dxa"/>
            <w:gridSpan w:val="2"/>
            <w:vMerge w:val="restart"/>
            <w:shd w:val="clear" w:color="auto" w:fill="auto"/>
            <w:vAlign w:val="center"/>
          </w:tcPr>
          <w:p>
            <w:pPr>
              <w:spacing w:line="17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在燃气设施保护范围内擅自从事敷设管道、打桩、顶进、挖掘、钻探等可能影响燃气设施安全活动</w:t>
            </w:r>
          </w:p>
        </w:tc>
        <w:tc>
          <w:tcPr>
            <w:tcW w:w="2789" w:type="dxa"/>
            <w:gridSpan w:val="3"/>
            <w:vMerge w:val="restart"/>
            <w:shd w:val="clear" w:color="auto" w:fill="auto"/>
            <w:vAlign w:val="center"/>
          </w:tcPr>
          <w:p>
            <w:pPr>
              <w:spacing w:line="17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gridSpan w:val="2"/>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35"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26</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侵占、毁损、擅自拆除、移动燃气设施</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违反条款：第三十六条第一款；处罚条款：第五十一条第一款 责令限期改正，恢复原状或者采取其它补救措施，对单位处5万元以上10万元以下罚款，对个人处5000元以上5万元以下罚款。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17"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27</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擅自改动市政燃气设施</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违反条款：第三十八条第一款；处罚条款：第五十一条第一款 责令限期改正，恢复原状或者采取其它补救措施，对单位处5万元以上10万元以下罚款，对个人处5000元以上5万元以下罚款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pStyle w:val="21"/>
              <w:ind w:left="0" w:leftChars="0" w:firstLine="0" w:firstLineChars="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违反条款：第三十八条第一款；处罚条款：第五十一条第一款 责令限期改正，恢复原状或者采取其它补救措施，对单位处5万元以上10万元以下罚款，对个人处5000元以上5万元以下罚款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毁损、覆盖、涂改、擅自拆除或者移动燃气设施安全警示标志</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违反条款：第三十六条第一款；处罚条款：第五十一条第二款 责令限期改正，恢复原状，可以处5000元以下罚款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发生在人口集中地区或人员密集场所的，系数2；2.导致相关燃气安全事故的，系数4。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处以1000元以下的罚款。按照办法规定和实际情况执行。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建设单位未会同施工单位与管道燃气经营者共同制定燃气设施保护方案</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违反条款：第三十七条第三款；处罚条款：第五十二条 责令改正，处1万元以上10万元以下罚款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发生在人口集中地区或人员密集场所的，系数2；2.发生相关燃气安全事故的，系数9。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建设单位、施工单位未采取安全保护措施，确保燃气设施运行安全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违反条款：第三十七条第三款；处罚条款：第五十二条 责令改正，处1万元以上10万元以下罚款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发生在人口集中地区或人员密集场所的，系数2；2.发生相关燃气安全事故的，系数9。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4" w:name="_Toc1968530984"/>
            <w:bookmarkStart w:id="75" w:name="_Toc1068884086"/>
            <w:bookmarkStart w:id="76" w:name="_Toc110851458"/>
            <w:r>
              <w:rPr>
                <w:rFonts w:hint="eastAsia" w:asciiTheme="minorEastAsia" w:hAnsiTheme="minorEastAsia" w:eastAsiaTheme="minorEastAsia"/>
                <w:color w:val="000000" w:themeColor="text1"/>
                <w:sz w:val="15"/>
                <w:szCs w:val="15"/>
                <w14:textFill>
                  <w14:solidFill>
                    <w14:schemeClr w14:val="tx1"/>
                  </w14:solidFill>
                </w14:textFill>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未取得燃气经营许可从事燃气经营活动</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违反条款：第十六条第一款；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处罚条款：第五十五条第一款 责令停止违法行为，处五万元以上五十万元以下罚款；有违法所得的，没收违法所得。</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1.持续时间超过半年，系数4；1年以上，系数9；2.违规经营规模较大，或者经营场所在人口集中地区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，存在较大安全隐患的，系数5；3.发生燃气安全事故的，系数9。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处罚额度和裁量标准与《城镇燃气管理条例》保持一致。</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燃气供应企业不按照燃气经营许可决定的要求从事燃气经营活动</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违反条款：第十六条第四款；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1.违规经营时间较长（超过半年），规模较大，或者经营场所在人口集中地区、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，存在较大安全隐患的，系数4；2.未按燃气管理部门要求整改，或整改后再次发生类似违法行为的，系数6；3.发生燃气安全事故，系数6。</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处罚额度和裁量标准与《城镇燃气管理条例》“不按照燃气经营许可的规定从事经营活动”案由保持一致。</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916"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3</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燃气供应企业不符合燃气经营许可条件要求从事燃气经营活动</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违反条款：第十六条第二款；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1.违规经营时间较长（超过半年），规模较大，或者经营场所在人口集中地区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，存在较大安全隐患的，系数4；2.未按燃气管理部门要求整改，或整改后再次发生类似违法行为的，系数6；3.发生燃气安全事故，系数6。</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before="100" w:beforeAutospacing="1" w:after="100" w:afterAutospacing="1"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4</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燃气供应企业违反规定情形与非居民用户签订供用气合同（进行供气）</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违反条款：第二十条第（一）（二）（三）项（根据实际情况选择适用）；</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仿宋_GB2312"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pacing w:val="-4"/>
                <w:kern w:val="0"/>
                <w:sz w:val="15"/>
                <w:szCs w:val="15"/>
                <w14:textFill>
                  <w14:solidFill>
                    <w14:schemeClr w14:val="tx1"/>
                  </w14:solidFill>
                </w14:textFill>
              </w:rPr>
              <w:t>1.存在第二十条第一款第（二）项违法行为的，系数1；2.同时违反第二十条第一款第（一）（二）（三）项中两项违法行为的，系数2；两项以上违法行为的，系数3-4；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5</w:t>
            </w:r>
          </w:p>
        </w:tc>
        <w:tc>
          <w:tcPr>
            <w:tcW w:w="1500" w:type="dxa"/>
            <w:gridSpan w:val="2"/>
            <w:shd w:val="clear" w:color="auto" w:fill="auto"/>
            <w:vAlign w:val="center"/>
          </w:tcPr>
          <w:p>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燃气供应企业未向用户提供安全、稳定、质量合格和价格合理的服务</w:t>
            </w:r>
          </w:p>
        </w:tc>
        <w:tc>
          <w:tcPr>
            <w:tcW w:w="2789" w:type="dxa"/>
            <w:gridSpan w:val="3"/>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违反条款：第二十一条第一款；</w:t>
            </w:r>
          </w:p>
          <w:p>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20000</w:t>
            </w:r>
          </w:p>
        </w:tc>
        <w:tc>
          <w:tcPr>
            <w:tcW w:w="567" w:type="dxa"/>
            <w:shd w:val="clear" w:color="auto" w:fill="auto"/>
            <w:vAlign w:val="center"/>
          </w:tcPr>
          <w:p>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w:t>
            </w:r>
          </w:p>
        </w:tc>
        <w:tc>
          <w:tcPr>
            <w:tcW w:w="2304"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1.违规经营时间较长（超过半年），规模较大，或者经营场所在人口集中地区</w:t>
            </w:r>
            <w:r>
              <w:rPr>
                <w:rFonts w:hint="eastAsia" w:cs="宋体" w:asciiTheme="minorEastAsia" w:hAnsiTheme="minorEastAsia" w:eastAsiaTheme="minorEastAsia"/>
                <w:color w:val="000000" w:themeColor="text1"/>
                <w:kern w:val="0"/>
                <w:sz w:val="14"/>
                <w:szCs w:val="14"/>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4"/>
                <w:szCs w:val="14"/>
                <w14:textFill>
                  <w14:solidFill>
                    <w14:schemeClr w14:val="tx1"/>
                  </w14:solidFill>
                </w14:textFill>
              </w:rPr>
              <w:t>，存在较大安全隐患的，系数2；2.未按燃气管理部门要求整改，或整改后再次发生类似违法行为的，系数4；3.发生燃气安全事故，系数4。</w:t>
            </w:r>
          </w:p>
        </w:tc>
        <w:tc>
          <w:tcPr>
            <w:tcW w:w="1785"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罚款数额＝20000×（1＋情节系数＋变量系数）</w:t>
            </w:r>
          </w:p>
        </w:tc>
        <w:tc>
          <w:tcPr>
            <w:tcW w:w="2385"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6</w:t>
            </w:r>
          </w:p>
        </w:tc>
        <w:tc>
          <w:tcPr>
            <w:tcW w:w="1500" w:type="dxa"/>
            <w:gridSpan w:val="2"/>
            <w:shd w:val="clear" w:color="auto" w:fill="auto"/>
            <w:vAlign w:val="center"/>
          </w:tcPr>
          <w:p>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燃气供应企业未建立和完善安全保障制度并遵守相关规定</w:t>
            </w:r>
          </w:p>
        </w:tc>
        <w:tc>
          <w:tcPr>
            <w:tcW w:w="2789" w:type="dxa"/>
            <w:gridSpan w:val="3"/>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违反条款：第二十二条第（一）（二）（三）（四）（五）（六）（七）（八）项（根据实际违法情形选择）；</w:t>
            </w:r>
          </w:p>
          <w:p>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20000</w:t>
            </w:r>
          </w:p>
        </w:tc>
        <w:tc>
          <w:tcPr>
            <w:tcW w:w="567" w:type="dxa"/>
            <w:shd w:val="clear" w:color="auto" w:fill="auto"/>
            <w:vAlign w:val="center"/>
          </w:tcPr>
          <w:p>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w:t>
            </w:r>
          </w:p>
        </w:tc>
        <w:tc>
          <w:tcPr>
            <w:tcW w:w="2304"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1.存在</w:t>
            </w:r>
            <w:r>
              <w:rPr>
                <w:rFonts w:hint="eastAsia" w:cs="仿宋_GB2312" w:asciiTheme="minorEastAsia" w:hAnsiTheme="minorEastAsia" w:eastAsiaTheme="minorEastAsia"/>
                <w:color w:val="000000" w:themeColor="text1"/>
                <w:kern w:val="0"/>
                <w:sz w:val="14"/>
                <w:szCs w:val="14"/>
                <w:shd w:val="clear" w:color="auto" w:fill="FFFFFF"/>
                <w14:textFill>
                  <w14:solidFill>
                    <w14:schemeClr w14:val="tx1"/>
                  </w14:solidFill>
                </w14:textFill>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785"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罚款数额＝20000×（1＋情节系数＋变量系数）</w:t>
            </w:r>
          </w:p>
        </w:tc>
        <w:tc>
          <w:tcPr>
            <w:tcW w:w="2385"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7</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燃气供应企业未建立健全用户服务制度、规范服务行为并遵守相关规定</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违反条款：第二十三条第（一）（二）（三）（四）（五）（六）（七）项（根据实际违法情形选择）；</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915"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8</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燃气供应企业销售瓶装液化石油气未如实记录用户基本信息以及用户持有气瓶的数量、定期检验周期和报废期限等情况</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违反条款：第二十四条第一款；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03"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9</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燃气供应企业未在用户持有的气瓶定期检验周期、报废期限到期前三十日内通知用户将气瓶送交处理</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违反条款：第二十四条第二款；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1.未在气瓶报废期限到期前通知用户的，系数3-4；2.两次以上未在定期检验周期到期前通知用户的，系数2-4；3.发生燃气事故，或者其它严重影响用气情形的，系数4。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90"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10</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燃气供应企业对非居民用户未直接配送、安装气瓶，并对其用气场所、燃气设施和用气设备进行安全检查</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违反条款：第二十五条第一款；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1.同时存在未直接配送、安装、进行安全检查两种情形的，系数1；同时存在三种情形的，系数2-4；2.发生燃气事故，或者其它严重影响用气情形的，系数4。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44"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11</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燃气供应企业未对直接配送瓶装液化石油气居民用户的用气场所、燃气设施和用气设备进行安全检查</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违反条款：第二十五条第二款；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1.两次未进行安全检查，系数2-3；三次及以上未进行安全检查，系数4；2.存在较大安全隐患或者影响正常用气的，系数2-3；3.发生燃气事故，或者其它严重影响用气情形的，系数4。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12</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燃气供应企业销售瓶装燃气未遵守相关规定</w:t>
            </w:r>
          </w:p>
        </w:tc>
        <w:tc>
          <w:tcPr>
            <w:tcW w:w="2789" w:type="dxa"/>
            <w:gridSpan w:val="3"/>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违反条款：第二十六条第一款第(一) (四)（五）(六)项（根据实际违法情形选择）；</w:t>
            </w:r>
          </w:p>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1.违法行为存在较大安全隐患或者影响正常用气的，系数2-3；2.发生燃气事故，或者其它严重影响用气情形的，系数4。</w:t>
            </w:r>
          </w:p>
        </w:tc>
        <w:tc>
          <w:tcPr>
            <w:tcW w:w="1785"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13</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燃气供应企业未按要求对燃气用户暂停供气或者限制购气并进行报告</w:t>
            </w:r>
          </w:p>
        </w:tc>
        <w:tc>
          <w:tcPr>
            <w:tcW w:w="2789" w:type="dxa"/>
            <w:gridSpan w:val="3"/>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违反条款：第三十一条第（一）（二）项（根据实际违法情形选择）；</w:t>
            </w:r>
          </w:p>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3.发生燃气事故，或者其它严重影响用气情形的，系数4。</w:t>
            </w:r>
          </w:p>
        </w:tc>
        <w:tc>
          <w:tcPr>
            <w:tcW w:w="1785"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483"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14</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燃气非居民用户未安装、使用符合要求的燃气燃烧器具及其连接管、燃气泄漏报警装置</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违反条款：第二十七条第一款；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处罚条款：第五十九条 责令限期改正；逾期不改正的，处二万元以上十万元以下罚款。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1.违法行为存在较大安全隐患或者影响正常用气的，系数2-3；2.发生燃气事故，或者其它严重影响用气情形的，系数4。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逾期不改正的情形，不纳入本案由情节系数。</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非居民用户存在未安装、使用符合要求的燃气燃烧器具及其连接管、燃气泄漏报警装置情形的，优先适用此案由。</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15</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非居民用户存在燃气使用禁止的行为</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违反条款：第三十条第一款第（一）至（十二）项、第二款（根据实际违法情形选择）；</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处罚条款：第六十条第一款 责令限期改正；逾期不改正的，处二万元以上十万元以下罚款。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1.同时存在两项（含两项）以上违法行为的，系数2-4； 2.违法行为存在较大安全隐患或者影响正常用气的，系数2-3；3.发生燃气事故，或者其它严重影响用气情形的，系数4。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74"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16</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居民用户存在燃气使用禁止的行为</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处罚条款：第六十条第二款 责令限期改正；逾期不改正的，处一千元以下罚款。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1.同时存在两项（含两项）以上违法行为的，系数2-4；2.违法行为存在较大安全隐患或者影响正常用气的，系数2-3；3.发生燃气事故，或者其它严重影响用气情形的，系数4。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需要作出200元以下罚款决定的，由执法人员在案卷中说明理由并自行决定。</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61"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17</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管道燃气供应企业未按照规范维修、安装、改装、移动或者拆除居民用户专有部分的燃气设施</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违反条款：第三十三条第一款；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处罚条款：第六十一条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1.违法行为存在较大安全隐患或者影响正常用气的，系数2-3；2.发生燃气事故，或者其它严重影响用气情形的，系数4。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1"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18</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单位侵占、毁损，擅自拆除、改装、安装、移动燃气设施</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处罚条款：第六十二条第一款 责令限期改正，恢复原状或者采取其他补救措施，处五万元以上十万元以下罚款。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注意与《城镇燃气管理条例》“擅自改动市政燃气设施”“侵占、毁损、擅自拆除、移动燃气设施”等案由的联系区别。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5"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19</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燃气供应企业不按照燃气设施改动许可的要求实施作业</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违反条款：第三十六条第五款；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处罚条款：第六十二条第一款 责令限期改正，恢复原状或者采取其他补救措施，处五万元以上十万元以下罚款。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20</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个人擅自拆除、改装、安装或者移动户内管道燃气设施</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处罚条款：第六十二条第二款  责令限期改正；逾期不改正的，处一千元以下罚款。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1.损坏燃气设施，存在较大安全隐患,或者其它影响用气情形的，系数5-8；2.发生燃气事故,或者其它严重影响用气情形的，系数9。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逾期不改正的，才能实施处罚；逾期不改正的情形，不纳入本案由情节系数；能够及时改正的，可作出不予处罚决定。</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需要作出100元以下罚款决定的，由执法人员说明理由并自行决定。</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21</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个人侵占、毁损，擅自拆除、改装、安装或者移动户外燃气设施</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处罚条款：第六十二条第二款 处五千元以上五万元以下罚款。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1.损坏燃气设施，存在较大安全隐患,或者其它影响用气情形的，系数5-8；2.发生燃气事故,或者其它严重影响用气情形的，系数9。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注意与《城镇燃气管理条例》“擅自改动市政燃气设施”“侵占、毁损、擅自拆除、移动燃气设施”等案由的联系区别。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54"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22</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建设单位未在地下管线安全防护信息系统发布施工作业信息</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违反条款：第三十七条第一款；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处罚条款：第六十三条第一款 责令限期改正，处五万元以上十万元以下罚款。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73"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23</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燃气供应企业未就地下管道燃气设施情况及时告知建设单位</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违反条款：第三十七条第一款；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处罚条款：第六十三条第一款 责令限期改正，处五万元以上十万元以下罚款。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24</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建设单位未采取措施确保地下管道燃气设施运行安全</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违反条款：第三十七条第二款；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处罚条款：第六十三条第二款 责令限期改正，对建设单位处一万元以上十万元以下罚款。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1.同时存在两项（含两项）以上违法行为的，系数5-9；2.违法行为存在较大安全隐患或者影响正常用气的，系数5-9；3.发生燃气事故，或者其它严重影响用气情形的，系数9。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pPr>
              <w:spacing w:before="120" w:beforeLines="50"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注意与《城镇燃气管理条例》“建设单位、施工单位未采取安全保护措施，确保燃气设施运行安全”“建设单位未会同施工单位与管道燃气经营者共同制定燃气设施保护方案”案由的联系区别。</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优先适用新修订《北京市燃气管理条例》“建设单位未采取措施确保地下管道燃气设施运行安全”案由。</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8"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25</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施工单位未按照安全保护方案进行施工</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违反条款：第三十八条第一款；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处罚条款：第六十四条 责令限期改正，处一万元以上十万元以下罚款。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 发生在人口集中地区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或人员密集场所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的，系数2；2.发生相关燃气安全事故的，系数9。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注意与《城镇燃气管理条例》“建设单位、施工单位未采取安全保护措施，确保燃气设施运行安全”案由的联系区别。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14" w:hRule="atLeast"/>
        </w:trPr>
        <w:tc>
          <w:tcPr>
            <w:tcW w:w="940" w:type="dxa"/>
            <w:gridSpan w:val="3"/>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26</w:t>
            </w:r>
          </w:p>
        </w:tc>
        <w:tc>
          <w:tcPr>
            <w:tcW w:w="1500" w:type="dxa"/>
            <w:gridSpan w:val="2"/>
            <w:vMerge w:val="restart"/>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在管道燃气设施保护范围内从事危及管道燃气设施安全的活动</w:t>
            </w:r>
          </w:p>
        </w:tc>
        <w:tc>
          <w:tcPr>
            <w:tcW w:w="2789" w:type="dxa"/>
            <w:gridSpan w:val="3"/>
            <w:vMerge w:val="restart"/>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违反条款：第四十一条第二款第(二)（三）(四)项（根据实际违法情形选择）；</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处罚条款：第六十六条第二款 责令停止违法行为，限期恢复原状或者采取其他补救措施，对单位处五万元以上十万元以下罚款，对个人处五千元以上五万元以下罚款。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适用于在管道燃气设施保护范围内，“进行爆破、取土等作业”“倾倒、排放腐蚀性物质”“堆放物品或者种植深根植物”情形。</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仿宋_GB2312" w:asciiTheme="minorEastAsia" w:hAnsiTheme="minorEastAsia" w:eastAsiaTheme="minorEastAsia"/>
                <w:color w:val="000000" w:themeColor="text1"/>
                <w:kern w:val="0"/>
                <w:sz w:val="15"/>
                <w:szCs w:val="15"/>
                <w14:textFill>
                  <w14:solidFill>
                    <w14:schemeClr w14:val="tx1"/>
                  </w14:solidFill>
                </w14:textFill>
              </w:rPr>
              <w:br w:type="textWrapping"/>
            </w:r>
          </w:p>
        </w:tc>
        <w:tc>
          <w:tcPr>
            <w:tcW w:w="1208" w:type="dxa"/>
            <w:gridSpan w:val="2"/>
            <w:vMerge w:val="restart"/>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91" w:hRule="atLeast"/>
        </w:trPr>
        <w:tc>
          <w:tcPr>
            <w:tcW w:w="940" w:type="dxa"/>
            <w:gridSpan w:val="3"/>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p>
        </w:tc>
        <w:tc>
          <w:tcPr>
            <w:tcW w:w="1500" w:type="dxa"/>
            <w:gridSpan w:val="2"/>
            <w:vMerge w:val="continue"/>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1.损坏燃气设施，存在较大安全隐患,或者其它影响用气情形的，系数5-8；2.发生燃气事故,或者其它严重影响用气情形的，系数9。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vMerge w:val="continue"/>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74" w:hRule="atLeast"/>
        </w:trPr>
        <w:tc>
          <w:tcPr>
            <w:tcW w:w="940" w:type="dxa"/>
            <w:gridSpan w:val="3"/>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p>
        </w:tc>
        <w:tc>
          <w:tcPr>
            <w:tcW w:w="1500" w:type="dxa"/>
            <w:gridSpan w:val="2"/>
            <w:vMerge w:val="continue"/>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违反条款：第四十一条第二款第(五)项；</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处罚条款：第六十六条第三款 责令限期改正，恢复原状，处五千元以下罚款。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 发生在人口集中地区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或人员密集场所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的，系数2；2.导致相关燃气安全事故的，系数4。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适用于“在管道燃气设施保护范围内，涂改、覆盖、移动、拆除、损坏安全警示标志”情形。处以1000元以下的罚款。按照办法规定和实际情况执行。</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注意与《城镇燃气管理条例》“未按规定设置燃气设施保护装置和安全警示标志”“毁损、覆盖、涂改、擅自拆除或者移动燃气设施安全警示标志”案由的区别联系。</w:t>
            </w:r>
          </w:p>
        </w:tc>
        <w:tc>
          <w:tcPr>
            <w:tcW w:w="1208" w:type="dxa"/>
            <w:gridSpan w:val="2"/>
            <w:vMerge w:val="continue"/>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7" w:name="_Toc110851459"/>
            <w:bookmarkStart w:id="78" w:name="_Toc697937810"/>
            <w:bookmarkStart w:id="79" w:name="_Toc1453602417"/>
            <w:r>
              <w:rPr>
                <w:rFonts w:hint="eastAsia" w:asciiTheme="minorEastAsia" w:hAnsiTheme="minorEastAsia" w:eastAsiaTheme="minorEastAsia"/>
                <w:color w:val="000000" w:themeColor="text1"/>
                <w:sz w:val="15"/>
                <w:szCs w:val="15"/>
                <w14:textFill>
                  <w14:solidFill>
                    <w14:schemeClr w14:val="tx1"/>
                  </w14:solidFill>
                </w14:textFill>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0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人员密集场所使用天然气、液化石油气未安装浓度检测报警装置</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违反条款：第二十八条第（四）项；处罚条款：第八十三条 责令改正，并可处1万元以上3万元以下罚款。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违反条款：《中华人民共和国安全生产法》第三十六条第四款；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适用于餐饮等行业的生产经营单位使用燃气的情形。</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4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1.适用于餐饮等行业的生产经营单位使用燃气，逾期未改正的情形。</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2.处罚单位，同时处罚直接负责的主管人员和其他直接责任人员。</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22"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asciiTheme="minorEastAsia" w:hAnsiTheme="minorEastAsia" w:eastAsiaTheme="minorEastAsia"/>
                <w:sz w:val="15"/>
                <w:szCs w:val="15"/>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（直接负责的主管人员和其他直接责任人员）</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17"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80" w:name="_Toc110851460"/>
            <w:bookmarkStart w:id="81" w:name="_Toc1826085962"/>
            <w:bookmarkStart w:id="82" w:name="_Toc1655805283"/>
            <w:r>
              <w:rPr>
                <w:rFonts w:hint="eastAsia" w:asciiTheme="minorEastAsia" w:hAnsiTheme="minorEastAsia" w:eastAsiaTheme="minorEastAsia"/>
                <w:color w:val="000000" w:themeColor="text1"/>
                <w:sz w:val="15"/>
                <w:szCs w:val="15"/>
                <w14:textFill>
                  <w14:solidFill>
                    <w14:schemeClr w14:val="tx1"/>
                  </w14:solidFill>
                </w14:textFill>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加气站未遵守操作规程或未设专人监护</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违反条款：第八条第（四）项；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非操作人员进行充气作业</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违反条款：第九条第（一）项；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加气站为其他容器充气</w:t>
            </w:r>
          </w:p>
        </w:tc>
        <w:tc>
          <w:tcPr>
            <w:tcW w:w="2789" w:type="dxa"/>
            <w:gridSpan w:val="3"/>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违反条款：第九条第（二）项；</w:t>
            </w:r>
          </w:p>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87" w:hRule="atLeast"/>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直接用运输槽车向车辆充气</w:t>
            </w:r>
          </w:p>
        </w:tc>
        <w:tc>
          <w:tcPr>
            <w:tcW w:w="2789" w:type="dxa"/>
            <w:gridSpan w:val="3"/>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违反条款：第九条第（三）项；</w:t>
            </w:r>
          </w:p>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使用明火检查燃气泄露</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违反条款：第九条第（四）项；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1.发生在人口集中地区，存在较大安全隐患的，系数2；2.发生安全事故的，系数4。</w:t>
            </w:r>
          </w:p>
        </w:tc>
        <w:tc>
          <w:tcPr>
            <w:tcW w:w="17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加气站</w:t>
            </w:r>
            <w:r>
              <w:rPr>
                <w:rFonts w:hint="eastAsia" w:asciiTheme="minorEastAsia" w:hAnsiTheme="minorEastAsia" w:eastAsiaTheme="minorEastAsia"/>
                <w:color w:val="000000" w:themeColor="text1"/>
                <w:sz w:val="15"/>
                <w:szCs w:val="15"/>
                <w14:textFill>
                  <w14:solidFill>
                    <w14:schemeClr w14:val="tx1"/>
                  </w14:solidFill>
                </w14:textFill>
              </w:rPr>
              <w:t>运营中</w:t>
            </w:r>
            <w:r>
              <w:rPr>
                <w:rFonts w:hint="eastAsia" w:cs="宋体" w:asciiTheme="minorEastAsia" w:hAnsiTheme="minorEastAsia" w:eastAsiaTheme="minorEastAsia"/>
                <w:color w:val="000000" w:themeColor="text1"/>
                <w:kern w:val="0"/>
                <w:sz w:val="15"/>
                <w:szCs w:val="15"/>
                <w14:textFill>
                  <w14:solidFill>
                    <w14:schemeClr w14:val="tx1"/>
                  </w14:solidFill>
                </w14:textFill>
              </w:rPr>
              <w:t>存放其他易燃易爆物品或者使用明火</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违反条款：第九条第（五）项；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1.发生在人口集中地区，存在较大安全隐患的，系数2；2.发生安全事故的，系数4。</w:t>
            </w:r>
          </w:p>
        </w:tc>
        <w:tc>
          <w:tcPr>
            <w:tcW w:w="17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在加气站内修车、洗车</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违反条款：第九条第（六）项；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83" w:name="_Toc368634635"/>
            <w:bookmarkStart w:id="84" w:name="_Toc110851461"/>
            <w:bookmarkStart w:id="85" w:name="_Toc1473999580"/>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北京市供热采暖管理办法</w:t>
            </w:r>
            <w:r>
              <w:rPr>
                <w:rFonts w:hint="eastAsia" w:asciiTheme="minorEastAsia" w:hAnsiTheme="minorEastAsia" w:eastAsiaTheme="minorEastAsia"/>
                <w:color w:val="000000" w:themeColor="text1"/>
                <w:sz w:val="15"/>
                <w:szCs w:val="15"/>
                <w14:textFill>
                  <w14:solidFill>
                    <w14:schemeClr w14:val="tx1"/>
                  </w14:solidFill>
                </w14:textFill>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供热单位未办理备案手续</w:t>
            </w:r>
          </w:p>
        </w:tc>
        <w:tc>
          <w:tcPr>
            <w:tcW w:w="2789" w:type="dxa"/>
            <w:gridSpan w:val="3"/>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违反条款：第十条第一款；</w:t>
            </w:r>
          </w:p>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处罚条款：第三十条 责令限期改正，逾期未改正的，处3万元罚款。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供热单位未办理备案变更手续</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处罚条款：第三十条 责令限期改正，逾期未改正的，处3万元罚款。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供热单位提交的备案材料失实</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处罚条款：第三十条 责令改正，情节严重的，可以处1万元以上3万元以下的罚款。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故意隐瞒相关情况，对安全、稳定、质量合格供热造成较大影响的，系数为1。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未实施供热设施安全巡检制度</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违反条款：第十三条第（一）项；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处罚条款：第三十一条第一款 予以警告，警告两次的，处2万元罚款。</w:t>
            </w:r>
          </w:p>
        </w:tc>
        <w:tc>
          <w:tcPr>
            <w:tcW w:w="851"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供热前未提前在供热范围内进行公告</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违反条款：第十三条第（二）项；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处罚条款：第三十一条第二款 责令改正，并处1000元罚款。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推迟、中止供热或者提前结束供热</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处罚条款：第三十二条第一款 责令改正，可以处5000元以上3万元以下罚款。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每推迟、中止、提前结束供热1天，变量系数为0.2。</w:t>
            </w:r>
          </w:p>
        </w:tc>
        <w:tc>
          <w:tcPr>
            <w:tcW w:w="1785"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采暖期内退出或者部分退出供热经营活动</w:t>
            </w:r>
          </w:p>
        </w:tc>
        <w:tc>
          <w:tcPr>
            <w:tcW w:w="2789" w:type="dxa"/>
            <w:gridSpan w:val="3"/>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处罚条款：第三十二条第二款 责令改正，并对供热单位处5万元以上10万元以下罚款，对供热单位法定代表人处1万元罚款。</w:t>
            </w:r>
          </w:p>
        </w:tc>
        <w:tc>
          <w:tcPr>
            <w:tcW w:w="851" w:type="dxa"/>
            <w:gridSpan w:val="2"/>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w:t>
            </w:r>
          </w:p>
        </w:tc>
        <w:tc>
          <w:tcPr>
            <w:tcW w:w="23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对供热单位</w:t>
            </w:r>
          </w:p>
        </w:tc>
        <w:tc>
          <w:tcPr>
            <w:tcW w:w="1208" w:type="dxa"/>
            <w:gridSpan w:val="2"/>
            <w:shd w:val="clear" w:color="auto" w:fill="auto"/>
            <w:vAlign w:val="center"/>
          </w:tcPr>
          <w:p>
            <w:pPr>
              <w:autoSpaceDE w:val="0"/>
              <w:spacing w:line="22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对法定代表人</w:t>
            </w:r>
          </w:p>
        </w:tc>
        <w:tc>
          <w:tcPr>
            <w:tcW w:w="1208" w:type="dxa"/>
            <w:gridSpan w:val="2"/>
            <w:shd w:val="clear" w:color="auto" w:fill="auto"/>
            <w:vAlign w:val="center"/>
          </w:tcPr>
          <w:p>
            <w:pPr>
              <w:autoSpaceDE w:val="0"/>
              <w:spacing w:line="22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非采暖期内擅自退出或者部分退出供热经营活动，影响用户采暖</w:t>
            </w:r>
          </w:p>
        </w:tc>
        <w:tc>
          <w:tcPr>
            <w:tcW w:w="2789" w:type="dxa"/>
            <w:gridSpan w:val="3"/>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违反条款：第十五条第二款；</w:t>
            </w:r>
          </w:p>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处罚条款：第三十二条第三款 责令限期改正，逾期未改正的，对供热单位处3万元罚款，对供热单位法定代表人处5000元罚款。</w:t>
            </w:r>
          </w:p>
        </w:tc>
        <w:tc>
          <w:tcPr>
            <w:tcW w:w="851" w:type="dxa"/>
            <w:gridSpan w:val="2"/>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按照法条规定执行</w:t>
            </w:r>
          </w:p>
        </w:tc>
        <w:tc>
          <w:tcPr>
            <w:tcW w:w="1208" w:type="dxa"/>
            <w:gridSpan w:val="2"/>
            <w:shd w:val="clear" w:color="auto" w:fill="auto"/>
            <w:vAlign w:val="center"/>
          </w:tcPr>
          <w:p>
            <w:pPr>
              <w:spacing w:line="22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拆改室内共用供热设施、扩大采暖面积、增加散热设备</w:t>
            </w:r>
          </w:p>
        </w:tc>
        <w:tc>
          <w:tcPr>
            <w:tcW w:w="2789" w:type="dxa"/>
            <w:gridSpan w:val="3"/>
            <w:vMerge w:val="restart"/>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违反条款：第二十一条第一款；</w:t>
            </w:r>
          </w:p>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处罚条款：第三十三条 责令限期改正，逾期未改正的，可以处500元以上5000元以下罚款。</w:t>
            </w:r>
          </w:p>
        </w:tc>
        <w:tc>
          <w:tcPr>
            <w:tcW w:w="851" w:type="dxa"/>
            <w:gridSpan w:val="2"/>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1．拆改行为明显影响到其它用户供暖效果的，系数为5；2.造成供暖中止等供暖事故的，系数为9。</w:t>
            </w:r>
          </w:p>
        </w:tc>
        <w:tc>
          <w:tcPr>
            <w:tcW w:w="17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w:t>
            </w:r>
          </w:p>
        </w:tc>
        <w:tc>
          <w:tcPr>
            <w:tcW w:w="23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tc>
        <w:tc>
          <w:tcPr>
            <w:tcW w:w="1208" w:type="dxa"/>
            <w:gridSpan w:val="2"/>
            <w:shd w:val="clear" w:color="auto" w:fill="auto"/>
            <w:vAlign w:val="center"/>
          </w:tcPr>
          <w:p>
            <w:pPr>
              <w:spacing w:line="22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26"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装饰装修房屋妨碍对供热设施进行维修养护</w:t>
            </w:r>
          </w:p>
        </w:tc>
        <w:tc>
          <w:tcPr>
            <w:tcW w:w="2789" w:type="dxa"/>
            <w:gridSpan w:val="3"/>
            <w:vMerge w:val="continue"/>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1．严重影响到正常供暖的，系数为5；2.造成供暖事故的，系数为9。</w:t>
            </w:r>
          </w:p>
        </w:tc>
        <w:tc>
          <w:tcPr>
            <w:tcW w:w="17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w:t>
            </w:r>
          </w:p>
        </w:tc>
        <w:tc>
          <w:tcPr>
            <w:tcW w:w="23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tc>
        <w:tc>
          <w:tcPr>
            <w:tcW w:w="1208" w:type="dxa"/>
            <w:gridSpan w:val="2"/>
            <w:shd w:val="clear" w:color="auto" w:fill="auto"/>
            <w:vAlign w:val="center"/>
          </w:tcPr>
          <w:p>
            <w:pPr>
              <w:spacing w:line="226" w:lineRule="exact"/>
              <w:ind w:left="6" w:hanging="21"/>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26" w:lineRule="exact"/>
              <w:ind w:left="6" w:hanging="21"/>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擅自拆除、迁移、改建、变卖热源设施，影响用户采暖</w:t>
            </w:r>
          </w:p>
        </w:tc>
        <w:tc>
          <w:tcPr>
            <w:tcW w:w="2789" w:type="dxa"/>
            <w:gridSpan w:val="3"/>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违反条款：第二十三条；</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处罚条款：第三十四条 责令限期改正，并处5万元以上10万元以下罚款。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1．明显影响到采暖效果的，系数为0.5；2.造成供暖中止等供暖事故的，系数为1。</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24"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在地下热力管道安全间距范围内堆放物品，或者进行挖掘、取土、钻探、打桩、埋杆、栽植深根性植物和爆破作业</w:t>
            </w:r>
          </w:p>
        </w:tc>
        <w:tc>
          <w:tcPr>
            <w:tcW w:w="2789" w:type="dxa"/>
            <w:gridSpan w:val="3"/>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违反条款：第二十四条第（二）项；</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53"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向供热管沟内排放有毒、有害、易燃、易爆、易堵塞物品及雨水、污水、工业废液、垃圾</w:t>
            </w:r>
          </w:p>
        </w:tc>
        <w:tc>
          <w:tcPr>
            <w:tcW w:w="2789" w:type="dxa"/>
            <w:gridSpan w:val="3"/>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违反条款：第二十四条第（三）项；</w:t>
            </w:r>
          </w:p>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擅自接入供热管网</w:t>
            </w:r>
          </w:p>
        </w:tc>
        <w:tc>
          <w:tcPr>
            <w:tcW w:w="2789" w:type="dxa"/>
            <w:gridSpan w:val="3"/>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违反条款：第二十四条第（四）项；</w:t>
            </w:r>
          </w:p>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7"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擅自在室内采暖系统上安装危害系统安全的设备</w:t>
            </w:r>
          </w:p>
        </w:tc>
        <w:tc>
          <w:tcPr>
            <w:tcW w:w="2789" w:type="dxa"/>
            <w:gridSpan w:val="3"/>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违反条款：第二十四条第（五）项；</w:t>
            </w:r>
          </w:p>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擅自排放或者取用管道内热水或蒸汽</w:t>
            </w:r>
          </w:p>
        </w:tc>
        <w:tc>
          <w:tcPr>
            <w:tcW w:w="2789" w:type="dxa"/>
            <w:gridSpan w:val="3"/>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违反条款：第二十四条第（六）项；</w:t>
            </w:r>
          </w:p>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擅自拆除、毁损警示标志</w:t>
            </w:r>
          </w:p>
        </w:tc>
        <w:tc>
          <w:tcPr>
            <w:tcW w:w="2789" w:type="dxa"/>
            <w:gridSpan w:val="3"/>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违反条款：第二十四条第（七）项；</w:t>
            </w:r>
          </w:p>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处罚条款：第三十五条第三款；处罚内容：责令改正，可以处500元以上1000元以下罚款。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擅自操作、拆除共用供热阀门，损坏共用阀门的铅封，改动或者损坏供热计量仪表及其附件等</w:t>
            </w:r>
          </w:p>
        </w:tc>
        <w:tc>
          <w:tcPr>
            <w:tcW w:w="2789" w:type="dxa"/>
            <w:gridSpan w:val="3"/>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违反条款：第二十四条第（八）项；</w:t>
            </w:r>
          </w:p>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处罚条款：第三十五条第三款；处罚内容：责令改正，可以处500元以上1000元以下罚款。</w:t>
            </w:r>
          </w:p>
        </w:tc>
        <w:tc>
          <w:tcPr>
            <w:tcW w:w="851" w:type="dxa"/>
            <w:gridSpan w:val="2"/>
            <w:shd w:val="clear" w:color="auto" w:fill="auto"/>
            <w:vAlign w:val="center"/>
          </w:tcPr>
          <w:p>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w:t>
            </w:r>
          </w:p>
        </w:tc>
        <w:tc>
          <w:tcPr>
            <w:tcW w:w="2385"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11"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其它危害、损坏供热设施的行为</w:t>
            </w:r>
          </w:p>
        </w:tc>
        <w:tc>
          <w:tcPr>
            <w:tcW w:w="2789" w:type="dxa"/>
            <w:gridSpan w:val="3"/>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违反条款：第二十四条第（九）项；</w:t>
            </w:r>
          </w:p>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82"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86" w:name="_Toc110851462"/>
            <w:bookmarkStart w:id="87" w:name="_Toc984069521"/>
            <w:bookmarkStart w:id="88" w:name="_Toc493501912"/>
            <w:r>
              <w:rPr>
                <w:rFonts w:hint="eastAsia" w:asciiTheme="minorEastAsia" w:hAnsiTheme="minorEastAsia" w:eastAsiaTheme="minorEastAsia"/>
                <w:color w:val="000000" w:themeColor="text1"/>
                <w:sz w:val="15"/>
                <w:szCs w:val="15"/>
                <w14:textFill>
                  <w14:solidFill>
                    <w14:schemeClr w14:val="tx1"/>
                  </w14:solidFill>
                </w14:textFill>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64" w:hRule="atLeast"/>
        </w:trPr>
        <w:tc>
          <w:tcPr>
            <w:tcW w:w="940" w:type="dxa"/>
            <w:gridSpan w:val="3"/>
            <w:vMerge w:val="restart"/>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损坏供热计量装置与调控系统</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违反条款：第三十三条；</w:t>
            </w:r>
          </w:p>
          <w:p>
            <w:pPr>
              <w:spacing w:line="232"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处罚条款：第四十二条，责令改正，可处500元以上1000元以下罚款；情节严重，影响正常供热的，可处1000元以上1万元以下罚款。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罚款数额＝500×（1＋情节系数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51" w:hRule="atLeast"/>
        </w:trPr>
        <w:tc>
          <w:tcPr>
            <w:tcW w:w="940" w:type="dxa"/>
            <w:gridSpan w:val="3"/>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影响正常供热的，适用此档处罚。</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86"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供热单位不实行供热计量的</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违反条款：第三十五条第一款；</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处罚条款：第四十四条，限期整改，逾期不改正的，处3万元罚款。</w:t>
            </w:r>
          </w:p>
        </w:tc>
        <w:tc>
          <w:tcPr>
            <w:tcW w:w="851"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按照规定执行</w:t>
            </w:r>
          </w:p>
        </w:tc>
        <w:tc>
          <w:tcPr>
            <w:tcW w:w="1208" w:type="dxa"/>
            <w:gridSpan w:val="2"/>
            <w:shd w:val="clear" w:color="auto" w:fill="auto"/>
            <w:vAlign w:val="center"/>
          </w:tcPr>
          <w:p>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sz w:val="15"/>
                <w:szCs w:val="15"/>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07"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lang w:eastAsia="zh-Hans"/>
                <w14:textFill>
                  <w14:solidFill>
                    <w14:schemeClr w14:val="tx1"/>
                  </w14:solidFill>
                </w14:textFill>
              </w:rPr>
            </w:pPr>
            <w:bookmarkStart w:id="89" w:name="_Toc110851463"/>
            <w:bookmarkStart w:id="90" w:name="_Toc2100881276"/>
            <w:bookmarkStart w:id="91" w:name="_Toc2145403497"/>
            <w:r>
              <w:rPr>
                <w:rFonts w:asciiTheme="minorEastAsia" w:hAnsiTheme="minorEastAsia" w:eastAsiaTheme="minorEastAsia"/>
                <w:color w:val="000000" w:themeColor="text1"/>
                <w:sz w:val="15"/>
                <w:szCs w:val="15"/>
                <w:lang w:eastAsia="zh-Hans"/>
                <w14:textFill>
                  <w14:solidFill>
                    <w14:schemeClr w14:val="tx1"/>
                  </w14:solidFill>
                </w14:textFill>
              </w:rPr>
              <w:t>《</w:t>
            </w:r>
            <w:r>
              <w:rPr>
                <w:rFonts w:hint="eastAsia" w:asciiTheme="minorEastAsia" w:hAnsiTheme="minorEastAsia" w:eastAsiaTheme="minorEastAsia"/>
                <w:color w:val="000000" w:themeColor="text1"/>
                <w:sz w:val="15"/>
                <w:szCs w:val="15"/>
                <w:lang w:eastAsia="zh-Hans"/>
                <w14:textFill>
                  <w14:solidFill>
                    <w14:schemeClr w14:val="tx1"/>
                  </w14:solidFill>
                </w14:textFill>
              </w:rPr>
              <w:t>中华人民共和国安全生产法</w:t>
            </w:r>
            <w:r>
              <w:rPr>
                <w:rFonts w:asciiTheme="minorEastAsia" w:hAnsiTheme="minorEastAsia" w:eastAsiaTheme="minorEastAsia"/>
                <w:color w:val="000000" w:themeColor="text1"/>
                <w:sz w:val="15"/>
                <w:szCs w:val="15"/>
                <w:lang w:eastAsia="zh-Hans"/>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《北京市安全生产条例》</w:t>
            </w:r>
            <w:r>
              <w:rPr>
                <w:rFonts w:asciiTheme="minorEastAsia" w:hAnsiTheme="minorEastAsia" w:eastAsiaTheme="minorEastAsia"/>
                <w:color w:val="000000" w:themeColor="text1"/>
                <w:sz w:val="15"/>
                <w:szCs w:val="15"/>
                <w:lang w:eastAsia="zh-Hans"/>
                <w14:textFill>
                  <w14:solidFill>
                    <w14:schemeClr w14:val="tx1"/>
                  </w14:solidFill>
                </w14:textFill>
              </w:rPr>
              <w:t>案由</w:t>
            </w:r>
            <w:r>
              <w:rPr>
                <w:rFonts w:hint="eastAsia" w:asciiTheme="minorEastAsia" w:hAnsiTheme="minorEastAsia" w:eastAsiaTheme="minorEastAsia"/>
                <w:color w:val="000000" w:themeColor="text1"/>
                <w:sz w:val="15"/>
                <w:szCs w:val="15"/>
                <w14:textFill>
                  <w14:solidFill>
                    <w14:schemeClr w14:val="tx1"/>
                  </w14:solidFill>
                </w14:textFill>
              </w:rPr>
              <w:t>12</w:t>
            </w:r>
            <w:r>
              <w:rPr>
                <w:rFonts w:asciiTheme="minorEastAsia" w:hAnsiTheme="minorEastAsia" w:eastAsiaTheme="minorEastAsia"/>
                <w:color w:val="000000" w:themeColor="text1"/>
                <w:sz w:val="15"/>
                <w:szCs w:val="15"/>
                <w:lang w:eastAsia="zh-Hans"/>
                <w14:textFill>
                  <w14:solidFill>
                    <w14:schemeClr w14:val="tx1"/>
                  </w14:solidFill>
                </w14:textFill>
              </w:rPr>
              <w:t>项</w:t>
            </w:r>
            <w:bookmarkEnd w:id="89"/>
            <w:bookmarkEnd w:id="90"/>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主要负责人未履行安全生产管理职责</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违反条款:《中华人民共和国安全生产法》第二十一条第（一）项至第（七）项（根据实际选择）;</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w:t>
            </w:r>
            <w:r>
              <w:rPr>
                <w:rFonts w:hint="eastAsia" w:asciiTheme="minorEastAsia" w:hAnsiTheme="minorEastAsia" w:eastAsiaTheme="minorEastAsia"/>
                <w:color w:val="000000" w:themeColor="text1"/>
                <w:spacing w:val="-4"/>
                <w:sz w:val="15"/>
                <w:szCs w:val="15"/>
                <w14:textFill>
                  <w14:solidFill>
                    <w14:schemeClr w14:val="tx1"/>
                  </w14:solidFill>
                </w14:textFill>
              </w:rPr>
              <w:t>罚条款:第九十四条第一款,责令限期改正，处二万元以上五万元以下的罚款；逾期未改正的，处五万元以上十万元以下的罚款，责令生产经营单位停产停业整顿。</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1.未履行第一项至第七项中任一项职责的，处2万元以上3万元以下的罚款；逾期未改正的，处5万元以上7万元以下的罚款，责令生产经营单位停产停业整顿；</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2.未履行第一项至第七项中任两项职责的，处3万元以上4万元以下的罚款；逾期未改正的，处7万元以上9万元以下的罚款，责令生产经营单位停产停业整顿；</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3.未履行第一项至第七项中任三项以上职责的，处4万元以上5万元以下的罚款；逾期未改正的，处9万元以上10万元以下的罚款，责令生产经营单位停产停业整顿。</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09" w:hRule="atLeast"/>
        </w:trPr>
        <w:tc>
          <w:tcPr>
            <w:tcW w:w="940" w:type="dxa"/>
            <w:gridSpan w:val="3"/>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处罚条款：第三十四条第一款，责令改正；拒不改正的，责令停产停业整顿，并处2万元以上5万元以下罚款。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1.违反第五项、第七项中任一项职责且拒不改正的，责令停产停业整顿，并处2万元以上3万元以下的罚款；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2.同时违反第五项、第七项两项职责且拒不改正的，责令停产停业整顿，并处3万元以上5万元以下的罚款。</w:t>
            </w:r>
          </w:p>
        </w:tc>
        <w:tc>
          <w:tcPr>
            <w:tcW w:w="1208" w:type="dxa"/>
            <w:gridSpan w:val="2"/>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未按照规定设置安全生产管理机构或者配备安全生产管理人员</w:t>
            </w:r>
          </w:p>
        </w:tc>
        <w:tc>
          <w:tcPr>
            <w:tcW w:w="2789" w:type="dxa"/>
            <w:gridSpan w:val="3"/>
            <w:shd w:val="clear" w:color="auto" w:fill="auto"/>
            <w:vAlign w:val="center"/>
          </w:tcPr>
          <w:p>
            <w:pPr>
              <w:spacing w:line="232" w:lineRule="exact"/>
            </w:pPr>
            <w:r>
              <w:rPr>
                <w:rFonts w:hint="eastAsia" w:asciiTheme="minorEastAsia" w:hAnsiTheme="minorEastAsia" w:eastAsiaTheme="minorEastAsia"/>
                <w:color w:val="000000" w:themeColor="text1"/>
                <w:sz w:val="15"/>
                <w:szCs w:val="15"/>
                <w14:textFill>
                  <w14:solidFill>
                    <w14:schemeClr w14:val="tx1"/>
                  </w14:solidFill>
                </w14:textFill>
              </w:rPr>
              <w:t>违反条款：第二十四条第二款；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7892" w:type="dxa"/>
            <w:gridSpan w:val="9"/>
            <w:vMerge w:val="continue"/>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5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其他负责人和安全生产管理人员未履行本法规定的安全生产管理职责</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违反条款：第二十五条第一款第（一）项至第（七）项（根据实际选择）；</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处罚条款：第九十六条，责令限期改正，处一万元以上三万元以下的罚款；…构成犯罪的，依照刑法有关规定追究刑事责任。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1.未履行第一项至第七项中任一项职责的，处1万元以上2万元以下的罚款； </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2.未履行第一项至第七项中任两项职责的，处2万元以上3万元以下的罚款； </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3.未履行第一项至第七项中任三项以上职责的，处3万元的罚款。</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未按照规定对从业人员、被派遣劳动者、实习学生进行安全生产教育和培训</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违反条款：《中华人民共和国安全生产法》第二十八条第一款、第二款、第三款、第二十九条（根据实际选择）；</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vMerge w:val="restart"/>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按照规定对从业人员、被派遣劳动者、实习学生进行安全生产教育和培训的人数为3人以下的，处5万元以下的罚款；逾期未改正的，责令停产停业整顿，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按照规定对从业人员、被派遣劳动者、实习学生进行安全生产教育和培训的人数为3人以上的，处5万元以上10万元以下的罚款；逾期未改正的，责令停产停业整顿，并处15万元以上20万元以下的罚款，对其直接负责的主管人员和其他直接责任人员处3万元以上5万元以下的罚款。</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00" w:lineRule="exact"/>
              <w:rPr>
                <w:rFonts w:asciiTheme="minorEastAsia" w:hAnsiTheme="minorEastAsia" w:eastAsiaTheme="minorEastAsia"/>
                <w:b/>
                <w:bCs/>
                <w:color w:val="000000" w:themeColor="text1"/>
                <w:sz w:val="15"/>
                <w:szCs w:val="15"/>
                <w14:textFill>
                  <w14:solidFill>
                    <w14:schemeClr w14:val="tx1"/>
                  </w14:solidFill>
                </w14:textFill>
              </w:rPr>
            </w:pPr>
            <w:r>
              <w:rPr>
                <w:rFonts w:hint="eastAsia" w:asciiTheme="minorEastAsia" w:hAnsiTheme="minorEastAsia" w:eastAsiaTheme="minorEastAsia"/>
                <w:b/>
                <w:bCs/>
                <w:color w:val="000000" w:themeColor="text1"/>
                <w:sz w:val="15"/>
                <w:szCs w:val="15"/>
                <w14:textFill>
                  <w14:solidFill>
                    <w14:schemeClr w14:val="tx1"/>
                  </w14:solidFill>
                </w14:textFill>
              </w:rPr>
              <w:t>（适用于对从业人员开展安全生产教育培训）</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b/>
                <w:bCs/>
                <w:color w:val="000000" w:themeColor="text1"/>
                <w:sz w:val="15"/>
                <w:szCs w:val="15"/>
                <w14:textFill>
                  <w14:solidFill>
                    <w14:schemeClr w14:val="tx1"/>
                  </w14:solidFill>
                </w14:textFill>
              </w:rPr>
              <w:t>违反条款：《北京市安全生产条例》</w:t>
            </w:r>
            <w:r>
              <w:rPr>
                <w:rFonts w:hint="eastAsia" w:asciiTheme="minorEastAsia" w:hAnsiTheme="minorEastAsia" w:eastAsiaTheme="minorEastAsia"/>
                <w:color w:val="000000" w:themeColor="text1"/>
                <w:sz w:val="15"/>
                <w:szCs w:val="15"/>
                <w14:textFill>
                  <w14:solidFill>
                    <w14:schemeClr w14:val="tx1"/>
                  </w14:solidFill>
                </w14:textFill>
              </w:rPr>
              <w:t>第二十二条；</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7892" w:type="dxa"/>
            <w:gridSpan w:val="9"/>
            <w:vMerge w:val="continue"/>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未如实记录安全生产教育和培训情况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违反条款：第二十八条第四款；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未在有较大危险因素的生产经营场所和有关设施、设备上设置明显的安全警示标志</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4.逾期未改正，经责令仍拒不改正的，可予以责令停产停业整顿。</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未建立事故隐患排查治理制度</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违反条款：第四十一条第二款；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生产经营单位未建立事故隐患排查治理制度，处10万元以下的罚款；逾期未改正的，责令停产停业整顿，并处10万元以上20万元以下的罚款，对其直接负责的主管人员和其他直接责任人员处2万元以上5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未如实记录事故隐患排查治理情况或者未向从业人员通报</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违反条款：第四十一条第二款 </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重大事故隐患排查治理情况未按照规定报告</w:t>
            </w:r>
          </w:p>
        </w:tc>
        <w:tc>
          <w:tcPr>
            <w:tcW w:w="2789" w:type="dxa"/>
            <w:gridSpan w:val="3"/>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违反条款：第四十一条第二款  </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生产经营单位重大事故隐患排查治理情况未按照规定报告的，处10万元以下的罚款；逾期未改正的，责令停产停业整顿，并处10万元以上20万元以下的罚款，对其直接负责的主管人员和其他直接责任人员处2万元以上5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未向从业人员如实告知有关安全生产事项</w:t>
            </w:r>
          </w:p>
        </w:tc>
        <w:tc>
          <w:tcPr>
            <w:tcW w:w="2789" w:type="dxa"/>
            <w:gridSpan w:val="3"/>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违反条款：《中华人民共和国安全生产法》第四十四条第一款；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vMerge w:val="restart"/>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按照规定对3人以下从业人员如实告知有关安全生产事项的，处5万元以下的罚款；逾期未改正的，责令停产停业整顿，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按照规定对3人以上从业人员如实告知安全生产事项的，处5万元以上10万元以下的罚款；逾期未改正的，责令停产停业整顿，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805" w:hRule="atLeast"/>
        </w:trPr>
        <w:tc>
          <w:tcPr>
            <w:tcW w:w="940" w:type="dxa"/>
            <w:gridSpan w:val="3"/>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违反条款：《北京市安全生产条例》第三十七条第一款；</w:t>
            </w:r>
          </w:p>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vMerge w:val="continue"/>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拒绝、阻碍负有安全生产监督管理职责的部门依法实施监督检查</w:t>
            </w:r>
          </w:p>
        </w:tc>
        <w:tc>
          <w:tcPr>
            <w:tcW w:w="2789" w:type="dxa"/>
            <w:gridSpan w:val="3"/>
            <w:shd w:val="clear" w:color="auto" w:fill="auto"/>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违反条款：第六十六条；</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1.生产经营单位拒绝安全生产行政执法人员依法监督检查，拒不改正的，处2万元以上10万元以下的罚款，对其直接负责的主管人员和其他直接责任人员处1万元的罚款；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2.生产经营单位阻碍安全生产行政执法人员依法监督检查，拒不改正的，处10万元以上20万元以下的罚款，对其直接负责的主管人员和其他直接责任人员处1万元以上2万元以下的罚款。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未执行专项安全生产管理措施逾期未改正</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违反条款：《北京市安全生产条例》第四十四条第一款          处罚条款：第六十一条，责令限期改正；逾期未改正的，责令停止生产经营活动。</w:t>
            </w:r>
          </w:p>
        </w:tc>
        <w:tc>
          <w:tcPr>
            <w:tcW w:w="7892" w:type="dxa"/>
            <w:gridSpan w:val="9"/>
            <w:shd w:val="clear" w:color="auto" w:fill="auto"/>
            <w:vAlign w:val="center"/>
          </w:tcPr>
          <w:p>
            <w:pPr>
              <w:spacing w:line="232" w:lineRule="exact"/>
              <w:ind w:left="6" w:hanging="21"/>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无</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92" w:name="_Toc50345271"/>
            <w:bookmarkStart w:id="93" w:name="_Toc110851464"/>
            <w:bookmarkStart w:id="94" w:name="_Toc1075063771"/>
            <w:r>
              <w:rPr>
                <w:rFonts w:hint="eastAsia" w:asciiTheme="minorEastAsia" w:hAnsiTheme="minorEastAsia" w:eastAsiaTheme="minorEastAsia"/>
                <w:color w:val="000000" w:themeColor="text1"/>
                <w:sz w:val="15"/>
                <w:szCs w:val="15"/>
                <w14:textFill>
                  <w14:solidFill>
                    <w14:schemeClr w14:val="tx1"/>
                  </w14:solidFill>
                </w14:textFill>
              </w:rPr>
              <w:t>《北京市生产安全事故隐患排查治理办法》</w:t>
            </w:r>
            <w:r>
              <w:rPr>
                <w:rFonts w:hint="eastAsia" w:asciiTheme="minorEastAsia" w:hAnsiTheme="minorEastAsia" w:eastAsiaTheme="minorEastAsia"/>
                <w:color w:val="000000" w:themeColor="text1"/>
                <w:sz w:val="15"/>
                <w:szCs w:val="15"/>
                <w:lang w:eastAsia="zh-Hans"/>
                <w14:textFill>
                  <w14:solidFill>
                    <w14:schemeClr w14:val="tx1"/>
                  </w14:solidFill>
                </w14:textFill>
              </w:rPr>
              <w:t>案由</w:t>
            </w:r>
            <w:r>
              <w:rPr>
                <w:rFonts w:asciiTheme="minorEastAsia" w:hAnsiTheme="minorEastAsia" w:eastAsiaTheme="minorEastAsia"/>
                <w:color w:val="000000" w:themeColor="text1"/>
                <w:sz w:val="15"/>
                <w:szCs w:val="15"/>
                <w:lang w:eastAsia="zh-Hans"/>
                <w14:textFill>
                  <w14:solidFill>
                    <w14:schemeClr w14:val="tx1"/>
                  </w14:solidFill>
                </w14:textFill>
              </w:rPr>
              <w:t>2</w:t>
            </w:r>
            <w:r>
              <w:rPr>
                <w:rFonts w:hint="eastAsia" w:asciiTheme="minorEastAsia" w:hAnsiTheme="minorEastAsia" w:eastAsiaTheme="minorEastAsia"/>
                <w:color w:val="000000" w:themeColor="text1"/>
                <w:sz w:val="15"/>
                <w:szCs w:val="15"/>
                <w:lang w:eastAsia="zh-Hans"/>
                <w14:textFill>
                  <w14:solidFill>
                    <w14:schemeClr w14:val="tx1"/>
                  </w14:solidFill>
                </w14:textFill>
              </w:rPr>
              <w:t>项</w:t>
            </w:r>
            <w:bookmarkEnd w:id="92"/>
            <w:bookmarkEnd w:id="93"/>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93"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主要负责人未履行规定的事故隐患排查治理职责</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w:t>
            </w:r>
            <w:r>
              <w:rPr>
                <w:rFonts w:hint="eastAsia" w:asciiTheme="minorEastAsia" w:hAnsiTheme="minorEastAsia" w:eastAsiaTheme="minorEastAsia"/>
                <w:color w:val="000000" w:themeColor="text1"/>
                <w:sz w:val="15"/>
                <w:szCs w:val="15"/>
                <w:lang w:eastAsia="zh-Hans"/>
                <w14:textFill>
                  <w14:solidFill>
                    <w14:schemeClr w14:val="tx1"/>
                  </w14:solidFill>
                </w14:textFill>
              </w:rPr>
              <w:t>第</w:t>
            </w:r>
            <w:r>
              <w:rPr>
                <w:rFonts w:hint="eastAsia" w:asciiTheme="minorEastAsia" w:hAnsiTheme="minorEastAsia" w:eastAsiaTheme="minorEastAsia"/>
                <w:color w:val="000000" w:themeColor="text1"/>
                <w:sz w:val="15"/>
                <w:szCs w:val="15"/>
                <w14:textFill>
                  <w14:solidFill>
                    <w14:schemeClr w14:val="tx1"/>
                  </w14:solidFill>
                </w14:textFill>
              </w:rPr>
              <w:t>七条；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处罚条款：第二十六条，责令限期改正；逾期未改正的，处2万元以上5万元以下罚款。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1.经责令限期改正，主要负责人仍未履行其中任一项职责的，对主要负责人处2万元以上3万元以下的罚款；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2.经责令限期改正，主要负责人仍未履行其中任两项以上职责的，对主要负责人处3万元以上5万元以下的罚款。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06"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未定期通报事故隐患排查治理情况，或者未公示重大事故隐患的危害程度、影响范围和应急措施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违反条款：第十一条；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处罚条款：第二十八条，责令限期改正，可以处5万元以下罚款；逾期未改正的，责令停产停业整顿，并处5万元以上10万元以下罚款。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向从业人员通报隐患排查治理情况，或者未向从业人员公示事故隐患的危害程度、影响范围和应急措施的，可以处2万元以上5万元以下的罚款；逾期未改正的，责令停产停业整顿，并处7万元以上10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sz w:val="15"/>
                <w:szCs w:val="15"/>
              </w:rPr>
            </w:pPr>
            <w:bookmarkStart w:id="95" w:name="_Toc110851465"/>
            <w:bookmarkStart w:id="96" w:name="_Toc34162267"/>
            <w:bookmarkStart w:id="97" w:name="_Toc780858134"/>
            <w:r>
              <w:rPr>
                <w:rFonts w:hint="eastAsia" w:asciiTheme="minorEastAsia" w:hAnsiTheme="minorEastAsia" w:eastAsiaTheme="minorEastAsia"/>
                <w:sz w:val="15"/>
                <w:szCs w:val="15"/>
              </w:rPr>
              <w:t>《北京市单用途预付卡管理条例》案由7项</w:t>
            </w:r>
            <w:bookmarkEnd w:id="95"/>
            <w:bookmarkEnd w:id="96"/>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8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预付卡经营者违反规定发行预付卡或者为消费者办理续卡的</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违反条款：第十一条；处罚条款：第二十八条 责令立即停止发卡、续卡，处两万元以上十万元以下罚款；情节严重的，责令停业。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lang w:val="en"/>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w:t>
            </w:r>
            <w:r>
              <w:rPr>
                <w:rFonts w:cs="仿宋_GB2312" w:asciiTheme="minorEastAsia" w:hAnsiTheme="minorEastAsia" w:eastAsiaTheme="minorEastAsia"/>
                <w:sz w:val="15"/>
                <w:szCs w:val="15"/>
                <w:lang w:val="en"/>
              </w:rPr>
              <w:t>20</w:t>
            </w:r>
            <w:r>
              <w:rPr>
                <w:rFonts w:hint="eastAsia" w:cs="仿宋_GB2312" w:asciiTheme="minorEastAsia" w:hAnsiTheme="minorEastAsia" w:eastAsiaTheme="minorEastAsia"/>
                <w:sz w:val="15"/>
                <w:szCs w:val="15"/>
              </w:rPr>
              <w:t>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7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预付卡经营者未向消费者出具载明规定内容的凭据逾期不改正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违反条款：第十三条第一款、第二款；处罚条款：第二十九条第（一）项   责令限期改正；逾期不改的，可以处二千元以上一万元以下罚款，并责令暂时停止发行预付卡。</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w:t>
            </w:r>
          </w:p>
        </w:tc>
        <w:tc>
          <w:tcPr>
            <w:tcW w:w="567" w:type="dxa"/>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0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预付卡经营者未按照规定提供查询或者未按照规定履行告知义务逾期不改正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违反条款：第十八条；处罚条款：第二十九条第（二）项   责令限期改正；逾期不改的，可以处二千元以上一万元以下罚款，并责令暂时停止发行预付卡。</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w:t>
            </w:r>
          </w:p>
        </w:tc>
        <w:tc>
          <w:tcPr>
            <w:tcW w:w="567" w:type="dxa"/>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8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预付卡经营者未按照规定保存交易记录逾期不改正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仿宋_GB2312" w:asciiTheme="minorEastAsia" w:hAnsiTheme="minorEastAsia" w:eastAsiaTheme="minorEastAsia"/>
                <w:spacing w:val="-4"/>
                <w:sz w:val="15"/>
                <w:szCs w:val="15"/>
              </w:rPr>
              <w:t>违反条款：第十九条第一款；处罚条款：第二十九条第（一）项   责令限期改正；逾期不改的，可以处二千元以上一万元以下罚款，并责令暂时停止发行预付卡。</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w:t>
            </w:r>
          </w:p>
        </w:tc>
        <w:tc>
          <w:tcPr>
            <w:tcW w:w="567" w:type="dxa"/>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预付卡经营者故意拖延或者无理拒绝退回预收款逾期不改正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违反条款：第十六条、第十七条；处罚条款：第三十条  责令限期改正；逾期不改的，可以处一万元以上五万元以下罚款，并责令暂时停止发行预付卡。</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10000</w:t>
            </w:r>
          </w:p>
        </w:tc>
        <w:tc>
          <w:tcPr>
            <w:tcW w:w="567" w:type="dxa"/>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w:t>
            </w:r>
            <w:r>
              <w:rPr>
                <w:rFonts w:cs="仿宋_GB2312" w:asciiTheme="minorEastAsia" w:hAnsiTheme="minorEastAsia" w:eastAsiaTheme="minorEastAsia"/>
                <w:sz w:val="15"/>
                <w:szCs w:val="15"/>
                <w:lang w:val="en"/>
              </w:rPr>
              <w:t>10</w:t>
            </w:r>
            <w:r>
              <w:rPr>
                <w:rFonts w:hint="eastAsia" w:cs="仿宋_GB2312" w:asciiTheme="minorEastAsia" w:hAnsiTheme="minorEastAsia" w:eastAsiaTheme="minorEastAsia"/>
                <w:sz w:val="15"/>
                <w:szCs w:val="15"/>
              </w:rPr>
              <w:t>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2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预付卡经营者迟报、瞒报、虚报有关信息逾期不改正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仿宋_GB2312" w:asciiTheme="minorEastAsia" w:hAnsiTheme="minorEastAsia" w:eastAsiaTheme="minorEastAsia"/>
                <w:spacing w:val="-4"/>
                <w:sz w:val="15"/>
                <w:szCs w:val="15"/>
              </w:rPr>
              <w:t>违反条款：第二十条；处罚条款：第三十一条  责令限期改正；逾期不改的，处一千元以上五千元以下罚款。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w:t>
            </w:r>
            <w:r>
              <w:rPr>
                <w:rFonts w:cs="仿宋_GB2312" w:asciiTheme="minorEastAsia" w:hAnsiTheme="minorEastAsia" w:eastAsiaTheme="minorEastAsia"/>
                <w:sz w:val="15"/>
                <w:szCs w:val="15"/>
                <w:lang w:val="en"/>
              </w:rPr>
              <w:t>1</w:t>
            </w:r>
            <w:r>
              <w:rPr>
                <w:rFonts w:hint="eastAsia" w:cs="仿宋_GB2312" w:asciiTheme="minorEastAsia" w:hAnsiTheme="minorEastAsia" w:eastAsiaTheme="minorEastAsia"/>
                <w:sz w:val="15"/>
                <w:szCs w:val="15"/>
              </w:rPr>
              <w:t>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0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预付卡经营者未按照规定存管资金逾期不改正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违反条款：第二十二条；处罚条款：第三十二条  责令存管并暂时停止发行预付卡；逾期不改的，处两万元以上十万元以下罚款，并责令停止发行预付卡；继续发行预付卡的，责令停业。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w:t>
            </w:r>
            <w:r>
              <w:rPr>
                <w:rFonts w:cs="仿宋_GB2312" w:asciiTheme="minorEastAsia" w:hAnsiTheme="minorEastAsia" w:eastAsiaTheme="minorEastAsia"/>
                <w:sz w:val="15"/>
                <w:szCs w:val="15"/>
                <w:lang w:val="en"/>
              </w:rPr>
              <w:t>0</w:t>
            </w:r>
            <w:r>
              <w:rPr>
                <w:rFonts w:hint="eastAsia" w:cs="仿宋_GB2312" w:asciiTheme="minorEastAsia" w:hAnsiTheme="minorEastAsia" w:eastAsiaTheme="minorEastAsia"/>
                <w:sz w:val="15"/>
                <w:szCs w:val="15"/>
              </w:rPr>
              <w:t>×（1+情节系数+变量系数）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06"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98" w:name="_Toc110851466"/>
            <w:bookmarkStart w:id="99" w:name="_Toc1495699393"/>
            <w:bookmarkStart w:id="100" w:name="_Toc516386640"/>
            <w:r>
              <w:rPr>
                <w:rFonts w:hint="eastAsia" w:ascii="黑体" w:hAnsi="黑体" w:eastAsia="黑体"/>
                <w:b w:val="0"/>
                <w:color w:val="000000" w:themeColor="text1"/>
                <w:sz w:val="24"/>
                <w:szCs w:val="24"/>
                <w14:textFill>
                  <w14:solidFill>
                    <w14:schemeClr w14:val="tx1"/>
                  </w14:solidFill>
                </w14:textFill>
              </w:rPr>
              <w:t>园林绿化管理方面</w:t>
            </w:r>
            <w:bookmarkEnd w:id="98"/>
            <w:bookmarkEnd w:id="99"/>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1" w:name="_Toc767126334"/>
            <w:bookmarkStart w:id="102" w:name="_Toc1801139429"/>
            <w:bookmarkStart w:id="103" w:name="_Toc110851467"/>
            <w:r>
              <w:rPr>
                <w:rFonts w:hint="eastAsia" w:asciiTheme="minorEastAsia" w:hAnsiTheme="minorEastAsia" w:eastAsiaTheme="minorEastAsia"/>
                <w:color w:val="000000" w:themeColor="text1"/>
                <w:sz w:val="15"/>
                <w:szCs w:val="15"/>
                <w14:textFill>
                  <w14:solidFill>
                    <w14:schemeClr w14:val="tx1"/>
                  </w14:solidFill>
                </w14:textFill>
              </w:rPr>
              <w:t>《北京市绿化条例》案由16项</w:t>
            </w:r>
            <w:bookmarkEnd w:id="101"/>
            <w:bookmarkEnd w:id="102"/>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8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未按要求公示绿地平面图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违反条款：第二十五条；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处罚条款：第六十三条 责令限期改正；逾期不改正的，处5000元罚款。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97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未按规定对闲置土地进行临时绿化</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违反条款：第二十七条；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处罚条款：第六十四条 责令限期改正；逾期不改正的，处2000元以上2万元以下罚款。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numPr>
                <w:ilvl w:val="0"/>
                <w:numId w:val="10"/>
              </w:num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闲置面积1000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以内，变量系数为0，闲置面积1000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以上的，每增加500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，变量系数增加1；</w:t>
            </w:r>
          </w:p>
          <w:p>
            <w:pPr>
              <w:numPr>
                <w:ilvl w:val="0"/>
                <w:numId w:val="10"/>
              </w:num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闲置时间超过一年的，系数为4；3. 尘土飞扬，对市容环境造成严重影响的，系数9。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未按养护规范养护绿地、树木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违反条款：第四十条第一款；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处罚条款：第六十五条 责令限期改正；逾期不改正，造成树木死亡、绿化设施损毁、景区风貌破坏的，处2000元以上2万元以下罚款。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未按规范开发利用绿地地下空间</w:t>
            </w:r>
          </w:p>
        </w:tc>
        <w:tc>
          <w:tcPr>
            <w:tcW w:w="2789" w:type="dxa"/>
            <w:gridSpan w:val="3"/>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违反条款：第四十六条；</w:t>
            </w:r>
          </w:p>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处罚条款：第六十六条 责令限期改正；逾期不改正的，处2万元以上10万元以下罚款。</w:t>
            </w: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1.造成树木死亡（胸径小于30厘米且不满3株），绿地损毁的，变量系数为1；</w:t>
            </w:r>
          </w:p>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2.造成树木大面积死亡（胸径30厘米以上的，或树木死亡3株以上），绿地使用功能丧失，或者其它社会恶劣影响和重大经济损失的，变量系数为3。</w:t>
            </w: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罚款数额＝20000×（1＋区域系数＋情节系数＋变量系数）</w:t>
            </w: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在树木旁或者绿地内倾倒、排放污水、垃圾、渣土及其他废弃物</w:t>
            </w:r>
          </w:p>
        </w:tc>
        <w:tc>
          <w:tcPr>
            <w:tcW w:w="2789" w:type="dxa"/>
            <w:gridSpan w:val="3"/>
            <w:vMerge w:val="restart"/>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违反条款：第五十条第（一）项；处罚条款：第六十七条责令停止违法行为。处罚内容：情节较轻的，处20元以上50元以下罚款；情节严重的，处50元以上500元以下罚款。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vMerge w:val="restart"/>
            <w:shd w:val="clear" w:color="auto" w:fill="auto"/>
            <w:vAlign w:val="center"/>
          </w:tcPr>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同时违反市容、市政等法规或者绿化条例其它条款，适用本案由不足以惩处的，可适用相关案由查处。</w:t>
            </w:r>
          </w:p>
        </w:tc>
        <w:tc>
          <w:tcPr>
            <w:tcW w:w="1208" w:type="dxa"/>
            <w:gridSpan w:val="2"/>
            <w:vMerge w:val="continue"/>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vMerge w:val="restart"/>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损毁树木、花草及绿化设施</w:t>
            </w:r>
          </w:p>
        </w:tc>
        <w:tc>
          <w:tcPr>
            <w:tcW w:w="2789" w:type="dxa"/>
            <w:gridSpan w:val="3"/>
            <w:vMerge w:val="restart"/>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违反条款：第五十条第（二）项；处罚条款：第六十七条责令停止违法行为。处罚内容：情节较轻的，处20元以上50元以下罚款；情节严重的，处50元以上500元以下罚款。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同时违反绿化条例其它条款的，适用本案由不足以惩处的，可适用相关案由查处。</w:t>
            </w:r>
          </w:p>
        </w:tc>
        <w:tc>
          <w:tcPr>
            <w:tcW w:w="1208" w:type="dxa"/>
            <w:gridSpan w:val="2"/>
            <w:shd w:val="clear" w:color="auto" w:fill="auto"/>
            <w:vAlign w:val="center"/>
          </w:tcPr>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在树木或者绿化设施上悬挂广告牌或者其它物品</w:t>
            </w:r>
          </w:p>
        </w:tc>
        <w:tc>
          <w:tcPr>
            <w:tcW w:w="2789" w:type="dxa"/>
            <w:gridSpan w:val="3"/>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违反条款：第五十条第（三）项；处罚条款：第六十七条责令停止违法行为。处罚内容：情节较轻的，处20元以上50元以下罚款；情节严重的，处50元以上500元以下罚款。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vMerge w:val="restart"/>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同时违反市容等法规的，可适用相关案由查处。</w:t>
            </w:r>
          </w:p>
        </w:tc>
        <w:tc>
          <w:tcPr>
            <w:tcW w:w="1208" w:type="dxa"/>
            <w:gridSpan w:val="2"/>
            <w:vMerge w:val="continue"/>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在绿地内取土、搭建构筑物</w:t>
            </w:r>
          </w:p>
        </w:tc>
        <w:tc>
          <w:tcPr>
            <w:tcW w:w="2789" w:type="dxa"/>
            <w:gridSpan w:val="3"/>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违反条款：第五十条第（四）项；处罚条款：第六十七条责令停止违法行为。处罚内容：情节较轻的，处20元以上50元以下罚款；情节严重的，处50元以上500元以下罚款。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同时违反规划、市容等法规或者绿化条例其它条款的，适用本案由不足以惩处的，可适用相关案由查处。</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在绿地内用火、烧烤</w:t>
            </w:r>
          </w:p>
        </w:tc>
        <w:tc>
          <w:tcPr>
            <w:tcW w:w="2789" w:type="dxa"/>
            <w:gridSpan w:val="3"/>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违反条款：第五十条第（五）项；处罚条款：第六十七条责令停止违法行为。处罚内容：情节较轻的，处20元以上50元以下罚款；情节严重的，处50元以上500元以下罚款。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vMerge w:val="restart"/>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同时违反其它法规，本案由不足以惩处的，可适用相关案由。</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647"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实施其它损害绿化成果及绿化设施的行为</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违反条款：第五十条第（七）项；处罚条款：第六十七条责令停止违法行为。处罚内容：情节较轻的，处20元以上50元以下罚款；情节严重的，处50元以上500元以下罚款。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48"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同时违反其它法规，本案由不足以惩处的，可适用相关案由。</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6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未经许可擅自改变绿地性质和用途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cs="宋体" w:asciiTheme="minorEastAsia" w:hAnsiTheme="minorEastAsia" w:eastAsiaTheme="minorEastAsia"/>
                <w:color w:val="000000" w:themeColor="text1"/>
                <w:kern w:val="0"/>
                <w:sz w:val="15"/>
                <w:szCs w:val="15"/>
                <w14:textFill>
                  <w14:solidFill>
                    <w14:schemeClr w14:val="tx1"/>
                  </w14:solidFill>
                </w14:textFill>
              </w:rPr>
              <w:t>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相应变量系数：1.擅自改变公共绿地或者居住区绿地性质和用途的，系数5-9；主动改正违法行为或者减轻违法后果的，系数1-4。2.改变其它绿地的，系数1-4；3.存在其它情节严重或者社会影响恶劣的情形，系数5-9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罚款数额＝面积×300×（1＋变量系数）</w:t>
            </w:r>
          </w:p>
        </w:tc>
        <w:tc>
          <w:tcPr>
            <w:tcW w:w="2385" w:type="dxa"/>
            <w:gridSpan w:val="2"/>
            <w:shd w:val="clear" w:color="auto" w:fill="auto"/>
            <w:vAlign w:val="center"/>
          </w:tcPr>
          <w:p>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未按规定移植树木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违反条款：第五十八条第一款；处罚条款：第六十九条 责令限期改正；无法改正的，责令在规定地点补种移植株数5倍的树木，并可以处所移植树木价值3至5倍的罚款。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树木价值</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罚款数额＝树木价值×（3＋区域系数＋情节系数）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未按规定砍伐树木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违反条款：第五十九条第一款第（一）、（二）、（三）、（四）项；处罚条款：第七十条 ：责令停止违法行为，并在规定地点补种砍伐株数10倍的树木，处所砍伐树木价值5至10倍的罚款。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树木价值</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存在以下情节的，增加变量系数：违反规定截除（擅自砍伐）第五十九条第一款四种情形之外树木主干、去除树冠的，系数 1-5。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罚款数额＝树木价值×（5＋区域系数＋情节系数＋变量系数）。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违反规定截除树木主干、去除树冠</w:t>
            </w:r>
          </w:p>
        </w:tc>
        <w:tc>
          <w:tcPr>
            <w:tcW w:w="2789" w:type="dxa"/>
            <w:gridSpan w:val="3"/>
            <w:shd w:val="clear" w:color="auto" w:fill="auto"/>
            <w:vAlign w:val="center"/>
          </w:tcPr>
          <w:p>
            <w:pPr>
              <w:spacing w:line="25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w:t>
            </w:r>
            <w:r>
              <w:rPr>
                <w:rFonts w:cs="宋体" w:asciiTheme="minorEastAsia" w:hAnsiTheme="minorEastAsia" w:eastAsiaTheme="minorEastAsia"/>
                <w:color w:val="000000" w:themeColor="text1"/>
                <w:kern w:val="0"/>
                <w:sz w:val="15"/>
                <w:szCs w:val="15"/>
                <w14:textFill>
                  <w14:solidFill>
                    <w14:schemeClr w14:val="tx1"/>
                  </w14:solidFill>
                </w14:textFill>
              </w:rPr>
              <w:t>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第五十条第（六）项；</w:t>
            </w:r>
          </w:p>
          <w:p>
            <w:pPr>
              <w:spacing w:line="25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r>
              <w:rPr>
                <w:rFonts w:cs="宋体" w:asciiTheme="minorEastAsia" w:hAnsiTheme="minorEastAsia" w:eastAsiaTheme="minorEastAsia"/>
                <w:color w:val="000000" w:themeColor="text1"/>
                <w:kern w:val="0"/>
                <w:sz w:val="15"/>
                <w:szCs w:val="15"/>
                <w14:textFill>
                  <w14:solidFill>
                    <w14:schemeClr w14:val="tx1"/>
                  </w14:solidFill>
                </w14:textFill>
              </w:rPr>
              <w:t>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第七十条第一款、第二款  责令停止违法行为，并在规定地点补种砍伐株数10倍的树木，处所砍伐树木价值5至10倍的罚款。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树木价值</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存在以下情节的，增加变量系数：违反规定截除（擅自砍伐）第五十九条第一款四种情形之外树木主干、去除树冠的，系数 1-5。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罚款数额＝树木价值×（5＋区域系数＋情节系数＋变量系数）。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未经许可临时占用绿地</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违反条款：第六十条；</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处罚条款：第六十八条 责令限期改正、恢复原状，并按照改变的面积处每平方米300元以上3000元以下罚款。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cs="宋体" w:asciiTheme="minorEastAsia" w:hAnsiTheme="minorEastAsia" w:eastAsiaTheme="minorEastAsia"/>
                <w:color w:val="000000" w:themeColor="text1"/>
                <w:kern w:val="0"/>
                <w:sz w:val="15"/>
                <w:szCs w:val="15"/>
                <w14:textFill>
                  <w14:solidFill>
                    <w14:schemeClr w14:val="tx1"/>
                  </w14:solidFill>
                </w14:textFill>
              </w:rPr>
              <w:t>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相应变量系数:1.临时占用公共绿地或者居住区绿地的，系数5-9；主动改正违法行为或者减轻违法后果的，系数1-4。2.临时占用其它绿地的，系数1-4；3.存在其它情节严重或者社会影响恶劣的情形，系数5-9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罚款数额＝面积×300×（1 +变量系数）</w:t>
            </w:r>
          </w:p>
        </w:tc>
        <w:tc>
          <w:tcPr>
            <w:tcW w:w="2385" w:type="dxa"/>
            <w:gridSpan w:val="2"/>
            <w:shd w:val="clear" w:color="auto" w:fill="auto"/>
            <w:vAlign w:val="center"/>
          </w:tcPr>
          <w:p>
            <w:pPr>
              <w:spacing w:line="212"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2"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未将代征绿地交绿化主管部门组织绿化</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处罚条款：第七十一条 责令限期交回，并处每日每平方米0.5元的罚款。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按规定计算罚款额度。</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4" w:name="_Toc177791596"/>
            <w:bookmarkStart w:id="105" w:name="_Toc1468688899"/>
            <w:bookmarkStart w:id="106" w:name="_Toc110851468"/>
            <w:r>
              <w:rPr>
                <w:rFonts w:hint="eastAsia" w:asciiTheme="minorEastAsia" w:hAnsiTheme="minorEastAsia" w:eastAsiaTheme="minorEastAsia"/>
                <w:color w:val="000000" w:themeColor="text1"/>
                <w:sz w:val="15"/>
                <w:szCs w:val="15"/>
                <w14:textFill>
                  <w14:solidFill>
                    <w14:schemeClr w14:val="tx1"/>
                  </w14:solidFill>
                </w14:textFill>
              </w:rPr>
              <w:t>《北京市物业</w:t>
            </w:r>
            <w:r>
              <w:rPr>
                <w:rFonts w:asciiTheme="minorEastAsia" w:hAnsiTheme="minorEastAsia" w:eastAsiaTheme="minorEastAsia"/>
                <w:color w:val="000000" w:themeColor="text1"/>
                <w:sz w:val="15"/>
                <w:szCs w:val="15"/>
                <w14:textFill>
                  <w14:solidFill>
                    <w14:schemeClr w14:val="tx1"/>
                  </w14:solidFill>
                </w14:textFill>
              </w:rPr>
              <w:t>管理条例</w:t>
            </w:r>
            <w:r>
              <w:rPr>
                <w:rFonts w:hint="eastAsia" w:asciiTheme="minorEastAsia" w:hAnsiTheme="minorEastAsia" w:eastAsiaTheme="minorEastAsia"/>
                <w:color w:val="000000" w:themeColor="text1"/>
                <w:sz w:val="15"/>
                <w:szCs w:val="15"/>
                <w14:textFill>
                  <w14:solidFill>
                    <w14:schemeClr w14:val="tx1"/>
                  </w14:solidFill>
                </w14:textFill>
              </w:rPr>
              <w:t>》案由1项</w:t>
            </w:r>
            <w:bookmarkEnd w:id="104"/>
            <w:bookmarkEnd w:id="105"/>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侵占绿地、毁坏绿化植物和绿化设施</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违反条款：第七十八条第二款第(九)项。</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处罚条款：第九十八条第（九）项，责令改正，拒不改正的，处五百元以上五千元以下的罚款。</w:t>
            </w:r>
          </w:p>
        </w:tc>
        <w:tc>
          <w:tcPr>
            <w:tcW w:w="851" w:type="dxa"/>
            <w:gridSpan w:val="2"/>
            <w:shd w:val="clear" w:color="auto" w:fill="auto"/>
            <w:vAlign w:val="center"/>
          </w:tcPr>
          <w:p>
            <w:pPr>
              <w:spacing w:line="212" w:lineRule="exact"/>
              <w:ind w:firstLine="225" w:firstLineChars="150"/>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造成绿化</w:t>
            </w:r>
            <w:r>
              <w:rPr>
                <w:rFonts w:asciiTheme="minorEastAsia" w:hAnsiTheme="minorEastAsia" w:eastAsiaTheme="minorEastAsia"/>
                <w:color w:val="000000" w:themeColor="text1"/>
                <w:sz w:val="15"/>
                <w:szCs w:val="15"/>
                <w14:textFill>
                  <w14:solidFill>
                    <w14:schemeClr w14:val="tx1"/>
                  </w14:solidFill>
                </w14:textFill>
              </w:rPr>
              <w:t>植物死亡</w:t>
            </w:r>
            <w:r>
              <w:rPr>
                <w:rFonts w:hint="eastAsia" w:asciiTheme="minorEastAsia" w:hAnsiTheme="minorEastAsia" w:eastAsiaTheme="minorEastAsia"/>
                <w:color w:val="000000" w:themeColor="text1"/>
                <w:sz w:val="15"/>
                <w:szCs w:val="15"/>
                <w14:textFill>
                  <w14:solidFill>
                    <w14:schemeClr w14:val="tx1"/>
                  </w14:solidFill>
                </w14:textFill>
              </w:rPr>
              <w:t>、绿地或绿化设施损毁严重的，系数9。</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经责令改正后，当事人主动改正违法行为，不予处罚；对于物业管理区域内违法行为，原则</w:t>
            </w:r>
            <w:r>
              <w:rPr>
                <w:rFonts w:asciiTheme="minorEastAsia" w:hAnsiTheme="minorEastAsia" w:eastAsiaTheme="minorEastAsia"/>
                <w:color w:val="000000" w:themeColor="text1"/>
                <w:sz w:val="15"/>
                <w:szCs w:val="15"/>
                <w14:textFill>
                  <w14:solidFill>
                    <w14:schemeClr w14:val="tx1"/>
                  </w14:solidFill>
                </w14:textFill>
              </w:rPr>
              <w:t>上</w:t>
            </w:r>
            <w:r>
              <w:rPr>
                <w:rFonts w:hint="eastAsia" w:asciiTheme="minorEastAsia" w:hAnsiTheme="minorEastAsia" w:eastAsiaTheme="minorEastAsia"/>
                <w:color w:val="000000" w:themeColor="text1"/>
                <w:sz w:val="15"/>
                <w:szCs w:val="15"/>
                <w14:textFill>
                  <w14:solidFill>
                    <w14:schemeClr w14:val="tx1"/>
                  </w14:solidFill>
                </w14:textFill>
              </w:rPr>
              <w:t>适用该条例实施处罚，</w:t>
            </w:r>
            <w:r>
              <w:rPr>
                <w:rFonts w:asciiTheme="minorEastAsia" w:hAnsiTheme="minorEastAsia" w:eastAsiaTheme="minorEastAsia"/>
                <w:color w:val="000000" w:themeColor="text1"/>
                <w:sz w:val="15"/>
                <w:szCs w:val="15"/>
                <w14:textFill>
                  <w14:solidFill>
                    <w14:schemeClr w14:val="tx1"/>
                  </w14:solidFill>
                </w14:textFill>
              </w:rPr>
              <w:t>但对于</w:t>
            </w:r>
            <w:r>
              <w:rPr>
                <w:rFonts w:hint="eastAsia" w:asciiTheme="minorEastAsia" w:hAnsiTheme="minorEastAsia" w:eastAsiaTheme="minorEastAsia"/>
                <w:color w:val="000000" w:themeColor="text1"/>
                <w:sz w:val="15"/>
                <w:szCs w:val="15"/>
                <w14:textFill>
                  <w14:solidFill>
                    <w14:schemeClr w14:val="tx1"/>
                  </w14:solidFill>
                </w14:textFill>
              </w:rPr>
              <w:t>擅自</w:t>
            </w:r>
            <w:r>
              <w:rPr>
                <w:rFonts w:asciiTheme="minorEastAsia" w:hAnsiTheme="minorEastAsia" w:eastAsiaTheme="minorEastAsia"/>
                <w:color w:val="000000" w:themeColor="text1"/>
                <w:sz w:val="15"/>
                <w:szCs w:val="15"/>
                <w14:textFill>
                  <w14:solidFill>
                    <w14:schemeClr w14:val="tx1"/>
                  </w14:solidFill>
                </w14:textFill>
              </w:rPr>
              <w:t>砍伐树木、侵占</w:t>
            </w:r>
            <w:r>
              <w:rPr>
                <w:rFonts w:hint="eastAsia" w:asciiTheme="minorEastAsia" w:hAnsiTheme="minorEastAsia" w:eastAsiaTheme="minorEastAsia"/>
                <w:color w:val="000000" w:themeColor="text1"/>
                <w:sz w:val="15"/>
                <w:szCs w:val="15"/>
                <w14:textFill>
                  <w14:solidFill>
                    <w14:schemeClr w14:val="tx1"/>
                  </w14:solidFill>
                </w14:textFill>
              </w:rPr>
              <w:t>绿地</w:t>
            </w:r>
            <w:r>
              <w:rPr>
                <w:rFonts w:asciiTheme="minorEastAsia" w:hAnsiTheme="minorEastAsia" w:eastAsiaTheme="minorEastAsia"/>
                <w:color w:val="000000" w:themeColor="text1"/>
                <w:sz w:val="15"/>
                <w:szCs w:val="15"/>
                <w14:textFill>
                  <w14:solidFill>
                    <w14:schemeClr w14:val="tx1"/>
                  </w14:solidFill>
                </w14:textFill>
              </w:rPr>
              <w:t>面积较大等</w:t>
            </w:r>
            <w:r>
              <w:rPr>
                <w:rFonts w:hint="eastAsia" w:asciiTheme="minorEastAsia" w:hAnsiTheme="minorEastAsia" w:eastAsiaTheme="minorEastAsia"/>
                <w:color w:val="000000" w:themeColor="text1"/>
                <w:sz w:val="15"/>
                <w:szCs w:val="15"/>
                <w14:textFill>
                  <w14:solidFill>
                    <w14:schemeClr w14:val="tx1"/>
                  </w14:solidFill>
                </w14:textFill>
              </w:rPr>
              <w:t>情节</w:t>
            </w:r>
            <w:r>
              <w:rPr>
                <w:rFonts w:asciiTheme="minorEastAsia" w:hAnsiTheme="minorEastAsia" w:eastAsiaTheme="minorEastAsia"/>
                <w:color w:val="000000" w:themeColor="text1"/>
                <w:sz w:val="15"/>
                <w:szCs w:val="15"/>
                <w14:textFill>
                  <w14:solidFill>
                    <w14:schemeClr w14:val="tx1"/>
                  </w14:solidFill>
                </w14:textFill>
              </w:rPr>
              <w:t>较为严重的违法行为，可适用</w:t>
            </w:r>
            <w:r>
              <w:rPr>
                <w:rFonts w:hint="eastAsia" w:asciiTheme="minorEastAsia" w:hAnsiTheme="minorEastAsia" w:eastAsiaTheme="minorEastAsia"/>
                <w:color w:val="000000" w:themeColor="text1"/>
                <w:sz w:val="15"/>
                <w:szCs w:val="15"/>
                <w14:textFill>
                  <w14:solidFill>
                    <w14:schemeClr w14:val="tx1"/>
                  </w14:solidFill>
                </w14:textFill>
              </w:rPr>
              <w:t>《北京市绿化条例》中相关</w:t>
            </w:r>
            <w:r>
              <w:rPr>
                <w:rFonts w:asciiTheme="minorEastAsia" w:hAnsiTheme="minorEastAsia" w:eastAsiaTheme="minorEastAsia"/>
                <w:color w:val="000000" w:themeColor="text1"/>
                <w:sz w:val="15"/>
                <w:szCs w:val="15"/>
                <w14:textFill>
                  <w14:solidFill>
                    <w14:schemeClr w14:val="tx1"/>
                  </w14:solidFill>
                </w14:textFill>
              </w:rPr>
              <w:t>案由</w:t>
            </w:r>
            <w:r>
              <w:rPr>
                <w:rFonts w:hint="eastAsia" w:asciiTheme="minorEastAsia" w:hAnsiTheme="minorEastAsia" w:eastAsiaTheme="minorEastAsia"/>
                <w:color w:val="000000" w:themeColor="text1"/>
                <w:sz w:val="15"/>
                <w:szCs w:val="15"/>
                <w14:textFill>
                  <w14:solidFill>
                    <w14:schemeClr w14:val="tx1"/>
                  </w14:solidFill>
                </w14:textFill>
              </w:rPr>
              <w:t>依法</w:t>
            </w:r>
            <w:r>
              <w:rPr>
                <w:rFonts w:asciiTheme="minorEastAsia" w:hAnsiTheme="minorEastAsia" w:eastAsiaTheme="minorEastAsia"/>
                <w:color w:val="000000" w:themeColor="text1"/>
                <w:sz w:val="15"/>
                <w:szCs w:val="15"/>
                <w14:textFill>
                  <w14:solidFill>
                    <w14:schemeClr w14:val="tx1"/>
                  </w14:solidFill>
                </w14:textFill>
              </w:rPr>
              <w:t>查处</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7" w:name="_Toc1576301640"/>
            <w:bookmarkStart w:id="108" w:name="_Toc110851469"/>
            <w:bookmarkStart w:id="109" w:name="_Toc1707143538"/>
            <w:r>
              <w:rPr>
                <w:rFonts w:hint="eastAsia" w:asciiTheme="minorEastAsia" w:hAnsiTheme="minorEastAsia" w:eastAsiaTheme="minorEastAsia"/>
                <w:color w:val="000000" w:themeColor="text1"/>
                <w:sz w:val="15"/>
                <w:szCs w:val="15"/>
                <w14:textFill>
                  <w14:solidFill>
                    <w14:schemeClr w14:val="tx1"/>
                  </w14:solidFill>
                </w14:textFill>
              </w:rPr>
              <w:t>《北京市古树名木保护管理条例》案由11项</w:t>
            </w:r>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89"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对古树名木刻划钉钉（缠绕绳索、攀树折枝、剥损树皮）</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54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54"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2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借用古树名木树干做支撑物</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违反条款：第十二条第（二）项；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6"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5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擅自采摘古树名木果实</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违反条款：第十二条第（三）项；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81"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50"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2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在划定的范围内挖坑取土（动用明火、排放烟气、倾倒污水污物、堆放物料、修建建筑物构筑物）</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违反条款：第十二条第（四）项；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对古树名木损害较轻的，每株处以200元至1000元罚款；损害枝干或者根系的，处以损失额1倍至2倍的罚款；造成死亡的，处以损失额2倍至3倍罚款。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6"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80"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0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擅自移植古树名木</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违反条款：第十二条第（五）项、第十五条第二款；处罚条款：第二十二条 处以损失额1倍至2倍的罚款；造成死亡的，处以损失额2倍至3倍罚款。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1.擅自移植一级古树或者具有特殊历史价值和特别珍贵名木的，系数为1；2.造成古树名木树干皮层损伤部分超过树干周长50%，受伤根系超过全部根系40%，主枝损伤超过树冠50%的，系数1。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08"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3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擅自砍伐古树名木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违反条款：第十二条第（六）项；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处罚条款：第二十条 处以损失额3倍至5倍罚款。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1.擅自砍伐一级古树或者具有特殊历史价值和特别珍贵名木的，系数为1；2.造成古树名木死亡的，系数为1。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罚款数额＝损失额×（3＋情节系数＋变量系数）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损坏古树名木标志及附属设施</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违反条款：第六条；处罚条款：第十七条 责令恢复原貌，赔偿损失，并可处损失额1倍以下的罚款。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按照规定的执行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未按规定养护管理古树名木</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违反条款：第十一条第一款；处罚条款：第十八条第一款 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造成损伤的，每株处以500至2000元罚款；造成死亡的，每株处1万元至5万元罚款。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损伤一级古树或者具有特殊历史价值和特别珍贵名木的，系数为2。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未按要求对古树名木治理、复壮</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违反条款：第十一条第二款；处罚条款：第十八条第一款 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造成损伤的，每株处以500至2000元罚款；造成死亡的，每株处1万元至5万元罚款。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损伤一级古树或者具有特殊历史价值和特别珍贵名木的，系数为2。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擅自处理死亡古树名木</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违反条款：第十一条第三款；</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处罚条款：第十八条第二款 每株处以2000元至1万元罚款。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pStyle w:val="7"/>
              <w:spacing w:line="212" w:lineRule="exact"/>
              <w:jc w:val="both"/>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擅自处理死亡一级古树的，变量系数4；二级古树的，变量系数3；三级古树的，变量系数2。</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罚款数额＝2000×（1＋情节系数＋变量系数）×N。N为株数。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建设施工未按规定对古树名木</w:t>
            </w:r>
            <w:r>
              <w:rPr>
                <w:rFonts w:cs="宋体" w:asciiTheme="minorEastAsia" w:hAnsiTheme="minorEastAsia" w:eastAsiaTheme="minorEastAsia"/>
                <w:color w:val="000000" w:themeColor="text1"/>
                <w:kern w:val="0"/>
                <w:sz w:val="15"/>
                <w:szCs w:val="15"/>
                <w14:textFill>
                  <w14:solidFill>
                    <w14:schemeClr w14:val="tx1"/>
                  </w14:solidFill>
                </w14:textFill>
              </w:rPr>
              <w:t>采取避让保护措施</w:t>
            </w:r>
          </w:p>
        </w:tc>
        <w:tc>
          <w:tcPr>
            <w:tcW w:w="2789" w:type="dxa"/>
            <w:gridSpan w:val="3"/>
            <w:shd w:val="clear" w:color="auto" w:fill="auto"/>
            <w:vAlign w:val="center"/>
          </w:tcPr>
          <w:p>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处罚条款：第二十一条 责令停止施工。造成古树名木损害的，依照本条例有关规定处理。</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10" w:name="_Toc1242067558"/>
            <w:bookmarkStart w:id="111" w:name="_Toc465734653"/>
            <w:bookmarkStart w:id="112" w:name="_Toc110851470"/>
            <w:r>
              <w:rPr>
                <w:rFonts w:hint="eastAsia" w:asciiTheme="minorEastAsia" w:hAnsiTheme="minorEastAsia" w:eastAsiaTheme="minorEastAsia"/>
                <w:color w:val="000000" w:themeColor="text1"/>
                <w:sz w:val="15"/>
                <w:szCs w:val="15"/>
                <w14:textFill>
                  <w14:solidFill>
                    <w14:schemeClr w14:val="tx1"/>
                  </w14:solidFill>
                </w14:textFill>
              </w:rPr>
              <w:t>《北京市公园条例》案由</w:t>
            </w:r>
            <w:r>
              <w:rPr>
                <w:rFonts w:asciiTheme="minorEastAsia" w:hAnsiTheme="minorEastAsia" w:eastAsiaTheme="minorEastAsia"/>
                <w:color w:val="000000" w:themeColor="text1"/>
                <w:sz w:val="15"/>
                <w:szCs w:val="15"/>
                <w14:textFill>
                  <w14:solidFill>
                    <w14:schemeClr w14:val="tx1"/>
                  </w14:solidFill>
                </w14:textFill>
              </w:rPr>
              <w:t xml:space="preserve"> 18</w:t>
            </w:r>
            <w:r>
              <w:rPr>
                <w:rFonts w:hint="eastAsia" w:asciiTheme="minorEastAsia" w:hAnsiTheme="minorEastAsia" w:eastAsiaTheme="minorEastAsia"/>
                <w:color w:val="000000" w:themeColor="text1"/>
                <w:sz w:val="15"/>
                <w:szCs w:val="15"/>
                <w14:textFill>
                  <w14:solidFill>
                    <w14:schemeClr w14:val="tx1"/>
                  </w14:solidFill>
                </w14:textFill>
              </w:rPr>
              <w:t>项</w:t>
            </w:r>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翻越围墙、栏杆、绿篱</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第一款第（一）项 </w:t>
            </w:r>
            <w:r>
              <w:rPr>
                <w:rFonts w:cs="宋体" w:asciiTheme="minorEastAsia" w:hAnsiTheme="minorEastAsia" w:eastAsiaTheme="minorEastAsia"/>
                <w:color w:val="000000" w:themeColor="text1"/>
                <w:kern w:val="0"/>
                <w:sz w:val="15"/>
                <w:szCs w:val="15"/>
                <w14:textFill>
                  <w14:solidFill>
                    <w14:schemeClr w14:val="tx1"/>
                  </w14:solidFill>
                </w14:textFill>
              </w:rPr>
              <w:t>责令改正，并可以处20元以上50元以下罚款</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851"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在禁烟区吸烟</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在非游泳区游泳，在非滑冰区滑冰，在非钓鱼区钓鱼，在非体育运动场所踢球、滑旱冰</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随地吐痰、便溺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乱丢果皮等废弃物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gridSpan w:val="3"/>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营火、烧烤</w:t>
            </w:r>
          </w:p>
        </w:tc>
        <w:tc>
          <w:tcPr>
            <w:tcW w:w="2789" w:type="dxa"/>
            <w:gridSpan w:val="3"/>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第一款第（二）项 </w:t>
            </w:r>
            <w:r>
              <w:rPr>
                <w:rFonts w:cs="宋体" w:asciiTheme="minorEastAsia" w:hAnsiTheme="minorEastAsia" w:eastAsiaTheme="minorEastAsia"/>
                <w:color w:val="000000" w:themeColor="text1"/>
                <w:kern w:val="0"/>
                <w:sz w:val="15"/>
                <w:szCs w:val="15"/>
                <w14:textFill>
                  <w14:solidFill>
                    <w14:schemeClr w14:val="tx1"/>
                  </w14:solidFill>
                </w14:textFill>
              </w:rPr>
              <w:t>责令改正，并可以处50元以上100元以下罚款</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851" w:type="dxa"/>
            <w:gridSpan w:val="2"/>
            <w:vMerge w:val="restart"/>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vMerge w:val="restart"/>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按照《基准》规定的执行</w:t>
            </w:r>
          </w:p>
        </w:tc>
        <w:tc>
          <w:tcPr>
            <w:tcW w:w="1785"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w:t>
            </w:r>
          </w:p>
        </w:tc>
        <w:tc>
          <w:tcPr>
            <w:tcW w:w="2385"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捕捞、捕捉动物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采挖植物，恐吓、投打、伤害动物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在非投喂区投喂动物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在建筑物、构筑物、设施、树木上涂写、刻划</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 </w:t>
            </w:r>
          </w:p>
        </w:tc>
        <w:tc>
          <w:tcPr>
            <w:tcW w:w="2789" w:type="dxa"/>
            <w:gridSpan w:val="3"/>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第四十六</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第（三）项；处罚条款：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第一款第（三）项 </w:t>
            </w:r>
            <w:r>
              <w:rPr>
                <w:rFonts w:cs="宋体" w:asciiTheme="minorEastAsia" w:hAnsiTheme="minorEastAsia" w:eastAsiaTheme="minorEastAsia"/>
                <w:color w:val="000000" w:themeColor="text1"/>
                <w:kern w:val="0"/>
                <w:sz w:val="15"/>
                <w:szCs w:val="15"/>
                <w14:textFill>
                  <w14:solidFill>
                    <w14:schemeClr w14:val="tx1"/>
                  </w14:solidFill>
                </w14:textFill>
              </w:rPr>
              <w:t>给予警告，并处5元以上50元以下罚款</w:t>
            </w:r>
          </w:p>
        </w:tc>
        <w:tc>
          <w:tcPr>
            <w:tcW w:w="851"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 </w:t>
            </w:r>
          </w:p>
        </w:tc>
        <w:tc>
          <w:tcPr>
            <w:tcW w:w="1785"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攀折花木</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损坏草坪、树木</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擅自改变公园的功能</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十一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第（一）项 责令限期改正，恢复原功能，并可以处1万元以上10万元以下罚款。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1.改变</w:t>
            </w:r>
            <w:r>
              <w:rPr>
                <w:rFonts w:cs="宋体" w:asciiTheme="minorEastAsia" w:hAnsiTheme="minorEastAsia" w:eastAsiaTheme="minorEastAsia"/>
                <w:color w:val="000000" w:themeColor="text1"/>
                <w:kern w:val="0"/>
                <w:sz w:val="15"/>
                <w:szCs w:val="15"/>
                <w14:textFill>
                  <w14:solidFill>
                    <w14:schemeClr w14:val="tx1"/>
                  </w14:solidFill>
                </w14:textFill>
              </w:rPr>
              <w:t>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功能</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侵占公园用地</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十一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第（二）项 责令立即腾退，恢复原状，并可以按照侵占面积每平方米处300元罚款。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罚款数额＝侵占面积×300元。</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公园未经验收交付使用</w:t>
            </w:r>
          </w:p>
        </w:tc>
        <w:tc>
          <w:tcPr>
            <w:tcW w:w="2789" w:type="dxa"/>
            <w:gridSpan w:val="3"/>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十八</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二</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，责令改正，并可以处1万元以上10万元以下罚款。</w:t>
            </w:r>
          </w:p>
        </w:tc>
        <w:tc>
          <w:tcPr>
            <w:tcW w:w="851" w:type="dxa"/>
            <w:gridSpan w:val="2"/>
            <w:shd w:val="clear" w:color="auto" w:fill="auto"/>
            <w:vAlign w:val="center"/>
          </w:tcPr>
          <w:p>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1.公园建设工程已经完工，具备开园条件，但未经验收交付使用的，系数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-4；2.公园建设工程尚未完全完工，且未经验收交付使用的，系数5-9。</w:t>
            </w:r>
          </w:p>
        </w:tc>
        <w:tc>
          <w:tcPr>
            <w:tcW w:w="1785"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在历史名园保护区内建设影响原有风貌和格局的建筑物、构建物</w:t>
            </w:r>
          </w:p>
        </w:tc>
        <w:tc>
          <w:tcPr>
            <w:tcW w:w="2789" w:type="dxa"/>
            <w:gridSpan w:val="3"/>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二十九</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三</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 责令限期拆除，恢复原貌；对违法建设建筑物、构筑物的，并可以按照违法建筑物、构筑物的面积每平方米处300元以上3000元以下罚款。</w:t>
            </w:r>
          </w:p>
        </w:tc>
        <w:tc>
          <w:tcPr>
            <w:tcW w:w="851" w:type="dxa"/>
            <w:gridSpan w:val="2"/>
            <w:shd w:val="clear" w:color="auto" w:fill="auto"/>
            <w:vAlign w:val="center"/>
          </w:tcPr>
          <w:p>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1.面积500平方米以下（不含</w:t>
            </w:r>
            <w:r>
              <w:rPr>
                <w:rFonts w:cs="宋体" w:asciiTheme="minorEastAsia" w:hAnsiTheme="minorEastAsia" w:eastAsiaTheme="minorEastAsia"/>
                <w:color w:val="000000" w:themeColor="text1"/>
                <w:kern w:val="0"/>
                <w:sz w:val="15"/>
                <w:szCs w:val="15"/>
                <w14:textFill>
                  <w14:solidFill>
                    <w14:schemeClr w14:val="tx1"/>
                  </w14:solidFill>
                </w14:textFill>
              </w:rPr>
              <w:t>本数</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.违法建筑物、构筑物的面积500平方米以上不足1000平方米（不含</w:t>
            </w:r>
            <w:r>
              <w:rPr>
                <w:rFonts w:cs="宋体" w:asciiTheme="minorEastAsia" w:hAnsiTheme="minorEastAsia" w:eastAsiaTheme="minorEastAsia"/>
                <w:color w:val="000000" w:themeColor="text1"/>
                <w:kern w:val="0"/>
                <w:sz w:val="15"/>
                <w:szCs w:val="15"/>
                <w14:textFill>
                  <w14:solidFill>
                    <w14:schemeClr w14:val="tx1"/>
                  </w14:solidFill>
                </w14:textFill>
              </w:rPr>
              <w:t>本数</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）的，系数4</w:t>
            </w:r>
            <w:r>
              <w:rPr>
                <w:rFonts w:cs="宋体"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.违法建筑物、构筑物的面积1000平方米以上的，系数7-9。</w:t>
            </w:r>
          </w:p>
        </w:tc>
        <w:tc>
          <w:tcPr>
            <w:tcW w:w="1785"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罚款数额＝300×（1＋情节系数＋变量系数）×面积。</w:t>
            </w:r>
          </w:p>
        </w:tc>
        <w:tc>
          <w:tcPr>
            <w:tcW w:w="2385"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对原有文物建筑及其附属物损毁、改建、拆除的，按照文物保护的法律、法规规定予以处罚和赔偿。</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擅自改变无法以人力再造和无法再生的自然景观</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四</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 责令停止违法行为，并处1万元以上10万元以下罚款。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造成损失的，依法承担赔偿责任；构成犯罪的，依法追究刑事责任。</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擅自改变具有特殊历史文化价值的人文景观原有风貌和格局</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四</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，责令停止违法行为，并处1万元以上10万元以下罚款。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公园管理机构未按照标准做好清扫保洁</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三十六</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第一款第</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六</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项，责令改正，并可以处100元以上1000元以下罚款。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在公园内搭建棚舍、擅自摆摊设点</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三十七</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kern w:val="0"/>
                <w:sz w:val="15"/>
                <w:szCs w:val="15"/>
                <w14:textFill>
                  <w14:solidFill>
                    <w14:schemeClr w14:val="tx1"/>
                  </w14:solidFill>
                </w14:textFill>
              </w:rPr>
              <w:t>二</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项，责令改正，并可以处100元以上1000元以下罚款。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5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在公园内随意堆放物料、拉绳挂物</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w:t>
            </w:r>
            <w:r>
              <w:rPr>
                <w:rFonts w:cs="宋体" w:asciiTheme="minorEastAsia" w:hAnsiTheme="minorEastAsia" w:eastAsiaTheme="minorEastAsia"/>
                <w:color w:val="000000" w:themeColor="text1"/>
                <w:spacing w:val="-4"/>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三十七</w:t>
            </w:r>
            <w:r>
              <w:rPr>
                <w:rFonts w:cs="宋体" w:asciiTheme="minorEastAsia" w:hAnsiTheme="minorEastAsia" w:eastAsiaTheme="minorEastAsia"/>
                <w:color w:val="000000" w:themeColor="text1"/>
                <w:spacing w:val="-4"/>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；处罚条款：</w:t>
            </w:r>
            <w:r>
              <w:rPr>
                <w:rFonts w:cs="宋体" w:asciiTheme="minorEastAsia" w:hAnsiTheme="minorEastAsia" w:eastAsiaTheme="minorEastAsia"/>
                <w:color w:val="000000" w:themeColor="text1"/>
                <w:spacing w:val="-4"/>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五</w:t>
            </w:r>
            <w:r>
              <w:rPr>
                <w:rFonts w:cs="宋体" w:asciiTheme="minorEastAsia" w:hAnsiTheme="minorEastAsia" w:eastAsiaTheme="minorEastAsia"/>
                <w:color w:val="000000" w:themeColor="text1"/>
                <w:spacing w:val="-4"/>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三</w:t>
            </w:r>
            <w:r>
              <w:rPr>
                <w:rFonts w:cs="宋体" w:asciiTheme="minorEastAsia" w:hAnsiTheme="minorEastAsia" w:eastAsiaTheme="minorEastAsia"/>
                <w:color w:val="000000" w:themeColor="text1"/>
                <w:spacing w:val="-4"/>
                <w:kern w:val="0"/>
                <w:sz w:val="15"/>
                <w:szCs w:val="15"/>
                <w14:textFill>
                  <w14:solidFill>
                    <w14:schemeClr w14:val="tx1"/>
                  </w14:solidFill>
                </w14:textFill>
              </w:rPr>
              <w:t>）</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项，责令改正，并可以处100元以上1000元以下罚款。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9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公园内牌示污损、丢失不及时更换或者补设</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三十八</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kern w:val="0"/>
                <w:sz w:val="15"/>
                <w:szCs w:val="15"/>
                <w14:textFill>
                  <w14:solidFill>
                    <w14:schemeClr w14:val="tx1"/>
                  </w14:solidFill>
                </w14:textFill>
              </w:rPr>
              <w:t>四</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项，责令改正，并可以处100元以上1000元以下罚款。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在公园内追逐游客强行兜售物品</w:t>
            </w:r>
          </w:p>
        </w:tc>
        <w:tc>
          <w:tcPr>
            <w:tcW w:w="2789" w:type="dxa"/>
            <w:gridSpan w:val="3"/>
            <w:shd w:val="clear" w:color="auto" w:fill="auto"/>
            <w:vAlign w:val="center"/>
          </w:tcPr>
          <w:p>
            <w:pPr>
              <w:spacing w:line="27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七条；处罚条款：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七</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，责令改正，没收违法所得，并处50元以上500元以下罚款。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81" w:hRule="atLeast"/>
        </w:trPr>
        <w:tc>
          <w:tcPr>
            <w:tcW w:w="14329" w:type="dxa"/>
            <w:gridSpan w:val="19"/>
            <w:shd w:val="clear" w:color="auto" w:fill="auto"/>
            <w:vAlign w:val="center"/>
          </w:tcPr>
          <w:p>
            <w:pPr>
              <w:pStyle w:val="2"/>
              <w:rPr>
                <w:rFonts w:ascii="黑体" w:hAnsi="黑体" w:eastAsia="黑体" w:cs="宋体"/>
                <w:color w:val="000000" w:themeColor="text1"/>
                <w:kern w:val="0"/>
                <w14:textFill>
                  <w14:solidFill>
                    <w14:schemeClr w14:val="tx1"/>
                  </w14:solidFill>
                </w14:textFill>
              </w:rPr>
            </w:pPr>
            <w:bookmarkStart w:id="113" w:name="_Toc184630334"/>
            <w:r>
              <w:rPr>
                <w:rFonts w:hint="eastAsia" w:ascii="黑体" w:hAnsi="黑体" w:eastAsia="黑体" w:cs="黑体"/>
                <w:b w:val="0"/>
                <w:bCs w:val="0"/>
              </w:rPr>
              <w:t>环境保护管理方面</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jc w:val="center"/>
              <w:rPr>
                <w:rFonts w:asciiTheme="minorEastAsia" w:hAnsiTheme="minorEastAsia" w:eastAsiaTheme="minorEastAsia"/>
                <w:color w:val="000000" w:themeColor="text1"/>
                <w:szCs w:val="15"/>
                <w14:textFill>
                  <w14:solidFill>
                    <w14:schemeClr w14:val="tx1"/>
                  </w14:solidFill>
                </w14:textFill>
              </w:rPr>
            </w:pPr>
            <w:bookmarkStart w:id="114" w:name="_Toc818932803"/>
            <w:r>
              <w:rPr>
                <w:rFonts w:hint="eastAsia"/>
                <w:sz w:val="15"/>
                <w:szCs w:val="15"/>
              </w:rPr>
              <w:t>《中华人民共和国大气污染防治法》案由18项</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施工单位未设置硬质围挡</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1.未按标准设置围挡长度16-30米的，系数1；31-45米的，系数2，以此类推；2.期间发生危害公共安全行为的，系数9。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施工单位未采取有效防尘降尘措施</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施工单位未及时清运建筑土方（工程渣土、建筑垃圾）</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1.垃圾占地面积10㎡</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sz w:val="15"/>
                <w:szCs w:val="15"/>
                <w14:textFill>
                  <w14:solidFill>
                    <w14:schemeClr w14:val="tx1"/>
                  </w14:solidFill>
                </w14:textFill>
              </w:rPr>
              <w:t>0；11－15㎡</w:t>
            </w:r>
            <w:r>
              <w:rPr>
                <w:rFonts w:hint="eastAsia" w:cs="仿宋_GB2312" w:asciiTheme="minorEastAsia" w:hAnsiTheme="minorEastAsia" w:eastAsiaTheme="minorEastAsia"/>
                <w:color w:val="000000" w:themeColor="text1"/>
                <w:sz w:val="15"/>
                <w:szCs w:val="15"/>
                <w14:textFill>
                  <w14:solidFill>
                    <w14:schemeClr w14:val="tx1"/>
                  </w14:solidFill>
                </w14:textFill>
              </w:rPr>
              <w:t>的，系</w:t>
            </w:r>
            <w:r>
              <w:rPr>
                <w:rFonts w:hint="eastAsia" w:cs="宋体" w:asciiTheme="minorEastAsia" w:hAnsiTheme="minorEastAsia" w:eastAsiaTheme="minorEastAsia"/>
                <w:color w:val="000000" w:themeColor="text1"/>
                <w:sz w:val="15"/>
                <w:szCs w:val="15"/>
                <w14:textFill>
                  <w14:solidFill>
                    <w14:schemeClr w14:val="tx1"/>
                  </w14:solidFill>
                </w14:textFill>
              </w:rPr>
              <w:t>数1；16－20㎡</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cs="宋体" w:asciiTheme="minorEastAsia" w:hAnsiTheme="minorEastAsia" w:eastAsiaTheme="minorEastAsia"/>
                <w:color w:val="000000" w:themeColor="text1"/>
                <w:sz w:val="15"/>
                <w:szCs w:val="15"/>
                <w14:textFill>
                  <w14:solidFill>
                    <w14:schemeClr w14:val="tx1"/>
                  </w14:solidFill>
                </w14:textFill>
              </w:rPr>
              <w:t>2，以此类推。2.逾期不清的，每逾期2天，系数为１，以此累加。</w:t>
            </w:r>
            <w:r>
              <w:rPr>
                <w:rFonts w:hint="eastAsia" w:asciiTheme="minorEastAsia" w:hAnsiTheme="minorEastAsia" w:eastAsiaTheme="minorEastAsia"/>
                <w:color w:val="000000" w:themeColor="text1"/>
                <w:sz w:val="15"/>
                <w:szCs w:val="15"/>
                <w14:textFill>
                  <w14:solidFill>
                    <w14:schemeClr w14:val="tx1"/>
                  </w14:solidFill>
                </w14:textFill>
              </w:rPr>
              <w:t>3.造成尘土飞扬，严重污染环境的，系数为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施工单位未采用密闭式防尘网遮盖建筑土方（工程渣土、建筑垃圾）</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cs="宋体"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cs="宋体"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建设单位未对暂不开工的建设用地裸露地面进行覆盖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以内，变量系数为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1000</w:t>
            </w:r>
            <w:r>
              <w:rPr>
                <w:rFonts w:hint="eastAsia" w:asciiTheme="minorEastAsia" w:hAnsiTheme="minorEastAsia" w:eastAsiaTheme="minorEastAsia"/>
                <w:color w:val="000000" w:themeColor="text1"/>
                <w:sz w:val="15"/>
                <w:szCs w:val="15"/>
                <w14:textFill>
                  <w14:solidFill>
                    <w14:schemeClr w14:val="tx1"/>
                  </w14:solidFill>
                </w14:textFill>
              </w:rPr>
              <w:t>－15</w:t>
            </w:r>
            <w:r>
              <w:rPr>
                <w:rFonts w:asciiTheme="minorEastAsia" w:hAnsiTheme="minorEastAsia" w:eastAsiaTheme="minorEastAsia"/>
                <w:color w:val="000000" w:themeColor="text1"/>
                <w:sz w:val="15"/>
                <w:szCs w:val="15"/>
                <w14:textFill>
                  <w14:solidFill>
                    <w14:schemeClr w14:val="tx1"/>
                  </w14:solidFill>
                </w14:textFill>
              </w:rPr>
              <w:t>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w:t>
            </w:r>
            <w:r>
              <w:rPr>
                <w:rFonts w:asciiTheme="minorEastAsia" w:hAnsiTheme="minorEastAsia" w:eastAsiaTheme="minorEastAsia"/>
                <w:color w:val="000000" w:themeColor="text1"/>
                <w:sz w:val="15"/>
                <w:szCs w:val="15"/>
                <w14:textFill>
                  <w14:solidFill>
                    <w14:schemeClr w14:val="tx1"/>
                  </w14:solidFill>
                </w14:textFill>
              </w:rPr>
              <w:t>500</w:t>
            </w:r>
            <w:r>
              <w:rPr>
                <w:rFonts w:hint="eastAsia" w:asciiTheme="minorEastAsia" w:hAnsiTheme="minorEastAsia" w:eastAsiaTheme="minorEastAsia"/>
                <w:color w:val="000000" w:themeColor="text1"/>
                <w:sz w:val="15"/>
                <w:szCs w:val="15"/>
                <w14:textFill>
                  <w14:solidFill>
                    <w14:schemeClr w14:val="tx1"/>
                  </w14:solidFill>
                </w14:textFill>
              </w:rPr>
              <w:t>－2000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r>
              <w:rPr>
                <w:rFonts w:hint="eastAsia" w:cs="宋体" w:asciiTheme="minorEastAsia" w:hAnsiTheme="minorEastAsia" w:eastAsiaTheme="minorEastAsia"/>
                <w:color w:val="000000" w:themeColor="text1"/>
                <w:kern w:val="0"/>
                <w:sz w:val="15"/>
                <w:szCs w:val="15"/>
                <w14:textFill>
                  <w14:solidFill>
                    <w14:schemeClr w14:val="tx1"/>
                  </w14:solidFill>
                </w14:textFill>
              </w:rPr>
              <w:t>；2.尘土飞扬，对环境造成严重影响的，系数9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建设单位未对超过三个月不能开工的建设用地裸露地面进行绿化、铺装或者遮盖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以内，变量系数为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1000</w:t>
            </w:r>
            <w:r>
              <w:rPr>
                <w:rFonts w:hint="eastAsia" w:asciiTheme="minorEastAsia" w:hAnsiTheme="minorEastAsia" w:eastAsiaTheme="minorEastAsia"/>
                <w:color w:val="000000" w:themeColor="text1"/>
                <w:sz w:val="15"/>
                <w:szCs w:val="15"/>
                <w14:textFill>
                  <w14:solidFill>
                    <w14:schemeClr w14:val="tx1"/>
                  </w14:solidFill>
                </w14:textFill>
              </w:rPr>
              <w:t>－15</w:t>
            </w:r>
            <w:r>
              <w:rPr>
                <w:rFonts w:asciiTheme="minorEastAsia" w:hAnsiTheme="minorEastAsia" w:eastAsiaTheme="minorEastAsia"/>
                <w:color w:val="000000" w:themeColor="text1"/>
                <w:sz w:val="15"/>
                <w:szCs w:val="15"/>
                <w14:textFill>
                  <w14:solidFill>
                    <w14:schemeClr w14:val="tx1"/>
                  </w14:solidFill>
                </w14:textFill>
              </w:rPr>
              <w:t>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w:t>
            </w:r>
            <w:r>
              <w:rPr>
                <w:rFonts w:asciiTheme="minorEastAsia" w:hAnsiTheme="minorEastAsia" w:eastAsiaTheme="minorEastAsia"/>
                <w:color w:val="000000" w:themeColor="text1"/>
                <w:sz w:val="15"/>
                <w:szCs w:val="15"/>
                <w14:textFill>
                  <w14:solidFill>
                    <w14:schemeClr w14:val="tx1"/>
                  </w14:solidFill>
                </w14:textFill>
              </w:rPr>
              <w:t>500</w:t>
            </w:r>
            <w:r>
              <w:rPr>
                <w:rFonts w:hint="eastAsia" w:asciiTheme="minorEastAsia" w:hAnsiTheme="minorEastAsia" w:eastAsiaTheme="minorEastAsia"/>
                <w:color w:val="000000" w:themeColor="text1"/>
                <w:sz w:val="15"/>
                <w:szCs w:val="15"/>
                <w14:textFill>
                  <w14:solidFill>
                    <w14:schemeClr w14:val="tx1"/>
                  </w14:solidFill>
                </w14:textFill>
              </w:rPr>
              <w:t>－2000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r>
              <w:rPr>
                <w:rFonts w:hint="eastAsia" w:cs="宋体" w:asciiTheme="minorEastAsia" w:hAnsiTheme="minorEastAsia" w:eastAsiaTheme="minorEastAsia"/>
                <w:color w:val="000000" w:themeColor="text1"/>
                <w:kern w:val="0"/>
                <w:sz w:val="15"/>
                <w:szCs w:val="15"/>
                <w14:textFill>
                  <w14:solidFill>
                    <w14:schemeClr w14:val="tx1"/>
                  </w14:solidFill>
                </w14:textFill>
              </w:rPr>
              <w:t>；2.尘土飞扬，对环境造成严重影响的，系数9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运输散装、流体物料车辆未采取密闭或者其它措施防止物料遗撒</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违反条款：第七十条第一款；处罚条款：第一百一十六条：责令改正，处二千元以上二万元以下的罚款；拒不改正的，车辆不得上道路行驶。</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车辆同时存在不符合条件、未安装卫星定位系统、未密闭等2种以上（含2种）行为的，系数4；造成泄漏遗撒的，系数4-9。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2000×（1+区域系数+情节系数+变量系数）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易产生扬尘的物料未密闭贮存</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违反条款：第七十二条第一款；处罚条款：第一百一十七条第（一）项：责令改正，处一万元以上十万元以下的罚款；拒不改正的，责令停工整治或者停业整治：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以下的，系数0；11－25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的，系数1；26－40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系数2，以此类推。2.造成尘土飞扬，严重污染环境的，系数为9。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6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易产生扬尘的物料不能密闭贮存的，未按规定设置围挡或者未采取有效覆盖措施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违反条款：第七十二条第一款；处罚条款：第一百一十七条第（二）项：责令改正，处一万元以上十万元以下的罚款；拒不改正的，责令停工整治或者停业整治：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2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装卸物料未采取密闭或者喷淋等方式控制扬尘</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违反条款：第七十条第二款；处罚条款：第一百一十七条第（三）项：责令改正，处一万元以上十万元以下的罚款；拒不改正的，责令停工整治或者停业整治：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尘土飞扬，对环境造成严重影响的，系数5-9。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填埋场（消纳场）未采取有效措施防治扬尘污染</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违反条款：第七十二条第二款；处罚条款：第一百一十七条第（五）项：责令改正，处一万元以上十万元以下的罚款；拒不改正的，责令停工整治或者停业整治：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产生较大环境污染或者社会影响的，系数为5-8；造成社会恶劣影响或者其它严重后果的，系数为9。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3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露天焚烧秸秆（落叶）等产生烟尘污染的物质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违反条款：第七十七条；处罚条款：第一百一十九条第一款：责令改正，并可以处五百元以上二千元以下的罚款。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1.对大气环境或者生产生活造成较大影响的，系数2-3；2.导致其它事故发生的，系数3。</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36"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焚烧沥青（油毡、橡胶、塑料、皮革、垃圾）等产生有毒有害烟尘和恶臭气体的物质</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违反条款：第八十二条第一款；处罚条款：第一百一十九条第二款：责令改正，对单位处一万元以上十万元以下的罚款，对个人处五百元以上二千元以下的罚款。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1.对大气环境或者生产生活造成较大影响的，系数5-9；2.导致其它事故发生的，系数9。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1.对大气环境或者生产生活造成较大影响的，系数2-3；2.导致其它事故发生的，系数3。</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违反规定露天烧烤食品</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违反条款：第八十一条第三款；处罚条款：第一百一十八条第三款：责令改正，没收烧烤工具和违法所得，并处五百元以上二万元以下的罚款。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1.占用无障碍设施或者机动车道、绿地的，系数为2；2.占用其它公共场地面积较大，或者造成通行秩序、市容环境秩序较为混乱的，系数为2。</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对初次违法，存在生活困难，需酌情给予500以下罚款的，说明理由，报案审会决定，可按照“无照经营”等案由处理。</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根据案件情形，需要作出公式之外其它罚款额度处罚的，报案审会决定。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违反规定为露天烧烤食品提供场地</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违反条款：第八十一条第三款；处罚条款：第一百一十八条第三款：责令改正，没收烧烤工具和违法所得，并处五百元以上二万元以下的罚款。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需酌情给予2000以下罚款的，说明理由，报案审会决定。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拒不执行停止工地土石方作业（建筑物拆除施工）等重污染天气应急措施</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1.按照空气重污染预警级别，预警三级(黄)，系数3；预警二级(橙)，系数6；预警一级(红)，系数9；2.拒不停止土石方作业或者拆除施工作业，且未采取相关有效防尘措施污染严重的，系数9。</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市政府的预警级别和应对措施请参照《北京市空气重污染应急预案（试行）》。</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注意与《北京市大气污染防治条例》中“拒不执行空气重污染应急措施”的衔接运用。</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拒不接受大气环境保护监督检查</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违反条款：第九十八条；处罚条款：第九十八条：责令改正，处二万元以上二十万元以下的罚款；构成违反治安管理行为的，由公安机关依法予以处罚。</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1.经责令改正，仍拒不接受监督检查的，系数为4；2.空气重污染预警期间，拒不接受监督检查的，系数4；3.造成大气污染或者不良社会影响等较为严重情形之一的，系数为4-9。</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《基准》3.2.2“拒不配合”的情形，不纳入本案由情节系数。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78" w:hRule="atLeast"/>
        </w:trPr>
        <w:tc>
          <w:tcPr>
            <w:tcW w:w="940" w:type="dxa"/>
            <w:gridSpan w:val="3"/>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tcBorders>
              <w:bottom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接受大气环境保护监督检查时弄虚作假</w:t>
            </w:r>
          </w:p>
        </w:tc>
        <w:tc>
          <w:tcPr>
            <w:tcW w:w="2789" w:type="dxa"/>
            <w:gridSpan w:val="3"/>
            <w:tcBorders>
              <w:bottom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违反条款：第二十九条、第九十八条；处罚条款：第九十八条：责令改正，处二万元以上二十万元以下的罚款；构成违反治安管理行为的，由公安机关依法予以处罚。</w:t>
            </w:r>
          </w:p>
        </w:tc>
        <w:tc>
          <w:tcPr>
            <w:tcW w:w="851" w:type="dxa"/>
            <w:gridSpan w:val="2"/>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bottom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1.经责令改正，仍弄虚作假的，系数为4；2.空气重污染预警期间，弄虚作假的，系数4；3.造成大气污染或者不良社会影响等较为严重情形之一的，系数为4-9。</w:t>
            </w:r>
          </w:p>
        </w:tc>
        <w:tc>
          <w:tcPr>
            <w:tcW w:w="1785" w:type="dxa"/>
            <w:gridSpan w:val="2"/>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tcBorders>
              <w:bottom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《基准》3.2.2“虚假陈述”的情形，不纳入本案由情节系数。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2" w:hRule="atLeast"/>
        </w:trPr>
        <w:tc>
          <w:tcPr>
            <w:tcW w:w="14329" w:type="dxa"/>
            <w:gridSpan w:val="19"/>
            <w:tcBorders>
              <w:bottom w:val="single" w:color="auto" w:sz="4" w:space="0"/>
            </w:tcBorders>
            <w:shd w:val="clear" w:color="auto" w:fill="auto"/>
            <w:vAlign w:val="center"/>
          </w:tcPr>
          <w:p>
            <w:pPr>
              <w:pStyle w:val="3"/>
              <w:jc w:val="center"/>
              <w:rPr>
                <w:rFonts w:asciiTheme="minorEastAsia" w:hAnsiTheme="minorEastAsia" w:eastAsiaTheme="minorEastAsia"/>
                <w:color w:val="000000" w:themeColor="text1"/>
                <w:szCs w:val="15"/>
                <w14:textFill>
                  <w14:solidFill>
                    <w14:schemeClr w14:val="tx1"/>
                  </w14:solidFill>
                </w14:textFill>
              </w:rPr>
            </w:pPr>
            <w:bookmarkStart w:id="115" w:name="_Toc1349040002"/>
            <w:r>
              <w:rPr>
                <w:rFonts w:hint="eastAsia"/>
                <w:sz w:val="15"/>
                <w:szCs w:val="15"/>
              </w:rPr>
              <w:t>《北京市大气污染防治条例》案由8项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拒不执行空气重污染应急措施</w:t>
            </w:r>
          </w:p>
        </w:tc>
        <w:tc>
          <w:tcPr>
            <w:tcW w:w="2789" w:type="dxa"/>
            <w:gridSpan w:val="3"/>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违反条款：第二十条第二款、第三款；处罚条款：第九十一条第一款：处一万元以上十万元以下罚款。</w:t>
            </w:r>
          </w:p>
        </w:tc>
        <w:tc>
          <w:tcPr>
            <w:tcW w:w="851"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tcBorders>
              <w:top w:val="single" w:color="auto" w:sz="4" w:space="0"/>
            </w:tcBorders>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在居民住宅楼（或未配套设立专用烟道的商住综合楼，或商住综合楼与居住层相邻的商业楼层）新建（或改建、扩建）产生油烟（异味、废气）的餐饮服务（干洗、汽修等）项目</w:t>
            </w:r>
          </w:p>
        </w:tc>
        <w:tc>
          <w:tcPr>
            <w:tcW w:w="2789" w:type="dxa"/>
            <w:gridSpan w:val="3"/>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违反条款：第五十九条第二款；处罚条款：第一百零八条第二款，责令改正；拒不改正的，予以关闭，并处一万元以上十万元以下罚款。</w:t>
            </w:r>
          </w:p>
        </w:tc>
        <w:tc>
          <w:tcPr>
            <w:tcW w:w="851" w:type="dxa"/>
            <w:gridSpan w:val="2"/>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产生较大环境污染或者社会影响的，系数为5-8；造成事故或者其它社会恶劣影响的，系数为9。</w:t>
            </w:r>
          </w:p>
        </w:tc>
        <w:tc>
          <w:tcPr>
            <w:tcW w:w="1785"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露天焚烧秸秆（树叶、枯草）</w:t>
            </w:r>
          </w:p>
        </w:tc>
        <w:tc>
          <w:tcPr>
            <w:tcW w:w="2789" w:type="dxa"/>
            <w:gridSpan w:val="3"/>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违反条款：第六十一条第一款；处罚条款：第一百一十条第一款：责令改正，可以处五百元以上二千元以下罚款。</w:t>
            </w:r>
          </w:p>
        </w:tc>
        <w:tc>
          <w:tcPr>
            <w:tcW w:w="851" w:type="dxa"/>
            <w:gridSpan w:val="2"/>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1.对大气环境或者生产生活造成较大影响的，系数2-3；2.导致其它事故发生的，系数3。</w:t>
            </w:r>
          </w:p>
        </w:tc>
        <w:tc>
          <w:tcPr>
            <w:tcW w:w="1785"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vMerge w:val="restart"/>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露天焚烧垃圾（电子废物、油毡、橡胶、塑料、皮革、沥青）</w:t>
            </w:r>
          </w:p>
        </w:tc>
        <w:tc>
          <w:tcPr>
            <w:tcW w:w="2789" w:type="dxa"/>
            <w:gridSpan w:val="3"/>
            <w:vMerge w:val="restart"/>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违反条款：第六十一条第一款；处罚条款：第一百一十条第一款：责令改正，对单位处以一万元以上十万元以下罚款，对个人处五百元以上二千元以下罚款。</w:t>
            </w:r>
          </w:p>
        </w:tc>
        <w:tc>
          <w:tcPr>
            <w:tcW w:w="851" w:type="dxa"/>
            <w:gridSpan w:val="2"/>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w:t>
            </w:r>
          </w:p>
        </w:tc>
        <w:tc>
          <w:tcPr>
            <w:tcW w:w="567" w:type="dxa"/>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6"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1.对大气环境或者生产生活造成较大影响的，系数5-9；2.导致其它事故发生的，系数9。</w:t>
            </w:r>
          </w:p>
        </w:tc>
        <w:tc>
          <w:tcPr>
            <w:tcW w:w="1785"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gridSpan w:val="2"/>
            <w:vMerge w:val="restart"/>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vMerge w:val="restart"/>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（对个人）</w:t>
            </w:r>
          </w:p>
        </w:tc>
        <w:tc>
          <w:tcPr>
            <w:tcW w:w="567" w:type="dxa"/>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1.对大气环境或者生产生活造成较大影响的，系数2-3；2.导致事故发生或者其它恶劣影响的，系数为3。</w:t>
            </w:r>
          </w:p>
        </w:tc>
        <w:tc>
          <w:tcPr>
            <w:tcW w:w="1785"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500×（1+区域系数+情节系数+变量系数）</w:t>
            </w:r>
          </w:p>
        </w:tc>
        <w:tc>
          <w:tcPr>
            <w:tcW w:w="2385" w:type="dxa"/>
            <w:gridSpan w:val="2"/>
            <w:vMerge w:val="continue"/>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违反规定露天烧烤食品</w:t>
            </w:r>
          </w:p>
        </w:tc>
        <w:tc>
          <w:tcPr>
            <w:tcW w:w="2789" w:type="dxa"/>
            <w:gridSpan w:val="3"/>
            <w:shd w:val="clear" w:color="auto" w:fill="auto"/>
            <w:vAlign w:val="center"/>
          </w:tcPr>
          <w:p>
            <w:pPr>
              <w:overflowPunct w:val="0"/>
              <w:adjustRightInd w:val="0"/>
              <w:snapToGrid w:val="0"/>
              <w:spacing w:line="240" w:lineRule="exact"/>
              <w:rPr>
                <w:rFonts w:asciiTheme="minorEastAsia" w:hAnsiTheme="minorEastAsia" w:eastAsiaTheme="minorEastAsia"/>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违反条款：第六十一条第二款；处罚条款：第一百一十条第二款：</w:t>
            </w:r>
            <w:r>
              <w:rPr>
                <w:rFonts w:asciiTheme="minorEastAsia" w:hAnsiTheme="minorEastAsia" w:eastAsiaTheme="minorEastAsia"/>
                <w:color w:val="000000" w:themeColor="text1"/>
                <w:kern w:val="32"/>
                <w:sz w:val="15"/>
                <w:szCs w:val="15"/>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1.占用无障碍设施或者机动车道、绿地的，系数为2；2.占用其它公共场地面积较大，或者造成通行秩序、市容环境秩序较为混乱的，系数为2。</w:t>
            </w:r>
          </w:p>
        </w:tc>
        <w:tc>
          <w:tcPr>
            <w:tcW w:w="17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500×（1+区域系数+情节系数+变量系数）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对初次违法，存在生活困难，需酌情给予500以下罚款的，说明理由，报案审会决定，可按照“无照经营”等案由处理。</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根据案件情形，需要作出公式之外其它罚款额度处罚的，报案审会决定。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为露天烧烤食品提供场地</w:t>
            </w:r>
          </w:p>
        </w:tc>
        <w:tc>
          <w:tcPr>
            <w:tcW w:w="2789" w:type="dxa"/>
            <w:gridSpan w:val="3"/>
            <w:shd w:val="clear" w:color="auto" w:fill="auto"/>
            <w:vAlign w:val="center"/>
          </w:tcPr>
          <w:p>
            <w:pPr>
              <w:overflowPunct w:val="0"/>
              <w:adjustRightInd w:val="0"/>
              <w:snapToGrid w:val="0"/>
              <w:spacing w:line="240" w:lineRule="exact"/>
              <w:rPr>
                <w:rFonts w:asciiTheme="minorEastAsia" w:hAnsiTheme="minorEastAsia" w:eastAsiaTheme="minorEastAsia"/>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违反条款：第六十一条第二款； 处罚条款：第一百一十条第二款：</w:t>
            </w:r>
            <w:r>
              <w:rPr>
                <w:rFonts w:asciiTheme="minorEastAsia" w:hAnsiTheme="minorEastAsia" w:eastAsiaTheme="minorEastAsia"/>
                <w:color w:val="000000" w:themeColor="text1"/>
                <w:kern w:val="32"/>
                <w:sz w:val="15"/>
                <w:szCs w:val="15"/>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gridSpan w:val="2"/>
            <w:shd w:val="clear" w:color="auto" w:fill="auto"/>
            <w:vAlign w:val="center"/>
          </w:tcPr>
          <w:p>
            <w:pPr>
              <w:spacing w:line="24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需酌情给予2000以下罚款的，说明理由，报案审会决定。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7</w:t>
            </w:r>
          </w:p>
        </w:tc>
        <w:tc>
          <w:tcPr>
            <w:tcW w:w="1500"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运输散装、流体物料车辆不符合条件（未安装卫星定位系统、未密闭运输）</w:t>
            </w:r>
          </w:p>
        </w:tc>
        <w:tc>
          <w:tcPr>
            <w:tcW w:w="2789" w:type="dxa"/>
            <w:gridSpan w:val="3"/>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违反条款：第八十三条；处罚条款：第一百二十一条：责令改正，处二千元以上二万以下罚款；拒不改正的，车辆不得上道路行驶。</w:t>
            </w:r>
          </w:p>
        </w:tc>
        <w:tc>
          <w:tcPr>
            <w:tcW w:w="851"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车辆同时存在不符合条件、未安装卫星定位系统、未密闭等2种以上（含2种）行为的，系数4；造成泄漏遗撒的，系数4-9。</w:t>
            </w:r>
          </w:p>
        </w:tc>
        <w:tc>
          <w:tcPr>
            <w:tcW w:w="17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2000×（1+区域系数+情节系数+变量系数）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74" w:hRule="atLeast"/>
        </w:trPr>
        <w:tc>
          <w:tcPr>
            <w:tcW w:w="940" w:type="dxa"/>
            <w:gridSpan w:val="3"/>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建筑垃圾资源化处置场（渣土消纳场、燃煤电厂贮灰场、垃圾填埋场）未实施分区作业或者未采取措施防治扬尘污染</w:t>
            </w:r>
          </w:p>
        </w:tc>
        <w:tc>
          <w:tcPr>
            <w:tcW w:w="2789" w:type="dxa"/>
            <w:gridSpan w:val="3"/>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违反条款：第八十四条；处罚条款：第一百二十二条，责令限期改正，处一万元以上十万元以下罚款；拒不改正的，责令停工整治或者停业整治。</w:t>
            </w:r>
          </w:p>
        </w:tc>
        <w:tc>
          <w:tcPr>
            <w:tcW w:w="851"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auto"/>
            <w:vAlign w:val="center"/>
          </w:tcPr>
          <w:p>
            <w:pPr>
              <w:spacing w:line="24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产生较大环境污染或者社会影响的，系数为5-8；造成社会恶劣影响或者其它严重后果的，系数为9。</w:t>
            </w:r>
          </w:p>
        </w:tc>
        <w:tc>
          <w:tcPr>
            <w:tcW w:w="17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16" w:name="_Toc1454724594"/>
            <w:bookmarkStart w:id="117" w:name="_Toc110851471"/>
            <w:bookmarkStart w:id="118" w:name="_Toc1745180410"/>
            <w:r>
              <w:rPr>
                <w:rFonts w:hint="eastAsia" w:asciiTheme="minorEastAsia" w:hAnsiTheme="minorEastAsia" w:eastAsiaTheme="minorEastAsia"/>
                <w:color w:val="000000" w:themeColor="text1"/>
                <w:sz w:val="15"/>
                <w:szCs w:val="15"/>
                <w14:textFill>
                  <w14:solidFill>
                    <w14:schemeClr w14:val="tx1"/>
                  </w14:solidFill>
                </w14:textFill>
              </w:rPr>
              <w:t>《北京市环境噪声污染防治办法》案由2项</w:t>
            </w:r>
            <w:bookmarkEnd w:id="116"/>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28" w:hRule="atLeast"/>
        </w:trPr>
        <w:tc>
          <w:tcPr>
            <w:tcW w:w="940" w:type="dxa"/>
            <w:gridSpan w:val="3"/>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未把产生噪声的设备、设施布置在远离居住区一侧</w:t>
            </w:r>
          </w:p>
        </w:tc>
        <w:tc>
          <w:tcPr>
            <w:tcW w:w="2789" w:type="dxa"/>
            <w:gridSpan w:val="3"/>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违反条款：第十六条；</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处罚条款：第三十八条 责令改正，并可处1万元以上3万元以下罚款。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噪声较大或者持续时间较长，或者造成其它社会恶劣影响等情形，系数为1。</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35" w:hRule="atLeast"/>
        </w:trPr>
        <w:tc>
          <w:tcPr>
            <w:tcW w:w="940" w:type="dxa"/>
            <w:gridSpan w:val="3"/>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tcBorders>
              <w:bottom w:val="nil"/>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特殊时段在噪声敏感建筑物集中区域内从事产生噪声的施工作业</w:t>
            </w:r>
          </w:p>
        </w:tc>
        <w:tc>
          <w:tcPr>
            <w:tcW w:w="2789" w:type="dxa"/>
            <w:gridSpan w:val="3"/>
            <w:tcBorders>
              <w:bottom w:val="nil"/>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违反条款：第十七条；</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处罚条款：第三十九条 责令停止违法行为，并处1万元以上3万元以下罚款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tabs>
                <w:tab w:val="left" w:pos="312"/>
              </w:tabs>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噪声较大或者持续时间较长，或者造成其它社会恶劣影响等情形，系数为1；</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2.媒体曝光，造成不良社会影响的，系数2；</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3.在中（高）考考场周边的，系数2。</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27" w:hRule="atLeast"/>
        </w:trPr>
        <w:tc>
          <w:tcPr>
            <w:tcW w:w="14329" w:type="dxa"/>
            <w:gridSpan w:val="19"/>
            <w:shd w:val="clear" w:color="auto" w:fill="auto"/>
            <w:vAlign w:val="center"/>
          </w:tcPr>
          <w:p>
            <w:pPr>
              <w:tabs>
                <w:tab w:val="left" w:pos="5105"/>
              </w:tabs>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bookmarkStart w:id="119" w:name="_Toc110851472"/>
            <w:bookmarkStart w:id="120" w:name="_Toc739262574"/>
            <w:bookmarkStart w:id="121" w:name="_Toc193344115"/>
            <w:r>
              <w:rPr>
                <w:rStyle w:val="31"/>
                <w:rFonts w:hint="eastAsia" w:asciiTheme="minorEastAsia" w:hAnsiTheme="minorEastAsia" w:eastAsiaTheme="minorEastAsia"/>
                <w:sz w:val="15"/>
                <w:szCs w:val="15"/>
              </w:rPr>
              <w:t>《中华人民共和国噪声污染防治法》案由3项</w:t>
            </w:r>
            <w:bookmarkEnd w:id="119"/>
            <w:bookmarkEnd w:id="120"/>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未取得证明夜间施工</w:t>
            </w:r>
          </w:p>
        </w:tc>
        <w:tc>
          <w:tcPr>
            <w:tcW w:w="2789" w:type="dxa"/>
            <w:gridSpan w:val="3"/>
            <w:shd w:val="clear" w:color="auto" w:fill="auto"/>
            <w:vAlign w:val="center"/>
          </w:tcPr>
          <w:p>
            <w:pPr>
              <w:spacing w:line="22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违反条款：第四十三条第二款；</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处罚条款：第七十七条第（二）项 责令改正，处一万元以上十万元以下的罚款；拒不改正的，可以责令暂停施工。</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sz w:val="15"/>
                <w:szCs w:val="15"/>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2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1.噪声较大或者持续时间较长，系数1-4；</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2.存在在中高考等特殊时段，投诉举报较多，媒体曝光，或者造成其它社会恶劣影响等情形的，系数5-9。</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罚款数额＝10000×（1＋情节系数＋变量系数）</w:t>
            </w:r>
          </w:p>
        </w:tc>
        <w:tc>
          <w:tcPr>
            <w:tcW w:w="2385" w:type="dxa"/>
            <w:gridSpan w:val="2"/>
            <w:shd w:val="clear" w:color="auto" w:fill="auto"/>
            <w:vAlign w:val="center"/>
          </w:tcPr>
          <w:p>
            <w:pPr>
              <w:spacing w:line="220" w:lineRule="exact"/>
            </w:pPr>
            <w:r>
              <w:rPr>
                <w:rFonts w:hint="eastAsia" w:asciiTheme="minorEastAsia" w:hAnsiTheme="minorEastAsia" w:eastAsiaTheme="minorEastAsia"/>
                <w:sz w:val="15"/>
                <w:szCs w:val="15"/>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48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2</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未按照规定制定噪声污染防治实施方案</w:t>
            </w:r>
          </w:p>
        </w:tc>
        <w:tc>
          <w:tcPr>
            <w:tcW w:w="2789" w:type="dxa"/>
            <w:gridSpan w:val="3"/>
            <w:vMerge w:val="restart"/>
            <w:shd w:val="clear" w:color="auto" w:fill="auto"/>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违反条款：第四十条第二款 ；</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处罚条款：第七十八条第（二）项 责令改正，处五千元以上五万元以下的罚款；拒不改正的，处五万元以上二十万元以下的罚款。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1.大型建设工程，开工时间较长，工地位置处于人口集中区域等情形的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系数1-4</w:t>
            </w:r>
            <w:r>
              <w:rPr>
                <w:rFonts w:asciiTheme="minorEastAsia" w:hAnsiTheme="minorEastAsia" w:eastAsiaTheme="minorEastAsia"/>
                <w:sz w:val="15"/>
                <w:szCs w:val="15"/>
                <w:lang w:val="en"/>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2.造成投诉举报较多，或者其他社会恶劣影响的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系数5-9</w:t>
            </w:r>
            <w:r>
              <w:rPr>
                <w:rFonts w:hint="eastAsia" w:asciiTheme="minorEastAsia" w:hAnsiTheme="minorEastAsia" w:eastAsiaTheme="minorEastAsia"/>
                <w:sz w:val="15"/>
                <w:szCs w:val="15"/>
                <w:lang w:val="en"/>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1.大型建设工程</w:t>
            </w:r>
            <w:r>
              <w:rPr>
                <w:rFonts w:hint="eastAsia" w:asciiTheme="minorEastAsia" w:hAnsiTheme="minorEastAsia" w:eastAsiaTheme="minorEastAsia"/>
                <w:sz w:val="15"/>
                <w:szCs w:val="15"/>
                <w:lang w:val="en"/>
              </w:rPr>
              <w:t>是指</w:t>
            </w:r>
            <w:r>
              <w:rPr>
                <w:rFonts w:hint="eastAsia" w:asciiTheme="minorEastAsia" w:hAnsiTheme="minorEastAsia" w:eastAsiaTheme="minorEastAsia"/>
                <w:sz w:val="15"/>
                <w:szCs w:val="15"/>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2.对“未按照规定制定噪声污染防治实施方案”违法行为适用此案由和裁量，《北京市环境噪声污染防治办法》的“未制定施工现场噪声污染防治管理制度”案由停止执行。</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5"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50000（拒不改正）</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1.大型建设工程，开工时间较长，工地位置处于人口集中区域等情形的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w:t>
            </w:r>
            <w:r>
              <w:rPr>
                <w:rFonts w:asciiTheme="minorEastAsia" w:hAnsiTheme="minorEastAsia" w:eastAsiaTheme="minorEastAsia"/>
                <w:sz w:val="15"/>
                <w:szCs w:val="15"/>
                <w:lang w:val="en"/>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2.造成投诉举报较多，或者其他社会恶劣影响的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系数2-3</w:t>
            </w:r>
            <w:r>
              <w:rPr>
                <w:rFonts w:hint="eastAsia" w:asciiTheme="minorEastAsia" w:hAnsiTheme="minorEastAsia" w:eastAsiaTheme="minorEastAsia"/>
                <w:sz w:val="15"/>
                <w:szCs w:val="15"/>
                <w:lang w:val="en"/>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《基准》“拒不改正”的情形，不纳入本案由情节系数。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3</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建设单位夜间施工未按照规定公告</w:t>
            </w:r>
          </w:p>
        </w:tc>
        <w:tc>
          <w:tcPr>
            <w:tcW w:w="2789" w:type="dxa"/>
            <w:gridSpan w:val="3"/>
            <w:vMerge w:val="restart"/>
            <w:shd w:val="clear" w:color="auto" w:fill="auto"/>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违反条款：第四十三条第二款；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处罚条款：第七十八条第（四）项，责令改正，处五千元以上五万元以下的罚款；拒不改正的，处五万元以上二十万元以下的罚款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1.未公告</w:t>
            </w:r>
            <w:r>
              <w:rPr>
                <w:rFonts w:hint="eastAsia" w:asciiTheme="minorEastAsia" w:hAnsiTheme="minorEastAsia" w:eastAsiaTheme="minorEastAsia"/>
                <w:sz w:val="15"/>
                <w:szCs w:val="15"/>
                <w:lang w:val="en"/>
              </w:rPr>
              <w:t>持续</w:t>
            </w:r>
            <w:r>
              <w:rPr>
                <w:rFonts w:hint="eastAsia" w:asciiTheme="minorEastAsia" w:hAnsiTheme="minorEastAsia" w:eastAsiaTheme="minorEastAsia"/>
                <w:sz w:val="15"/>
                <w:szCs w:val="15"/>
              </w:rPr>
              <w:t>时间较长，或者公告内容不全的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系数1-4</w:t>
            </w:r>
            <w:r>
              <w:rPr>
                <w:rFonts w:asciiTheme="minorEastAsia" w:hAnsiTheme="minorEastAsia" w:eastAsiaTheme="minorEastAsia"/>
                <w:sz w:val="15"/>
                <w:szCs w:val="15"/>
                <w:lang w:val="en"/>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sz w:val="15"/>
                <w:szCs w:val="15"/>
                <w:lang w:val="en"/>
              </w:rPr>
              <w:t>2.</w:t>
            </w:r>
            <w:r>
              <w:rPr>
                <w:rFonts w:hint="eastAsia" w:asciiTheme="minorEastAsia" w:hAnsiTheme="minorEastAsia" w:eastAsiaTheme="minorEastAsia"/>
                <w:sz w:val="15"/>
                <w:szCs w:val="15"/>
              </w:rPr>
              <w:t>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系数5-9。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《北京市环境噪声污染防治办法》的“进行夜间施工作业未公告相关内容”停止执行。</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50000（拒不改正）</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1.未公告</w:t>
            </w:r>
            <w:r>
              <w:rPr>
                <w:rFonts w:hint="eastAsia" w:asciiTheme="minorEastAsia" w:hAnsiTheme="minorEastAsia" w:eastAsiaTheme="minorEastAsia"/>
                <w:sz w:val="15"/>
                <w:szCs w:val="15"/>
                <w:lang w:val="en"/>
              </w:rPr>
              <w:t>持续</w:t>
            </w:r>
            <w:r>
              <w:rPr>
                <w:rFonts w:hint="eastAsia" w:asciiTheme="minorEastAsia" w:hAnsiTheme="minorEastAsia" w:eastAsiaTheme="minorEastAsia"/>
                <w:sz w:val="15"/>
                <w:szCs w:val="15"/>
              </w:rPr>
              <w:t>时间较长，或者公告内容不全</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w:t>
            </w:r>
            <w:r>
              <w:rPr>
                <w:rFonts w:asciiTheme="minorEastAsia" w:hAnsiTheme="minorEastAsia" w:eastAsiaTheme="minorEastAsia"/>
                <w:sz w:val="15"/>
                <w:szCs w:val="15"/>
                <w:lang w:val="en"/>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sz w:val="15"/>
                <w:szCs w:val="15"/>
                <w:lang w:val="en"/>
              </w:rPr>
              <w:t>2.</w:t>
            </w:r>
            <w:r>
              <w:rPr>
                <w:rFonts w:hint="eastAsia" w:asciiTheme="minorEastAsia" w:hAnsiTheme="minorEastAsia" w:eastAsiaTheme="minorEastAsia"/>
                <w:sz w:val="15"/>
                <w:szCs w:val="15"/>
              </w:rPr>
              <w:t>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系数2-3</w:t>
            </w:r>
            <w:r>
              <w:rPr>
                <w:rFonts w:hint="eastAsia" w:asciiTheme="minorEastAsia" w:hAnsiTheme="minorEastAsia" w:eastAsiaTheme="minorEastAsia"/>
                <w:sz w:val="15"/>
                <w:szCs w:val="15"/>
                <w:lang w:val="en"/>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《基准》“拒不改正”的情形，不纳入本案由情节系数。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1"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22" w:name="_Toc783752899"/>
            <w:bookmarkStart w:id="123" w:name="_Toc110851473"/>
            <w:bookmarkStart w:id="124" w:name="_Toc760985315"/>
            <w:r>
              <w:rPr>
                <w:rFonts w:hint="eastAsia" w:ascii="黑体" w:hAnsi="黑体" w:eastAsia="黑体"/>
                <w:b w:val="0"/>
                <w:color w:val="000000" w:themeColor="text1"/>
                <w:sz w:val="24"/>
                <w:szCs w:val="24"/>
                <w14:textFill>
                  <w14:solidFill>
                    <w14:schemeClr w14:val="tx1"/>
                  </w14:solidFill>
                </w14:textFill>
              </w:rPr>
              <w:t>施工现场管理方面</w:t>
            </w:r>
            <w:bookmarkEnd w:id="122"/>
            <w:bookmarkEnd w:id="123"/>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25" w:name="_Toc1669927446"/>
            <w:bookmarkStart w:id="126" w:name="_Toc1484182166"/>
            <w:bookmarkStart w:id="127" w:name="_Toc110851474"/>
            <w:r>
              <w:rPr>
                <w:rFonts w:hint="eastAsia" w:asciiTheme="minorEastAsia" w:hAnsiTheme="minorEastAsia" w:eastAsiaTheme="minorEastAsia"/>
                <w:color w:val="000000" w:themeColor="text1"/>
                <w:sz w:val="15"/>
                <w:szCs w:val="15"/>
                <w14:textFill>
                  <w14:solidFill>
                    <w14:schemeClr w14:val="tx1"/>
                  </w14:solidFill>
                </w14:textFill>
              </w:rPr>
              <w:t>《北京市大气污染防治条例》施工现场执法案由16项</w:t>
            </w:r>
            <w:bookmarkEnd w:id="125"/>
            <w:bookmarkEnd w:id="126"/>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5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建设单位未按标准设置围挡</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1.未按标准设置围挡长度16-30米的，系数1；31-45米的，系数2，以此类推；2.期间发生危害公共安全行为的，系数9。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施工单位未对围挡进行维护</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违反条款：第八十一条第一款第（一）项</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1.未按规定管护围挡长度16-30米的，系数1；31-45米的，系数2，以此类推。2.期间发生危害公共安全行为的，系数9。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施工单位未在施工现场出入口公示相关信息</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处罚条款：第一百一十九条：责令限期改正，处一万元以上十万元以下罚款；拒不改正的，责令停工整治</w:t>
            </w:r>
          </w:p>
        </w:tc>
        <w:tc>
          <w:tcPr>
            <w:tcW w:w="851"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6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未对施工现场内主要道路和物料堆放场地进行硬化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未硬化、覆盖或者绿化面积10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未对施工现场内除主要道路和物料堆放场地外其它场地进行覆盖或者临时绿化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w:t>
            </w:r>
            <w:r>
              <w:rPr>
                <w:rFonts w:asciiTheme="minorEastAsia" w:hAnsiTheme="minorEastAsia" w:eastAsiaTheme="minorEastAsia"/>
                <w:color w:val="000000" w:themeColor="text1"/>
                <w:sz w:val="15"/>
                <w:szCs w:val="15"/>
                <w14:textFill>
                  <w14:solidFill>
                    <w14:schemeClr w14:val="tx1"/>
                  </w14:solidFill>
                </w14:textFill>
              </w:rPr>
              <w:t>土方</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集中堆放</w:t>
            </w:r>
            <w:r>
              <w:rPr>
                <w:rFonts w:hint="eastAsia" w:asciiTheme="minorEastAsia" w:hAnsiTheme="minorEastAsia" w:eastAsiaTheme="minorEastAsia"/>
                <w:color w:val="000000" w:themeColor="text1"/>
                <w:sz w:val="15"/>
                <w:szCs w:val="15"/>
                <w14:textFill>
                  <w14:solidFill>
                    <w14:schemeClr w14:val="tx1"/>
                  </w14:solidFill>
                </w14:textFill>
              </w:rPr>
              <w:t>或者未</w:t>
            </w:r>
            <w:r>
              <w:rPr>
                <w:rFonts w:asciiTheme="minorEastAsia" w:hAnsiTheme="minorEastAsia" w:eastAsiaTheme="minorEastAsia"/>
                <w:color w:val="000000" w:themeColor="text1"/>
                <w:sz w:val="15"/>
                <w:szCs w:val="15"/>
                <w14:textFill>
                  <w14:solidFill>
                    <w14:schemeClr w14:val="tx1"/>
                  </w14:solidFill>
                </w14:textFill>
              </w:rPr>
              <w:t>采取覆盖</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固化措施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大风天气未停止可能产生扬尘污染的施工作业</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违反条款：第八十一条第一款第（四）项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1.6</w:t>
            </w:r>
            <w:r>
              <w:rPr>
                <w:rFonts w:hint="eastAsia" w:asciiTheme="minorEastAsia" w:hAnsiTheme="minorEastAsia" w:eastAsiaTheme="minorEastAsia"/>
                <w:color w:val="000000" w:themeColor="text1"/>
                <w:sz w:val="15"/>
                <w:szCs w:val="15"/>
                <w14:textFill>
                  <w14:solidFill>
                    <w14:schemeClr w14:val="tx1"/>
                  </w14:solidFill>
                </w14:textFill>
              </w:rPr>
              <w:t>级及</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级以上大风未停止可能产生扬尘污染的施工作业的，系数</w:t>
            </w:r>
            <w:r>
              <w:rPr>
                <w:rFonts w:asciiTheme="minorEastAsia" w:hAnsiTheme="minorEastAsia" w:eastAsiaTheme="minorEastAsia"/>
                <w:color w:val="000000" w:themeColor="text1"/>
                <w:sz w:val="15"/>
                <w:szCs w:val="15"/>
                <w14:textFill>
                  <w14:solidFill>
                    <w14:schemeClr w14:val="tx1"/>
                  </w14:solidFill>
                </w14:textFill>
              </w:rPr>
              <w:t>5-8</w:t>
            </w:r>
            <w:r>
              <w:rPr>
                <w:rFonts w:hint="eastAsia" w:asciiTheme="minorEastAsia" w:hAnsiTheme="minorEastAsia" w:eastAsiaTheme="minorEastAsia"/>
                <w:color w:val="000000" w:themeColor="text1"/>
                <w:sz w:val="15"/>
                <w:szCs w:val="15"/>
                <w14:textFill>
                  <w14:solidFill>
                    <w14:schemeClr w14:val="tx1"/>
                  </w14:solidFill>
                </w14:textFill>
              </w:rPr>
              <w:t>。2.造成尘土飞扬，严重污染环境的，系数为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施工现场出口处未设置冲洗车辆设施</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施工现场未按规定安装视频监控系统</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施工车辆未经除泥、冲洗驶出工地</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车辆清洗处未配套设置排水、泥浆沉淀设施</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施工现场道路及进出口周边一百米以内的道路有泥土和建筑垃圾</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违反条款：第八十一条第一款第（六）项；</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道路挖掘施工过程中未及时覆盖破损路面并采取措施</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违反条款：第八十一条第一款第（七）项；</w:t>
            </w:r>
          </w:p>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1.路面长21－30米的，系数1；31－40米的，系数2；以此类推。</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道路挖掘施工完成后未及时修复路面</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违反条款：第八十一条第一款第（七）项；</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未修复的道路长21－30米的，系数1；31－40米的，系数2；以此类推。</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产生扬尘的物料未按规定贮存或者未</w:t>
            </w:r>
            <w:r>
              <w:rPr>
                <w:rFonts w:hint="eastAsia" w:asciiTheme="minorEastAsia" w:hAnsiTheme="minorEastAsia" w:eastAsiaTheme="minorEastAsia"/>
                <w:bCs/>
                <w:color w:val="000000" w:themeColor="text1"/>
                <w:sz w:val="15"/>
                <w:szCs w:val="15"/>
                <w14:textFill>
                  <w14:solidFill>
                    <w14:schemeClr w14:val="tx1"/>
                  </w14:solidFill>
                </w14:textFill>
              </w:rPr>
              <w:t>采取有效防尘措施</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违反条款：第八十二条第一款；</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处罚条款：第一百二十条：责令限期改正，处一万元以上十万元以下罚款；拒不改正的，责令停工整治或者停业整治。</w:t>
            </w:r>
          </w:p>
        </w:tc>
        <w:tc>
          <w:tcPr>
            <w:tcW w:w="851"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2" w:lineRule="exact"/>
              <w:rPr>
                <w:rFonts w:asciiTheme="minorEastAsia" w:hAnsiTheme="minorEastAsia" w:eastAsiaTheme="minorEastAsia"/>
                <w:strike/>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未按规定处置或覆盖建筑土方、工程渣土、建筑垃圾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违反条款：第八十二条第二款；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处罚条款：第一百二十条：责令限期改正，处一万元以上十万元以下罚款；拒不改正的，责令停工整治或者停业整治。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占地面积10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以下的，系数0；11－15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的，系数1；16－20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系数2，以此类推。2.造成尘土飞扬，严重污染环境的，系数为9。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28" w:name="_Toc582686333"/>
            <w:bookmarkStart w:id="129" w:name="_Toc854219027"/>
            <w:bookmarkStart w:id="130" w:name="_Toc110851475"/>
            <w:r>
              <w:rPr>
                <w:rFonts w:hint="eastAsia" w:asciiTheme="minorEastAsia" w:hAnsiTheme="minorEastAsia" w:eastAsiaTheme="minorEastAsia"/>
                <w:color w:val="000000" w:themeColor="text1"/>
                <w:sz w:val="15"/>
                <w:szCs w:val="15"/>
                <w14:textFill>
                  <w14:solidFill>
                    <w14:schemeClr w14:val="tx1"/>
                  </w14:solidFill>
                </w14:textFill>
              </w:rPr>
              <w:t>《北京市建设工程施工现场管理办法》案由13项</w:t>
            </w:r>
            <w:bookmarkEnd w:id="128"/>
            <w:bookmarkEnd w:id="129"/>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87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建设单位未按标准设置围挡</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1.未按标准设置围挡长度1</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米的，系数1；</w:t>
            </w:r>
            <w:r>
              <w:rPr>
                <w:rFonts w:asciiTheme="minorEastAsia" w:hAnsiTheme="minorEastAsia" w:eastAsiaTheme="minorEastAsia"/>
                <w:color w:val="000000" w:themeColor="text1"/>
                <w:sz w:val="15"/>
                <w:szCs w:val="15"/>
                <w14:textFill>
                  <w14:solidFill>
                    <w14:schemeClr w14:val="tx1"/>
                  </w14:solidFill>
                </w14:textFill>
              </w:rPr>
              <w:t>31</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45</w:t>
            </w:r>
            <w:r>
              <w:rPr>
                <w:rFonts w:hint="eastAsia" w:asciiTheme="minorEastAsia" w:hAnsiTheme="minorEastAsia" w:eastAsiaTheme="minorEastAsia"/>
                <w:color w:val="000000" w:themeColor="text1"/>
                <w:sz w:val="15"/>
                <w:szCs w:val="15"/>
                <w14:textFill>
                  <w14:solidFill>
                    <w14:schemeClr w14:val="tx1"/>
                  </w14:solidFill>
                </w14:textFill>
              </w:rPr>
              <w:t>米的，系数2，以此类推；2.期间发生危害公共安全行为的，系数9。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施工单位未对围挡进行维护</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1.未按规定管护围挡长度</w:t>
            </w:r>
            <w:r>
              <w:rPr>
                <w:rFonts w:asciiTheme="minorEastAsia" w:hAnsiTheme="minorEastAsia" w:eastAsiaTheme="minorEastAsia"/>
                <w:color w:val="000000" w:themeColor="text1"/>
                <w:sz w:val="15"/>
                <w:szCs w:val="15"/>
                <w14:textFill>
                  <w14:solidFill>
                    <w14:schemeClr w14:val="tx1"/>
                  </w14:solidFill>
                </w14:textFill>
              </w:rPr>
              <w:t>16</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米的，系数1；</w:t>
            </w:r>
            <w:r>
              <w:rPr>
                <w:rFonts w:asciiTheme="minorEastAsia" w:hAnsiTheme="minorEastAsia" w:eastAsiaTheme="minorEastAsia"/>
                <w:color w:val="000000" w:themeColor="text1"/>
                <w:sz w:val="15"/>
                <w:szCs w:val="15"/>
                <w14:textFill>
                  <w14:solidFill>
                    <w14:schemeClr w14:val="tx1"/>
                  </w14:solidFill>
                </w14:textFill>
              </w:rPr>
              <w:t>31</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45</w:t>
            </w:r>
            <w:r>
              <w:rPr>
                <w:rFonts w:hint="eastAsia" w:asciiTheme="minorEastAsia" w:hAnsiTheme="minorEastAsia" w:eastAsiaTheme="minorEastAsia"/>
                <w:color w:val="000000" w:themeColor="text1"/>
                <w:sz w:val="15"/>
                <w:szCs w:val="15"/>
                <w14:textFill>
                  <w14:solidFill>
                    <w14:schemeClr w14:val="tx1"/>
                  </w14:solidFill>
                </w14:textFill>
              </w:rPr>
              <w:t>米的，系数2，以此类推。2.期间发生危害公共安全行为的，系数</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8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市政基础设施工程因特殊情况不能进行围挡的未设置警示标志（或未在工程危险部位采取防护措施）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违反条款：第二十三条第（一）项；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1.违法行为持续时间较长，或者未设置警示标志或者防护措施的长度、面积较大的，发生在人口密集地区的，系数</w:t>
            </w:r>
            <w:r>
              <w:rPr>
                <w:rFonts w:asciiTheme="minorEastAsia" w:hAnsiTheme="minorEastAsia" w:eastAsiaTheme="minorEastAsia"/>
                <w:color w:val="000000" w:themeColor="text1"/>
                <w:sz w:val="15"/>
                <w:szCs w:val="15"/>
                <w14:textFill>
                  <w14:solidFill>
                    <w14:schemeClr w14:val="tx1"/>
                  </w14:solidFill>
                </w14:textFill>
              </w:rPr>
              <w:t>5-9</w:t>
            </w:r>
            <w:r>
              <w:rPr>
                <w:rFonts w:hint="eastAsia" w:asciiTheme="minorEastAsia" w:hAnsiTheme="minorEastAsia" w:eastAsiaTheme="minorEastAsia"/>
                <w:color w:val="000000" w:themeColor="text1"/>
                <w:sz w:val="15"/>
                <w:szCs w:val="15"/>
                <w14:textFill>
                  <w14:solidFill>
                    <w14:schemeClr w14:val="tx1"/>
                  </w14:solidFill>
                </w14:textFill>
              </w:rPr>
              <w:t>；2.期间发生危害公共安全行为的，系数9。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未按规定对施工现场道路、场地进行硬化、覆盖或者绿化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违反条款：第二十三条第（二）项；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未硬化、覆盖或者绿化面积</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cs="宋体" w:asciiTheme="minorEastAsia" w:hAnsiTheme="minorEastAsia" w:eastAsiaTheme="minorEastAsia"/>
                <w:color w:val="000000" w:themeColor="text1"/>
                <w:kern w:val="0"/>
                <w:sz w:val="15"/>
                <w:szCs w:val="15"/>
                <w14:textFill>
                  <w14:solidFill>
                    <w14:schemeClr w14:val="tx1"/>
                  </w14:solidFill>
                </w14:textFill>
              </w:rPr>
              <w:t>11</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25</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26</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8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w:t>
            </w:r>
            <w:r>
              <w:rPr>
                <w:rFonts w:asciiTheme="minorEastAsia" w:hAnsiTheme="minorEastAsia" w:eastAsiaTheme="minorEastAsia"/>
                <w:color w:val="000000" w:themeColor="text1"/>
                <w:sz w:val="15"/>
                <w:szCs w:val="15"/>
                <w14:textFill>
                  <w14:solidFill>
                    <w14:schemeClr w14:val="tx1"/>
                  </w14:solidFill>
                </w14:textFill>
              </w:rPr>
              <w:t>土方</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集中堆放</w:t>
            </w:r>
            <w:r>
              <w:rPr>
                <w:rFonts w:hint="eastAsia" w:asciiTheme="minorEastAsia" w:hAnsiTheme="minorEastAsia" w:eastAsiaTheme="minorEastAsia"/>
                <w:color w:val="000000" w:themeColor="text1"/>
                <w:sz w:val="15"/>
                <w:szCs w:val="15"/>
                <w14:textFill>
                  <w14:solidFill>
                    <w14:schemeClr w14:val="tx1"/>
                  </w14:solidFill>
                </w14:textFill>
              </w:rPr>
              <w:t>或者未</w:t>
            </w:r>
            <w:r>
              <w:rPr>
                <w:rFonts w:asciiTheme="minorEastAsia" w:hAnsiTheme="minorEastAsia" w:eastAsiaTheme="minorEastAsia"/>
                <w:color w:val="000000" w:themeColor="text1"/>
                <w:sz w:val="15"/>
                <w:szCs w:val="15"/>
                <w14:textFill>
                  <w14:solidFill>
                    <w14:schemeClr w14:val="tx1"/>
                  </w14:solidFill>
                </w14:textFill>
              </w:rPr>
              <w:t>采取覆盖</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固化等措施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违反条款：第二十三条第（二）项；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26</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10000×（1+区域系数+情节系数+变量系数）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7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建设单位</w:t>
            </w:r>
            <w:r>
              <w:rPr>
                <w:rFonts w:hint="eastAsia" w:cs="宋体" w:asciiTheme="minorEastAsia" w:hAnsiTheme="minorEastAsia" w:eastAsiaTheme="minorEastAsia"/>
                <w:color w:val="000000" w:themeColor="text1"/>
                <w:kern w:val="0"/>
                <w:sz w:val="15"/>
                <w:szCs w:val="15"/>
                <w14:textFill>
                  <w14:solidFill>
                    <w14:schemeClr w14:val="tx1"/>
                  </w14:solidFill>
                </w14:textFill>
              </w:rPr>
              <w:t>未对暂时不开发的空地进行绿化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以内，变量系数为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1000</w:t>
            </w:r>
            <w:r>
              <w:rPr>
                <w:rFonts w:hint="eastAsia" w:asciiTheme="minorEastAsia" w:hAnsiTheme="minorEastAsia" w:eastAsiaTheme="minorEastAsia"/>
                <w:color w:val="000000" w:themeColor="text1"/>
                <w:sz w:val="15"/>
                <w:szCs w:val="15"/>
                <w14:textFill>
                  <w14:solidFill>
                    <w14:schemeClr w14:val="tx1"/>
                  </w14:solidFill>
                </w14:textFill>
              </w:rPr>
              <w:t>－15</w:t>
            </w:r>
            <w:r>
              <w:rPr>
                <w:rFonts w:asciiTheme="minorEastAsia" w:hAnsiTheme="minorEastAsia" w:eastAsiaTheme="minorEastAsia"/>
                <w:color w:val="000000" w:themeColor="text1"/>
                <w:sz w:val="15"/>
                <w:szCs w:val="15"/>
                <w14:textFill>
                  <w14:solidFill>
                    <w14:schemeClr w14:val="tx1"/>
                  </w14:solidFill>
                </w14:textFill>
              </w:rPr>
              <w:t>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w:t>
            </w:r>
            <w:r>
              <w:rPr>
                <w:rFonts w:asciiTheme="minorEastAsia" w:hAnsiTheme="minorEastAsia" w:eastAsiaTheme="minorEastAsia"/>
                <w:color w:val="000000" w:themeColor="text1"/>
                <w:sz w:val="15"/>
                <w:szCs w:val="15"/>
                <w14:textFill>
                  <w14:solidFill>
                    <w14:schemeClr w14:val="tx1"/>
                  </w14:solidFill>
                </w14:textFill>
              </w:rPr>
              <w:t>500</w:t>
            </w:r>
            <w:r>
              <w:rPr>
                <w:rFonts w:hint="eastAsia" w:asciiTheme="minorEastAsia" w:hAnsiTheme="minorEastAsia" w:eastAsiaTheme="minorEastAsia"/>
                <w:color w:val="000000" w:themeColor="text1"/>
                <w:sz w:val="15"/>
                <w:szCs w:val="15"/>
                <w14:textFill>
                  <w14:solidFill>
                    <w14:schemeClr w14:val="tx1"/>
                  </w14:solidFill>
                </w14:textFill>
              </w:rPr>
              <w:t>－2000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r>
              <w:rPr>
                <w:rFonts w:hint="eastAsia" w:cs="宋体" w:asciiTheme="minorEastAsia" w:hAnsiTheme="minorEastAsia" w:eastAsiaTheme="minorEastAsia"/>
                <w:color w:val="000000" w:themeColor="text1"/>
                <w:kern w:val="0"/>
                <w:sz w:val="15"/>
                <w:szCs w:val="15"/>
                <w14:textFill>
                  <w14:solidFill>
                    <w14:schemeClr w14:val="tx1"/>
                  </w14:solidFill>
                </w14:textFill>
              </w:rPr>
              <w:t>；2.尘土飞扬，对环境造成严重影响的，系数9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56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d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施工现场未采取洒水措施防止扬尘</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违反条款：第二十三条第（三）项；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4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拆除作业时未采取洒水措施防止扬尘</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7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可能产生扬尘污染的建筑材料未在库房存放或者未严密遮盖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违反条款：第二十三条第（四）项；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w:t>
            </w:r>
            <w:r>
              <w:rPr>
                <w:rFonts w:asciiTheme="minorEastAsia" w:hAnsiTheme="minorEastAsia" w:eastAsiaTheme="minorEastAsia"/>
                <w:color w:val="000000" w:themeColor="text1"/>
                <w:sz w:val="15"/>
                <w:szCs w:val="15"/>
                <w14:textFill>
                  <w14:solidFill>
                    <w14:schemeClr w14:val="tx1"/>
                  </w14:solidFill>
                </w14:textFill>
              </w:rPr>
              <w:t>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w:t>
            </w:r>
            <w:r>
              <w:rPr>
                <w:rFonts w:asciiTheme="minorEastAsia" w:hAnsiTheme="minorEastAsia" w:eastAsiaTheme="minorEastAsia"/>
                <w:color w:val="000000" w:themeColor="text1"/>
                <w:sz w:val="15"/>
                <w:szCs w:val="15"/>
                <w14:textFill>
                  <w14:solidFill>
                    <w14:schemeClr w14:val="tx1"/>
                  </w14:solidFill>
                </w14:textFill>
              </w:rPr>
              <w:t>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6－</w:t>
            </w:r>
            <w:r>
              <w:rPr>
                <w:rFonts w:asciiTheme="minorEastAsia" w:hAnsiTheme="minorEastAsia" w:eastAsiaTheme="minorEastAsia"/>
                <w:color w:val="000000" w:themeColor="text1"/>
                <w:sz w:val="15"/>
                <w:szCs w:val="15"/>
                <w14:textFill>
                  <w14:solidFill>
                    <w14:schemeClr w14:val="tx1"/>
                  </w14:solidFill>
                </w14:textFill>
              </w:rPr>
              <w:t>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适用于施工现场相关违法行为的查处。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施工现场存放油料未采取防止泄漏和污染措施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违反条款：第二十三条第（四）项；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2，以此类推。2.其他严重污染环境情形的，系数为9。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施工现场出口处未设置冲洗车辆设施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违反条款：第二十四条；</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w:t>
            </w:r>
            <w:r>
              <w:rPr>
                <w:rFonts w:asciiTheme="minorEastAsia" w:hAnsiTheme="minorEastAsia" w:eastAsiaTheme="minorEastAsia"/>
                <w:color w:val="000000" w:themeColor="text1"/>
                <w:sz w:val="15"/>
                <w:szCs w:val="15"/>
                <w14:textFill>
                  <w14:solidFill>
                    <w14:schemeClr w14:val="tx1"/>
                  </w14:solidFill>
                </w14:textFill>
              </w:rPr>
              <w:t>三十七条，</w:t>
            </w:r>
            <w:r>
              <w:rPr>
                <w:rFonts w:hint="eastAsia" w:asciiTheme="minorEastAsia" w:hAnsiTheme="minorEastAsia" w:eastAsiaTheme="minorEastAsia"/>
                <w:color w:val="000000" w:themeColor="text1"/>
                <w:sz w:val="15"/>
                <w:szCs w:val="15"/>
                <w14:textFill>
                  <w14:solidFill>
                    <w14:schemeClr w14:val="tx1"/>
                  </w14:solidFill>
                </w14:textFill>
              </w:rPr>
              <w:t>违反本办法第二十四条规定，未设置冲洗车辆设施的，由城市管理综合执法部门责令限期改正，处1万元以上10万元以下罚款；逾期未改正的，责令停工整治。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未设密闭式垃圾站</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处罚条款：第三十八条：责令改正，处1000元以上1万元以下罚款。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未设置时间持续较长、垃圾堆放量较大，垃圾飘洒、恶臭等环境脏乱严重等情形，系数为1。</w:t>
            </w:r>
          </w:p>
        </w:tc>
        <w:tc>
          <w:tcPr>
            <w:tcW w:w="1785" w:type="dxa"/>
            <w:gridSpan w:val="2"/>
            <w:shd w:val="clear" w:color="auto" w:fill="auto"/>
            <w:vAlign w:val="center"/>
          </w:tcPr>
          <w:p>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未搭设密闭式专用垃圾通道或者未采用容器吊运的</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处罚条款：第三十八条：责令改正，处1000元以上1万元以下罚款。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未搭设密闭式专用垃圾通道时间持续较长或不采用容器吊运时间较长的，系数为1。</w:t>
            </w:r>
          </w:p>
        </w:tc>
        <w:tc>
          <w:tcPr>
            <w:tcW w:w="1785" w:type="dxa"/>
            <w:gridSpan w:val="2"/>
            <w:shd w:val="clear" w:color="auto" w:fill="auto"/>
            <w:vAlign w:val="center"/>
          </w:tcPr>
          <w:p>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31" w:name="_Toc1256403622"/>
            <w:bookmarkStart w:id="132" w:name="_Toc110851476"/>
            <w:bookmarkStart w:id="133" w:name="_Toc2049577647"/>
            <w:r>
              <w:rPr>
                <w:rFonts w:hint="eastAsia" w:ascii="黑体" w:hAnsi="黑体" w:eastAsia="黑体"/>
                <w:b w:val="0"/>
                <w:color w:val="000000" w:themeColor="text1"/>
                <w:sz w:val="24"/>
                <w:szCs w:val="24"/>
                <w14:textFill>
                  <w14:solidFill>
                    <w14:schemeClr w14:val="tx1"/>
                  </w14:solidFill>
                </w14:textFill>
              </w:rPr>
              <w:t>停车场管理方面案由</w:t>
            </w:r>
            <w:bookmarkEnd w:id="131"/>
            <w:bookmarkEnd w:id="132"/>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34" w:name="_Toc509001082"/>
            <w:bookmarkStart w:id="135" w:name="_Toc110851477"/>
            <w:bookmarkStart w:id="136" w:name="_Toc461415147"/>
            <w:r>
              <w:rPr>
                <w:rFonts w:hint="eastAsia" w:asciiTheme="minorEastAsia" w:hAnsiTheme="minorEastAsia" w:eastAsiaTheme="minorEastAsia"/>
                <w:color w:val="000000" w:themeColor="text1"/>
                <w:sz w:val="15"/>
                <w:szCs w:val="15"/>
                <w14:textFill>
                  <w14:solidFill>
                    <w14:schemeClr w14:val="tx1"/>
                  </w14:solidFill>
                </w14:textFill>
              </w:rPr>
              <w:t>《北京市机动车停车管理办法》案由13项</w:t>
            </w:r>
            <w:bookmarkEnd w:id="134"/>
            <w:bookmarkEnd w:id="135"/>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擅自停止使用机动车停车场</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违反条款第十四条第一款；处罚条款：第三十一条：责令限期改正，恢复原状。</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非行政处罚罚款事项</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3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擅自将机动车停车场改作他用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违反条款第十四条第一款；处罚条款;第三十一条:责令限期改正，恢复原状。</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非行政处罚罚款事项</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擅自将机动车临时停车场停止使用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违反条款第十四条第二款；处罚条款；第三十一条：责令限期改正，恢复原状。</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非行政处罚罚款事项</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190" w:lineRule="exact"/>
              <w:contextualSpacing/>
              <w:jc w:val="lef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无照经营（机动车停车场）</w:t>
            </w:r>
          </w:p>
        </w:tc>
        <w:tc>
          <w:tcPr>
            <w:tcW w:w="2789" w:type="dxa"/>
            <w:gridSpan w:val="3"/>
            <w:shd w:val="clear" w:color="auto" w:fill="auto"/>
            <w:vAlign w:val="center"/>
          </w:tcPr>
          <w:p>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处罚条款：《北京市机动车停车管理办法》第三十二条第一款、《无证无照经营查处办法》第十三条，责令停止违法行为，没收违法所得，并处1万元以下的罚款。</w:t>
            </w:r>
          </w:p>
        </w:tc>
        <w:tc>
          <w:tcPr>
            <w:tcW w:w="851" w:type="dxa"/>
            <w:gridSpan w:val="2"/>
            <w:shd w:val="clear" w:color="auto" w:fill="auto"/>
            <w:vAlign w:val="center"/>
          </w:tcPr>
          <w:p>
            <w:pPr>
              <w:spacing w:line="190"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190"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contextualSpacing/>
              <w:jc w:val="lef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罚款数额＝3000×（1＋区域系数＋情节系数）</w:t>
            </w:r>
          </w:p>
        </w:tc>
        <w:tc>
          <w:tcPr>
            <w:tcW w:w="2385" w:type="dxa"/>
            <w:gridSpan w:val="2"/>
            <w:shd w:val="clear" w:color="auto" w:fill="auto"/>
            <w:vAlign w:val="center"/>
          </w:tcPr>
          <w:p>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对于首次违法，并出具保证书，提出从轻处罚申请的，报案审会审议，可以在3000元以下进行处罚。</w:t>
            </w:r>
          </w:p>
        </w:tc>
        <w:tc>
          <w:tcPr>
            <w:tcW w:w="1208" w:type="dxa"/>
            <w:gridSpan w:val="2"/>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未按规定对停车泊位备案</w:t>
            </w:r>
          </w:p>
        </w:tc>
        <w:tc>
          <w:tcPr>
            <w:tcW w:w="2789" w:type="dxa"/>
            <w:gridSpan w:val="3"/>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违反条款：第二十条第一款；处罚条款：第三十二条第二款:处1万元罚款.</w:t>
            </w:r>
          </w:p>
        </w:tc>
        <w:tc>
          <w:tcPr>
            <w:tcW w:w="851"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vMerge w:val="restart"/>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停车场管理单位未配置完备的停车设施标志标识（或未为停车人进出提供明确的引导或未为残疾人提供必要服务）</w:t>
            </w:r>
          </w:p>
        </w:tc>
        <w:tc>
          <w:tcPr>
            <w:tcW w:w="2789" w:type="dxa"/>
            <w:gridSpan w:val="3"/>
            <w:vMerge w:val="restart"/>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违反条款：第二十一条第一款第（三）项；处罚条款：第三十三条第二款：给予警告，并责令限期改正；逾期未改正的，处1000元罚款；造成严重后果的，处5000元以上1万元以下罚款。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停车场管理单位未指挥车辆按序进出和停放，维护停车秩序</w:t>
            </w:r>
          </w:p>
        </w:tc>
        <w:tc>
          <w:tcPr>
            <w:tcW w:w="2789" w:type="dxa"/>
            <w:gridSpan w:val="3"/>
            <w:vMerge w:val="restart"/>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违反条款：第二十一条第一款第（四）项；处罚条款：第三十三条第二款：给予警告，并责令限期改正；逾期未改正的，处1000元罚款；造成严重后果的，处5000元以上1万元以下罚款。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9"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因未有效指挥和维护停车秩序，致使周边交通拥堵2小时以上的，或者因上述原因诱发停车事故或者交通事故的，系数1；同时存在本款2个以上（含2个）违法形态的，系数1。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vMerge w:val="restart"/>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停车场管理单位未对停车管理员进行专业培训、考核</w:t>
            </w:r>
          </w:p>
        </w:tc>
        <w:tc>
          <w:tcPr>
            <w:tcW w:w="2789" w:type="dxa"/>
            <w:gridSpan w:val="3"/>
            <w:vMerge w:val="restart"/>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违反条款：第二十一条第一款第（六）项；处罚条款：第三十三条第二款：给予警告，并责令限期改正；逾期未改正的，处1000元罚款；造成严重后果的，处5000元以上1万元以下罚款。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经核实，管理单位长达半年以上未对管理员进行培训考核，或者存在3名以上管理员同时未参与培训、考核的情形，系数1。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停车场管理单位在停车区域从事影响车辆安全停放的其它经营活动</w:t>
            </w:r>
          </w:p>
        </w:tc>
        <w:tc>
          <w:tcPr>
            <w:tcW w:w="2789" w:type="dxa"/>
            <w:gridSpan w:val="3"/>
            <w:vMerge w:val="restart"/>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违反条款：第二十一条第一款第（七）项；处罚条款：第三十三条第二款，给予警告，并责令限期改正；逾期未改正的，处1000元罚款；造成严重后果的，处5000元以上1万元以下罚款。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一年内群众投诉3次以上，或者致使周边交通拥堵的，或者因上述原因诱发停车事故或者交通事故的，系数1。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停车场管理单位未建立投诉处理制度</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违反条款：第二十一条第一款第（八）项；处罚条款：第三十三条第二款：给予警告，并责令限期改正；逾期未改正的，处1000元罚款；造成严重后果的，处5000元以上1万元以下罚款。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14"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一年内群众投诉3次以上，或者诱发其它停车事故、交通事故、治安事件的，系数1。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停车场管理单位未遵守国家和本市其它相关停车管理服务规范和标准</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违反条款：第二十一条第一款第（九）项；处罚条款：第三十三条第二款：给予警告，并责令限期改正；逾期未改正的，处1000元罚款；造成严重后果的，处5000元以上1万元以下罚款。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2"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一年内群众投诉3次以上，或者诱发其它停车事故、交通事故、治安事件的，系数1。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5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停车场未按规定24小时开放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违反条款：第二十一条第二款；处罚条款：第三十四条，责令限期改正，并处5000元以上1万元以下罚款。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适用于中心城范围内向社会开放并收费的停车场；按规定实行限时的临时停车场除外。 </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擅自设置地桩、地锁等障碍物</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违反条款：第二十七条第一款；处罚条款：第三十七条，责令停止违法行为，恢复原状，并处500元以上5000元以下罚款。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一年内群众投诉3次以上的，系数1；2.设置地桩、地锁等障碍物数量2个，系数1；3个，系数2，以此累加；3.存在其它严重影响通行和市容秩序、致使公共安全等事件的，系数9。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37" w:name="_Toc110851478"/>
            <w:bookmarkStart w:id="138" w:name="_Toc1557995543"/>
            <w:bookmarkStart w:id="139" w:name="_Toc84000310"/>
            <w:r>
              <w:rPr>
                <w:rFonts w:hint="eastAsia" w:asciiTheme="minorEastAsia" w:hAnsiTheme="minorEastAsia" w:eastAsiaTheme="minorEastAsia"/>
                <w:color w:val="000000" w:themeColor="text1"/>
                <w:sz w:val="15"/>
                <w:szCs w:val="15"/>
                <w14:textFill>
                  <w14:solidFill>
                    <w14:schemeClr w14:val="tx1"/>
                  </w14:solidFill>
                </w14:textFill>
              </w:rPr>
              <w:t>《北京市</w:t>
            </w:r>
            <w:r>
              <w:rPr>
                <w:rFonts w:asciiTheme="minorEastAsia" w:hAnsiTheme="minorEastAsia" w:eastAsiaTheme="minorEastAsia"/>
                <w:color w:val="000000" w:themeColor="text1"/>
                <w:sz w:val="15"/>
                <w:szCs w:val="15"/>
                <w14:textFill>
                  <w14:solidFill>
                    <w14:schemeClr w14:val="tx1"/>
                  </w14:solidFill>
                </w14:textFill>
              </w:rPr>
              <w:t>机动车停车条例</w:t>
            </w:r>
            <w:r>
              <w:rPr>
                <w:rFonts w:hint="eastAsia" w:asciiTheme="minorEastAsia" w:hAnsiTheme="minorEastAsia" w:eastAsiaTheme="minorEastAsia"/>
                <w:color w:val="000000" w:themeColor="text1"/>
                <w:sz w:val="15"/>
                <w:szCs w:val="15"/>
                <w14:textFill>
                  <w14:solidFill>
                    <w14:schemeClr w14:val="tx1"/>
                  </w14:solidFill>
                </w14:textFill>
              </w:rPr>
              <w:t>》案由6项</w:t>
            </w:r>
            <w:bookmarkEnd w:id="137"/>
            <w:bookmarkEnd w:id="138"/>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3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未如实报送停车设施设置情况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处罚条款：第二十一条第三款，责令限期改正；逾期未改正的，处1万元罚款。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先行责令限期改正，当事人在规定期限内改正的，不予处罚；逾期未改正的，处1万元罚款。</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未按照规定时限（或未如实）报送停车设施设置情况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违反条款：第二十二条第一款。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处罚条款：第二十二条第二款，责令限期改正；逾期未改正的，处2000元罚款。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先行责令限期改正，当事人在规定期限内改正的，不予处罚；逾期未改正的，处2000元罚款。</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公共停车设施未按照标准配建停车诱导设施（进出车辆信息采集及号牌系统、与所在区域停车诱导系统实时对接）</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违反条款：第二十四条第二款。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处罚条款：第二十四条第三款，责令限期改正；逾期未改正的，处1万元罚款。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先行责令限期改正，当事人在规定期限内改正的，不予处罚；逾期未改正的，处1万元罚款。</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擅自设置固定或者可移动障碍物</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处罚条款：第二十六条第二款，责令停止违法行为，恢复原状，并处500元以上1000元以下罚款。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罚款数额＝500×（1＋情节系数）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停车场未按规定24小时开放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处罚条款：第三十二条第二款，责令限期改正，并处5000元以上1万元以下罚款。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1.仅限于中心城区范围内经营性停车设施；2.《条例》未涉及的停车设施经营单位应遵守的其它规定，依据《办法》第二十一条规定执行。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违反规划将停车设施改作他用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处罚条款：第三十三条第四款，责令限期改正、恢复原状，并处每个泊位1万元罚款。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按照规定执行，处每个泊位1万元罚款。</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40" w:name="_Toc1403487034"/>
            <w:bookmarkStart w:id="141" w:name="_Toc67594986"/>
            <w:bookmarkStart w:id="142" w:name="_Toc110851479"/>
            <w:r>
              <w:rPr>
                <w:rFonts w:hint="eastAsia" w:asciiTheme="minorEastAsia" w:hAnsiTheme="minorEastAsia" w:eastAsiaTheme="minorEastAsia"/>
                <w:color w:val="000000" w:themeColor="text1"/>
                <w:sz w:val="15"/>
                <w:szCs w:val="15"/>
                <w14:textFill>
                  <w14:solidFill>
                    <w14:schemeClr w14:val="tx1"/>
                  </w14:solidFill>
                </w14:textFill>
              </w:rPr>
              <w:t>《北京市非机动车停车管理办法》《北京市</w:t>
            </w:r>
            <w:r>
              <w:rPr>
                <w:rFonts w:asciiTheme="minorEastAsia" w:hAnsiTheme="minorEastAsia" w:eastAsiaTheme="minorEastAsia"/>
                <w:color w:val="000000" w:themeColor="text1"/>
                <w:sz w:val="15"/>
                <w:szCs w:val="15"/>
                <w14:textFill>
                  <w14:solidFill>
                    <w14:schemeClr w14:val="tx1"/>
                  </w14:solidFill>
                </w14:textFill>
              </w:rPr>
              <w:t>非机动车</w:t>
            </w:r>
            <w:r>
              <w:rPr>
                <w:rFonts w:hint="eastAsia" w:asciiTheme="minorEastAsia" w:hAnsiTheme="minorEastAsia" w:eastAsiaTheme="minorEastAsia"/>
                <w:color w:val="000000" w:themeColor="text1"/>
                <w:sz w:val="15"/>
                <w:szCs w:val="15"/>
                <w14:textFill>
                  <w14:solidFill>
                    <w14:schemeClr w14:val="tx1"/>
                  </w14:solidFill>
                </w14:textFill>
              </w:rPr>
              <w:t>管理</w:t>
            </w:r>
            <w:r>
              <w:rPr>
                <w:rFonts w:asciiTheme="minorEastAsia" w:hAnsiTheme="minorEastAsia" w:eastAsiaTheme="minorEastAsia"/>
                <w:color w:val="000000" w:themeColor="text1"/>
                <w:sz w:val="15"/>
                <w:szCs w:val="15"/>
                <w14:textFill>
                  <w14:solidFill>
                    <w14:schemeClr w14:val="tx1"/>
                  </w14:solidFill>
                </w14:textFill>
              </w:rPr>
              <w:t>条例</w:t>
            </w:r>
            <w:r>
              <w:rPr>
                <w:rFonts w:hint="eastAsia" w:asciiTheme="minorEastAsia" w:hAnsiTheme="minorEastAsia" w:eastAsiaTheme="minorEastAsia"/>
                <w:color w:val="000000" w:themeColor="text1"/>
                <w:sz w:val="15"/>
                <w:szCs w:val="15"/>
                <w14:textFill>
                  <w14:solidFill>
                    <w14:schemeClr w14:val="tx1"/>
                  </w14:solidFill>
                </w14:textFill>
              </w:rPr>
              <w:t>》案由</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项</w:t>
            </w:r>
            <w:bookmarkEnd w:id="140"/>
            <w:bookmarkEnd w:id="141"/>
            <w:bookmarkEnd w:id="1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76" w:hRule="atLeast"/>
        </w:trPr>
        <w:tc>
          <w:tcPr>
            <w:tcW w:w="940"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非机动车公共停车场未对公众开放</w:t>
            </w:r>
          </w:p>
        </w:tc>
        <w:tc>
          <w:tcPr>
            <w:tcW w:w="2789"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违反条款：《北京市非机动车停车管理办法》第九条第一款；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57" w:hRule="atLeast"/>
        </w:trPr>
        <w:tc>
          <w:tcPr>
            <w:tcW w:w="940"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擅自侵占、停止使用非机动车公共停车场或者将其挪作他用</w:t>
            </w:r>
          </w:p>
        </w:tc>
        <w:tc>
          <w:tcPr>
            <w:tcW w:w="2789"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违反条款：《北京市非机动车停车管理办法》第九条第一款；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01" w:hRule="atLeast"/>
        </w:trPr>
        <w:tc>
          <w:tcPr>
            <w:tcW w:w="940" w:type="dxa"/>
            <w:gridSpan w:val="3"/>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非机动车公共停车场未按规范设置</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违反条款：《北京市非机动车管理条例》第二十二条第一款；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1000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w:t>
            </w:r>
          </w:p>
        </w:tc>
        <w:tc>
          <w:tcPr>
            <w:tcW w:w="23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适应于非经营性非机车停车场。</w:t>
            </w:r>
          </w:p>
        </w:tc>
        <w:tc>
          <w:tcPr>
            <w:tcW w:w="1208"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0" w:hRule="atLeast"/>
        </w:trPr>
        <w:tc>
          <w:tcPr>
            <w:tcW w:w="940" w:type="dxa"/>
            <w:gridSpan w:val="3"/>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000000" w:themeColor="text1"/>
                <w:kern w:val="0"/>
                <w:sz w:val="15"/>
                <w:szCs w:val="15"/>
                <w14:textFill>
                  <w14:solidFill>
                    <w14:schemeClr w14:val="tx1"/>
                  </w14:solidFill>
                </w14:textFill>
              </w:rPr>
            </w:pPr>
          </w:p>
        </w:tc>
        <w:tc>
          <w:tcPr>
            <w:tcW w:w="1500" w:type="dxa"/>
            <w:gridSpan w:val="2"/>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违反条款：《北京市非机动车管理条例》第二十二条第一款；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2000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w:t>
            </w:r>
          </w:p>
        </w:tc>
        <w:tc>
          <w:tcPr>
            <w:tcW w:w="23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适用于经营性停车场。</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需要做出其它处罚额度的，报案审会决定。</w:t>
            </w:r>
          </w:p>
        </w:tc>
        <w:tc>
          <w:tcPr>
            <w:tcW w:w="1208" w:type="dxa"/>
            <w:gridSpan w:val="2"/>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76" w:hRule="atLeast"/>
        </w:trPr>
        <w:tc>
          <w:tcPr>
            <w:tcW w:w="940" w:type="dxa"/>
            <w:gridSpan w:val="3"/>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000000" w:themeColor="text1"/>
                <w:kern w:val="0"/>
                <w:sz w:val="15"/>
                <w:szCs w:val="15"/>
                <w14:textFill>
                  <w14:solidFill>
                    <w14:schemeClr w14:val="tx1"/>
                  </w14:solidFill>
                </w14:textFill>
              </w:rPr>
            </w:pPr>
          </w:p>
        </w:tc>
        <w:tc>
          <w:tcPr>
            <w:tcW w:w="1500"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违反条款：《北京市非机动车管理条例》第二十二条第二款；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color w:val="000000" w:themeColor="text1"/>
                <w:kern w:val="0"/>
                <w:sz w:val="15"/>
                <w:szCs w:val="15"/>
                <w14:textFill>
                  <w14:solidFill>
                    <w14:schemeClr w14:val="tx1"/>
                  </w14:solidFill>
                </w14:textFill>
              </w:rPr>
              <w:t>2</w:t>
            </w:r>
            <w:r>
              <w:rPr>
                <w:rFonts w:hint="eastAsia" w:cs="Arial" w:asciiTheme="minorEastAsia" w:hAnsiTheme="minorEastAsia" w:eastAsiaTheme="minorEastAsia"/>
                <w:color w:val="000000" w:themeColor="text1"/>
                <w:kern w:val="0"/>
                <w:sz w:val="15"/>
                <w:szCs w:val="15"/>
                <w14:textFill>
                  <w14:solidFill>
                    <w14:schemeClr w14:val="tx1"/>
                  </w14:solidFill>
                </w14:textFill>
              </w:rPr>
              <w:t>000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w:t>
            </w:r>
          </w:p>
        </w:tc>
        <w:tc>
          <w:tcPr>
            <w:tcW w:w="23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适用于经营性停车场。</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需要做出其它处罚额度的，报案审会决定。</w:t>
            </w:r>
          </w:p>
        </w:tc>
        <w:tc>
          <w:tcPr>
            <w:tcW w:w="1208"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非机动车公共停车场未建立并落实各项管理和服务制度</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违反条款：《北京市非机动车停车管理办法》第十一条第一款第（二）项；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按照《北京市非机动车管理条例》进行查处。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05" w:hRule="atLeast"/>
        </w:trPr>
        <w:tc>
          <w:tcPr>
            <w:tcW w:w="940" w:type="dxa"/>
            <w:gridSpan w:val="3"/>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违反条款：《北京市非机动车管理条例》第二十三条第（一）项；处罚条款：《北京市非机动车管理条例》第三十二条第一款 责令改正，处1000元以上5000元以下罚款。</w:t>
            </w:r>
          </w:p>
        </w:tc>
        <w:tc>
          <w:tcPr>
            <w:tcW w:w="851" w:type="dxa"/>
            <w:gridSpan w:val="2"/>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76" w:hRule="atLeast"/>
        </w:trPr>
        <w:tc>
          <w:tcPr>
            <w:tcW w:w="940" w:type="dxa"/>
            <w:gridSpan w:val="3"/>
            <w:shd w:val="clear" w:color="auto" w:fill="auto"/>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非机动车公共停车场的经营、管理单位拒绝接受指导和监督检查</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违反条款：《北京市非机动车停车管理办法》第十一条第一款第（三）项；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shd w:val="clear" w:color="auto" w:fill="auto"/>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95" w:hRule="atLeast"/>
        </w:trPr>
        <w:tc>
          <w:tcPr>
            <w:tcW w:w="940" w:type="dxa"/>
            <w:gridSpan w:val="3"/>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未保证非机动车公共停车场内的停车秩序（环境卫生、停车安全）</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案由名称根据所违反“停车秩序、环境卫生、停车安全”的实际情形，选择表述即可。</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违反条款：《北京市非机动车停车管理办法》第十一条第一款第（五）项；</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适用于查处“未保证良好的环境卫生”行为。</w:t>
            </w:r>
          </w:p>
        </w:tc>
        <w:tc>
          <w:tcPr>
            <w:tcW w:w="1208"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35" w:hRule="atLeast"/>
        </w:trPr>
        <w:tc>
          <w:tcPr>
            <w:tcW w:w="940" w:type="dxa"/>
            <w:gridSpan w:val="3"/>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违反条款：《北京市非机动车管理条例》第二十三条第（二）项。</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r>
              <w:rPr>
                <w:rFonts w:cs="Arial" w:asciiTheme="minorEastAsia" w:hAnsiTheme="minorEastAsia" w:eastAsiaTheme="minorEastAsia"/>
                <w:color w:val="000000" w:themeColor="text1"/>
                <w:kern w:val="0"/>
                <w:sz w:val="15"/>
                <w:szCs w:val="15"/>
                <w14:textFill>
                  <w14:solidFill>
                    <w14:schemeClr w14:val="tx1"/>
                  </w14:solidFill>
                </w14:textFill>
              </w:rPr>
              <w:t>000</w:t>
            </w:r>
          </w:p>
        </w:tc>
        <w:tc>
          <w:tcPr>
            <w:tcW w:w="567"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适用于查处“未保障停车场内的停车秩序和停车安全”行为。</w:t>
            </w:r>
          </w:p>
        </w:tc>
        <w:tc>
          <w:tcPr>
            <w:tcW w:w="1208"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3"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43" w:name="_Toc2072679585"/>
            <w:bookmarkStart w:id="144" w:name="_Toc1449640261"/>
            <w:bookmarkStart w:id="145" w:name="_Toc110851480"/>
            <w:r>
              <w:rPr>
                <w:rFonts w:hint="eastAsia" w:ascii="黑体" w:hAnsi="黑体" w:eastAsia="黑体"/>
                <w:b w:val="0"/>
                <w:color w:val="000000" w:themeColor="text1"/>
                <w:sz w:val="24"/>
                <w:szCs w:val="24"/>
                <w14:textFill>
                  <w14:solidFill>
                    <w14:schemeClr w14:val="tx1"/>
                  </w14:solidFill>
                </w14:textFill>
              </w:rPr>
              <w:t>交通运输管理方面</w:t>
            </w:r>
            <w:bookmarkEnd w:id="143"/>
            <w:bookmarkEnd w:id="144"/>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94" w:hRule="atLeast"/>
        </w:trPr>
        <w:tc>
          <w:tcPr>
            <w:tcW w:w="14329" w:type="dxa"/>
            <w:gridSpan w:val="19"/>
            <w:shd w:val="clear" w:color="auto" w:fill="auto"/>
            <w:vAlign w:val="center"/>
          </w:tcPr>
          <w:p>
            <w:pPr>
              <w:pStyle w:val="3"/>
              <w:widowControl w:val="0"/>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46" w:name="_Toc110851481"/>
            <w:bookmarkStart w:id="147" w:name="_Toc1833599949"/>
            <w:bookmarkStart w:id="148" w:name="_Toc2015438049"/>
            <w:r>
              <w:rPr>
                <w:rFonts w:hint="eastAsia" w:asciiTheme="minorEastAsia" w:hAnsiTheme="minorEastAsia" w:eastAsiaTheme="minorEastAsia"/>
                <w:color w:val="000000" w:themeColor="text1"/>
                <w:sz w:val="15"/>
                <w:szCs w:val="15"/>
                <w14:textFill>
                  <w14:solidFill>
                    <w14:schemeClr w14:val="tx1"/>
                  </w14:solidFill>
                </w14:textFill>
              </w:rPr>
              <w:t>《巡游出租汽车经营服务管理规定》案由1项</w:t>
            </w:r>
            <w:bookmarkEnd w:id="146"/>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8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无证经营出租汽车</w:t>
            </w:r>
          </w:p>
        </w:tc>
        <w:tc>
          <w:tcPr>
            <w:tcW w:w="2789" w:type="dxa"/>
            <w:gridSpan w:val="3"/>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w:t>
            </w:r>
          </w:p>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造成秩序混乱或者较大社会影响的，系数1-3。</w:t>
            </w:r>
          </w:p>
        </w:tc>
        <w:tc>
          <w:tcPr>
            <w:tcW w:w="1785" w:type="dxa"/>
            <w:gridSpan w:val="2"/>
            <w:shd w:val="clear" w:color="auto" w:fill="auto"/>
            <w:vAlign w:val="center"/>
          </w:tcPr>
          <w:p>
            <w:pPr>
              <w:spacing w:line="204"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罚款数额＝5000×</w:t>
            </w:r>
            <w:r>
              <w:rPr>
                <w:rFonts w:hint="eastAsia" w:cs="宋体" w:asciiTheme="minorEastAsia" w:hAnsiTheme="minorEastAsia" w:eastAsiaTheme="minorEastAsia"/>
                <w:bCs/>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核心区、一类严格控制地区应当适用《北京市查处非法客运若干规定》查处。</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其他区域优先适用《北京市查处非法客运若干规定》查处。</w:t>
            </w:r>
          </w:p>
          <w:p>
            <w:pPr>
              <w:spacing w:line="204"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重点站区适用本案由，参照交通执法相关裁量基准。</w:t>
            </w:r>
          </w:p>
        </w:tc>
        <w:tc>
          <w:tcPr>
            <w:tcW w:w="1208"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792"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49" w:name="_Toc332296174"/>
            <w:bookmarkStart w:id="150" w:name="_Toc110851482"/>
            <w:bookmarkStart w:id="151" w:name="_Toc121789162"/>
            <w:r>
              <w:rPr>
                <w:rFonts w:hint="eastAsia" w:asciiTheme="minorEastAsia" w:hAnsiTheme="minorEastAsia" w:eastAsiaTheme="minorEastAsia"/>
                <w:color w:val="000000" w:themeColor="text1"/>
                <w:sz w:val="15"/>
                <w:szCs w:val="15"/>
                <w14:textFill>
                  <w14:solidFill>
                    <w14:schemeClr w14:val="tx1"/>
                  </w14:solidFill>
                </w14:textFill>
              </w:rPr>
              <w:t>《北京市查处非法客运若干规定》案由2项</w:t>
            </w:r>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12" w:hRule="atLeast"/>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未经许可擅自（或组织）从事巡游出租汽车客运经营</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没有违法所得或者违法所得不足2万元的，基数为10000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造成秩序混乱或者较大社会影响的，系数2-4；对组织行为，系数为2-4。</w:t>
            </w:r>
          </w:p>
        </w:tc>
        <w:tc>
          <w:tcPr>
            <w:tcW w:w="1785" w:type="dxa"/>
            <w:gridSpan w:val="2"/>
            <w:shd w:val="clear" w:color="auto" w:fill="auto"/>
            <w:vAlign w:val="center"/>
          </w:tcPr>
          <w:p>
            <w:pPr>
              <w:spacing w:line="232" w:lineRule="exac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10000×（1＋区域系数＋情节系数</w:t>
            </w:r>
            <w:r>
              <w:rPr>
                <w:rFonts w:hint="eastAsia" w:cs="宋体" w:asciiTheme="minorEastAsia" w:hAnsiTheme="minorEastAsia" w:eastAsiaTheme="minorEastAsia"/>
                <w:bCs/>
                <w:color w:val="000000" w:themeColor="text1"/>
                <w:sz w:val="15"/>
                <w:szCs w:val="15"/>
                <w14:textFill>
                  <w14:solidFill>
                    <w14:schemeClr w14:val="tx1"/>
                  </w14:solidFill>
                </w14:textFill>
              </w:rPr>
              <w:t>+变量系数</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需要给予其它处罚额度的，报案审会决定。</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重点站区适用本案由，参照交通执法相关裁量基准。</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7"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违法所得2万元以上的，基数为违法所得。</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造成秩序混乱或者较大社会影响的，系数2-4；对组织行为，系数为2-4。</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违法所得×2×（1＋区域系数＋情节系数</w:t>
            </w:r>
            <w:r>
              <w:rPr>
                <w:rFonts w:hint="eastAsia" w:cs="宋体" w:asciiTheme="minorEastAsia" w:hAnsiTheme="minorEastAsia" w:eastAsiaTheme="minorEastAsia"/>
                <w:bCs/>
                <w:color w:val="000000" w:themeColor="text1"/>
                <w:sz w:val="15"/>
                <w:szCs w:val="15"/>
                <w14:textFill>
                  <w14:solidFill>
                    <w14:schemeClr w14:val="tx1"/>
                  </w14:solidFill>
                </w14:textFill>
              </w:rPr>
              <w:t>+变量系数</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69"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利用摩托车、三轮车、残疾人机动轮椅车等车辆从事客运经营</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违反条款：第八条第一款。 </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处罚条款：第八条第二款，没收车辆，没收违法所得，并可处500元以上2000元以下罚款。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 </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造成秩序混乱或者较大社会影响的，系数1-3。</w:t>
            </w:r>
          </w:p>
        </w:tc>
        <w:tc>
          <w:tcPr>
            <w:tcW w:w="1785"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w:t>
            </w:r>
            <w:r>
              <w:rPr>
                <w:rFonts w:hint="eastAsia" w:cs="宋体" w:asciiTheme="minorEastAsia" w:hAnsiTheme="minorEastAsia" w:eastAsiaTheme="minorEastAsia"/>
                <w:bCs/>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bCs/>
                <w:color w:val="000000" w:themeColor="text1"/>
                <w:sz w:val="15"/>
                <w:szCs w:val="15"/>
                <w14:textFill>
                  <w14:solidFill>
                    <w14:schemeClr w14:val="tx1"/>
                  </w14:solidFill>
                </w14:textFill>
              </w:rPr>
              <w:t>＋情节系数+变量系数）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法律责任为必须没收，选择处罚。</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需要给予其它处罚额度的，报案审会决定。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52" w:name="_Toc360901343"/>
            <w:bookmarkStart w:id="153" w:name="_Toc110851483"/>
            <w:bookmarkStart w:id="154" w:name="_Toc1402452666"/>
            <w:r>
              <w:rPr>
                <w:rFonts w:hint="eastAsia" w:ascii="黑体" w:hAnsi="黑体" w:eastAsia="黑体"/>
                <w:b w:val="0"/>
                <w:color w:val="000000" w:themeColor="text1"/>
                <w:sz w:val="24"/>
                <w:szCs w:val="24"/>
                <w14:textFill>
                  <w14:solidFill>
                    <w14:schemeClr w14:val="tx1"/>
                  </w14:solidFill>
                </w14:textFill>
              </w:rPr>
              <w:t>市场监督管理（流动无照经营）方面</w:t>
            </w:r>
            <w:bookmarkEnd w:id="152"/>
            <w:bookmarkEnd w:id="153"/>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55" w:name="_Toc110851484"/>
            <w:bookmarkStart w:id="156" w:name="_Toc847984675"/>
            <w:bookmarkStart w:id="157" w:name="_Toc704954681"/>
            <w:r>
              <w:rPr>
                <w:rFonts w:hint="eastAsia" w:asciiTheme="minorEastAsia" w:hAnsiTheme="minorEastAsia" w:eastAsiaTheme="minorEastAsia"/>
                <w:color w:val="000000" w:themeColor="text1"/>
                <w:sz w:val="15"/>
                <w:szCs w:val="15"/>
                <w14:textFill>
                  <w14:solidFill>
                    <w14:schemeClr w14:val="tx1"/>
                  </w14:solidFill>
                </w14:textFill>
              </w:rPr>
              <w:t>《无证</w:t>
            </w:r>
            <w:r>
              <w:rPr>
                <w:rFonts w:asciiTheme="minorEastAsia" w:hAnsiTheme="minorEastAsia" w:eastAsiaTheme="minorEastAsia"/>
                <w:color w:val="000000" w:themeColor="text1"/>
                <w:sz w:val="15"/>
                <w:szCs w:val="15"/>
                <w14:textFill>
                  <w14:solidFill>
                    <w14:schemeClr w14:val="tx1"/>
                  </w14:solidFill>
                </w14:textFill>
              </w:rPr>
              <w:t>无照经营查处办法</w:t>
            </w:r>
            <w:r>
              <w:rPr>
                <w:rFonts w:hint="eastAsia" w:asciiTheme="minorEastAsia" w:hAnsiTheme="minorEastAsia" w:eastAsiaTheme="minorEastAsia"/>
                <w:color w:val="000000" w:themeColor="text1"/>
                <w:sz w:val="15"/>
                <w:szCs w:val="15"/>
                <w14:textFill>
                  <w14:solidFill>
                    <w14:schemeClr w14:val="tx1"/>
                  </w14:solidFill>
                </w14:textFill>
              </w:rPr>
              <w:t>》案由3项</w:t>
            </w:r>
            <w:bookmarkEnd w:id="155"/>
            <w:bookmarkEnd w:id="156"/>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349" w:hRule="atLeast"/>
        </w:trPr>
        <w:tc>
          <w:tcPr>
            <w:tcW w:w="940" w:type="dxa"/>
            <w:gridSpan w:val="3"/>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无照经营</w:t>
            </w:r>
          </w:p>
        </w:tc>
        <w:tc>
          <w:tcPr>
            <w:tcW w:w="2789" w:type="dxa"/>
            <w:gridSpan w:val="3"/>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违反条款：第二条；</w:t>
            </w:r>
          </w:p>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处罚条款：第十三条，责令停止违法行为，没收违法所得，并处1万元以下的罚款。</w:t>
            </w:r>
          </w:p>
        </w:tc>
        <w:tc>
          <w:tcPr>
            <w:tcW w:w="851" w:type="dxa"/>
            <w:gridSpan w:val="2"/>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罚款数额＝100×（1＋区域系数＋情节系数）</w:t>
            </w:r>
          </w:p>
        </w:tc>
        <w:tc>
          <w:tcPr>
            <w:tcW w:w="2385"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1208" w:type="dxa"/>
            <w:gridSpan w:val="2"/>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45" w:hRule="atLeast"/>
        </w:trPr>
        <w:tc>
          <w:tcPr>
            <w:tcW w:w="940" w:type="dxa"/>
            <w:gridSpan w:val="3"/>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cs="宋体" w:asciiTheme="minorEastAsia" w:hAnsiTheme="minorEastAsia" w:eastAsiaTheme="minorEastAsia"/>
                <w:bCs/>
                <w:color w:val="000000" w:themeColor="text1"/>
                <w:kern w:val="0"/>
                <w:sz w:val="15"/>
                <w:szCs w:val="15"/>
                <w14:textFill>
                  <w14:solidFill>
                    <w14:schemeClr w14:val="tx1"/>
                  </w14:solidFill>
                </w14:textFill>
              </w:rPr>
              <w:t>为无照经营者提供</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场所或者条件</w:t>
            </w:r>
          </w:p>
        </w:tc>
        <w:tc>
          <w:tcPr>
            <w:tcW w:w="2789" w:type="dxa"/>
            <w:gridSpan w:val="3"/>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违反条款：第十四条；</w:t>
            </w:r>
          </w:p>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处罚条款：第十四条，责令停止违法行为，没收违法所得，并处</w:t>
            </w:r>
            <w:r>
              <w:rPr>
                <w:rFonts w:cs="宋体" w:asciiTheme="minorEastAsia" w:hAnsiTheme="minorEastAsia" w:eastAsiaTheme="minorEastAsia"/>
                <w:bCs/>
                <w:color w:val="000000" w:themeColor="text1"/>
                <w:kern w:val="0"/>
                <w:sz w:val="15"/>
                <w:szCs w:val="15"/>
                <w14:textFill>
                  <w14:solidFill>
                    <w14:schemeClr w14:val="tx1"/>
                  </w14:solidFill>
                </w14:textFill>
              </w:rPr>
              <w:t>5000</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元以下的罚款。</w:t>
            </w:r>
          </w:p>
        </w:tc>
        <w:tc>
          <w:tcPr>
            <w:tcW w:w="851" w:type="dxa"/>
            <w:gridSpan w:val="2"/>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00×（1＋区域系数＋情节系数）</w:t>
            </w:r>
          </w:p>
        </w:tc>
        <w:tc>
          <w:tcPr>
            <w:tcW w:w="2385"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139" w:hRule="atLeast"/>
        </w:trPr>
        <w:tc>
          <w:tcPr>
            <w:tcW w:w="940" w:type="dxa"/>
            <w:gridSpan w:val="3"/>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cs="宋体" w:asciiTheme="minorEastAsia" w:hAnsiTheme="minorEastAsia" w:eastAsiaTheme="minorEastAsia"/>
                <w:bCs/>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无照经营（人力三轮车等业务）</w:t>
            </w:r>
          </w:p>
        </w:tc>
        <w:tc>
          <w:tcPr>
            <w:tcW w:w="2789" w:type="dxa"/>
            <w:gridSpan w:val="3"/>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违反条款：第二条；</w:t>
            </w:r>
          </w:p>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处罚条款：第十三条，责令停止违法行为，没收违法所得，并处1万元以下的罚款。</w:t>
            </w:r>
          </w:p>
        </w:tc>
        <w:tc>
          <w:tcPr>
            <w:tcW w:w="851" w:type="dxa"/>
            <w:gridSpan w:val="2"/>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造成秩序混乱或者较大社会影响的，系数1-3。</w:t>
            </w:r>
          </w:p>
        </w:tc>
        <w:tc>
          <w:tcPr>
            <w:tcW w:w="1785"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w:t>
            </w:r>
            <w:r>
              <w:rPr>
                <w:rFonts w:hint="eastAsia" w:cs="宋体" w:asciiTheme="minorEastAsia" w:hAnsiTheme="minorEastAsia" w:eastAsiaTheme="minorEastAsia"/>
                <w:bCs/>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bCs/>
                <w:color w:val="000000" w:themeColor="text1"/>
                <w:sz w:val="15"/>
                <w:szCs w:val="15"/>
                <w14:textFill>
                  <w14:solidFill>
                    <w14:schemeClr w14:val="tx1"/>
                  </w14:solidFill>
                </w14:textFill>
              </w:rPr>
              <w:t>＋情节系数+变量系数）</w:t>
            </w:r>
          </w:p>
        </w:tc>
        <w:tc>
          <w:tcPr>
            <w:tcW w:w="2385"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有生活困难，提出从轻处罚申请的，情节系数可为0。</w:t>
            </w:r>
          </w:p>
          <w:p>
            <w:pPr>
              <w:spacing w:line="232" w:lineRule="exact"/>
              <w:contextualSpacing/>
              <w:rPr>
                <w:rFonts w:cs="宋体" w:asciiTheme="minorEastAsia" w:hAnsiTheme="minorEastAsia" w:eastAsiaTheme="minorEastAsia"/>
                <w:bCs/>
                <w:color w:val="000000" w:themeColor="text1"/>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需要给予其它高额处罚的，经调取证据后，报案审会决定。</w:t>
            </w:r>
          </w:p>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核心区、一类严格控制地区“利用摩托车、三轮车、残疾人机动轮椅车等车辆从事客运经营”，应当适用《北京市查处非法客运若干规定》查处。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82" w:hRule="atLeast"/>
        </w:trPr>
        <w:tc>
          <w:tcPr>
            <w:tcW w:w="14329" w:type="dxa"/>
            <w:gridSpan w:val="19"/>
            <w:shd w:val="clear" w:color="auto" w:fill="auto"/>
            <w:vAlign w:val="center"/>
          </w:tcPr>
          <w:p>
            <w:pPr>
              <w:pStyle w:val="2"/>
              <w:keepNext w:val="0"/>
              <w:keepLines w:val="0"/>
              <w:spacing w:line="232" w:lineRule="exact"/>
              <w:rPr>
                <w:rFonts w:ascii="黑体" w:hAnsi="黑体" w:eastAsia="黑体"/>
                <w:b w:val="0"/>
                <w:color w:val="000000" w:themeColor="text1"/>
                <w:sz w:val="24"/>
                <w:szCs w:val="24"/>
                <w14:textFill>
                  <w14:solidFill>
                    <w14:schemeClr w14:val="tx1"/>
                  </w14:solidFill>
                </w14:textFill>
              </w:rPr>
            </w:pPr>
            <w:bookmarkStart w:id="158" w:name="_Toc1480764497"/>
            <w:bookmarkStart w:id="159" w:name="_Toc110851485"/>
            <w:bookmarkStart w:id="160" w:name="_Toc1160691890"/>
            <w:r>
              <w:rPr>
                <w:rFonts w:hint="eastAsia" w:ascii="黑体" w:hAnsi="黑体" w:eastAsia="黑体"/>
                <w:b w:val="0"/>
                <w:color w:val="000000" w:themeColor="text1"/>
                <w:sz w:val="24"/>
                <w:szCs w:val="24"/>
                <w14:textFill>
                  <w14:solidFill>
                    <w14:schemeClr w14:val="tx1"/>
                  </w14:solidFill>
                </w14:textFill>
              </w:rPr>
              <w:t>城市规划管理方面</w:t>
            </w:r>
            <w:bookmarkEnd w:id="158"/>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before="0" w:beforeAutospacing="0" w:after="0" w:afterAutospacing="0"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61" w:name="_Toc110851486"/>
            <w:bookmarkStart w:id="162" w:name="_Toc187041735"/>
            <w:bookmarkStart w:id="163" w:name="_Toc323853104"/>
            <w:r>
              <w:rPr>
                <w:rFonts w:hint="eastAsia" w:asciiTheme="minorEastAsia" w:hAnsiTheme="minorEastAsia" w:eastAsiaTheme="minorEastAsia"/>
                <w:color w:val="000000" w:themeColor="text1"/>
                <w:sz w:val="15"/>
                <w:szCs w:val="15"/>
                <w14:textFill>
                  <w14:solidFill>
                    <w14:schemeClr w14:val="tx1"/>
                  </w14:solidFill>
                </w14:textFill>
              </w:rPr>
              <w:t>《中华人民共和国城乡规划法》《北京市城乡规划条例》 案由2项</w:t>
            </w:r>
            <w:bookmarkEnd w:id="161"/>
            <w:bookmarkEnd w:id="162"/>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违法建设</w:t>
            </w:r>
          </w:p>
        </w:tc>
        <w:tc>
          <w:tcPr>
            <w:tcW w:w="8296" w:type="dxa"/>
            <w:gridSpan w:val="10"/>
            <w:shd w:val="clear" w:color="auto" w:fill="auto"/>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新生违法建设</w:t>
            </w: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《北京市城乡规划条例》第二十九条第一款；</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拆除条款：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罚款裁量按照《住房和城乡建设部关于印发〈关于规范城乡规划行政处罚裁量权的指导意见〉的通知》执行。</w:t>
            </w:r>
            <w:r>
              <w:rPr>
                <w:rFonts w:hint="eastAsia"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color w:val="000000" w:themeColor="text1"/>
                <w:kern w:val="0"/>
                <w:sz w:val="15"/>
                <w:szCs w:val="15"/>
                <w14:textFill>
                  <w14:solidFill>
                    <w14:schemeClr w14:val="tx1"/>
                  </w14:solidFill>
                </w14:textFill>
              </w:rPr>
              <w:t>（共三页请看全）</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296" w:type="dxa"/>
            <w:gridSpan w:val="10"/>
            <w:tcBorders>
              <w:bottom w:val="single" w:color="auto" w:sz="4" w:space="0"/>
            </w:tcBorders>
            <w:shd w:val="clear" w:color="auto" w:fill="auto"/>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已建成违法建设</w:t>
            </w: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《北京市城乡规划条例》第二十九条第一款；</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拆除条款：（限期拆除）</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（强制拆除）</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spacing w:line="232" w:lineRule="exact"/>
              <w:jc w:val="lef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color w:val="000000" w:themeColor="text1"/>
                <w:kern w:val="0"/>
                <w:sz w:val="15"/>
                <w:szCs w:val="15"/>
                <w14:textFill>
                  <w14:solidFill>
                    <w14:schemeClr w14:val="tx1"/>
                  </w14:solidFill>
                </w14:textFill>
              </w:rPr>
              <w:t>（无主公告）</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日。公告期间届满后</w:t>
            </w:r>
            <w:r>
              <w:rPr>
                <w:rFonts w:cs="宋体"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个月内无人提起行政复议或者行政诉讼的，依法强制拆除或者没收。</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gridSpan w:val="2"/>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罚款裁量按照《住房和城乡建设部关于印发〈关于规范城乡规划行政处罚裁量权的指导意见〉的通知》执行。</w:t>
            </w:r>
          </w:p>
        </w:tc>
        <w:tc>
          <w:tcPr>
            <w:tcW w:w="1208" w:type="dxa"/>
            <w:gridSpan w:val="2"/>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2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296" w:type="dxa"/>
            <w:gridSpan w:val="10"/>
            <w:shd w:val="clear" w:color="auto" w:fill="auto"/>
          </w:tcPr>
          <w:p>
            <w:pPr>
              <w:pBdr>
                <w:top w:val="single" w:color="auto" w:sz="4" w:space="1"/>
              </w:pBdr>
              <w:spacing w:line="232" w:lineRule="exact"/>
              <w:jc w:val="lef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城镇临时建设工程未取得临时建设工程规划许可证违法建设</w:t>
            </w:r>
            <w:r>
              <w:rPr>
                <w:rFonts w:cs="宋体" w:asciiTheme="minorEastAsia" w:hAnsiTheme="minorEastAsia" w:eastAsiaTheme="minorEastAsia"/>
                <w:b/>
                <w:bCs/>
                <w:color w:val="000000" w:themeColor="text1"/>
                <w:kern w:val="0"/>
                <w:sz w:val="15"/>
                <w:szCs w:val="15"/>
                <w14:textFill>
                  <w14:solidFill>
                    <w14:schemeClr w14:val="tx1"/>
                  </w14:solidFill>
                </w14:textFill>
              </w:rPr>
              <w:t>]</w:t>
            </w:r>
          </w:p>
          <w:p>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《北京市城乡规划条例》第二十九条第一款；</w:t>
            </w:r>
          </w:p>
          <w:p>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拆除条款：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第七十六条，城镇临时建设工程未取得临时建设工程规划许可证或者未按照临时建设工程规划许可证许可内容进行建设或者逾期未拆除的，责令限期拆除，可以并处该建设工程造价一倍以下的罚款。</w:t>
            </w:r>
          </w:p>
          <w:p>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日。公告期间届满后</w:t>
            </w:r>
            <w:r>
              <w:rPr>
                <w:rFonts w:cs="宋体"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个月内无人提起行政复议或者行政诉讼的，依法强制拆除或者没收。</w:t>
            </w:r>
          </w:p>
          <w:p>
            <w:pPr>
              <w:spacing w:line="232" w:lineRule="exact"/>
              <w:jc w:val="left"/>
              <w:rPr>
                <w:rFonts w:cs="宋体" w:asciiTheme="minorEastAsia" w:hAnsiTheme="minorEastAsia" w:eastAsiaTheme="minorEastAsia"/>
                <w:b/>
                <w:color w:val="000000" w:themeColor="text1"/>
                <w:kern w:val="0"/>
                <w:sz w:val="15"/>
                <w:szCs w:val="15"/>
                <w:lang w:val="en"/>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《北京市城乡规划条例》第七十六条。</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罚款裁量按照《住房和城乡建设部关于印发〈关于规范城乡规划行政处罚裁量权的指导意见〉的通知》执行。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未按照规定在施工现场对外公示建设工程规划许可证（含临时）及附件、附图</w:t>
            </w:r>
          </w:p>
        </w:tc>
        <w:tc>
          <w:tcPr>
            <w:tcW w:w="2789" w:type="dxa"/>
            <w:gridSpan w:val="3"/>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《北京市城乡规划条例》第六十四条；</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《北京市城乡规划条例》第八十五条，责令限期改正，可以并处</w:t>
            </w:r>
            <w:r>
              <w:rPr>
                <w:rFonts w:cs="宋体" w:asciiTheme="minorEastAsia" w:hAnsiTheme="minorEastAsia" w:eastAsiaTheme="minorEastAsia"/>
                <w:color w:val="000000" w:themeColor="text1"/>
                <w:kern w:val="0"/>
                <w:sz w:val="15"/>
                <w:szCs w:val="15"/>
                <w14:textFill>
                  <w14:solidFill>
                    <w14:schemeClr w14:val="tx1"/>
                  </w14:solidFill>
                </w14:textFill>
              </w:rPr>
              <w:t>5000</w:t>
            </w:r>
            <w:r>
              <w:rPr>
                <w:rFonts w:hint="eastAsia" w:cs="宋体" w:asciiTheme="minorEastAsia" w:hAnsiTheme="minorEastAsia" w:eastAsiaTheme="minorEastAsia"/>
                <w:color w:val="000000" w:themeColor="text1"/>
                <w:kern w:val="0"/>
                <w:sz w:val="15"/>
                <w:szCs w:val="15"/>
                <w14:textFill>
                  <w14:solidFill>
                    <w14:schemeClr w14:val="tx1"/>
                  </w14:solidFill>
                </w14:textFill>
              </w:rPr>
              <w:t>元以上</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5000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情节系数）</w:t>
            </w:r>
          </w:p>
        </w:tc>
        <w:tc>
          <w:tcPr>
            <w:tcW w:w="2385"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该项案由执法区域范畴与查处违法建设分工区域范畴相同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06"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64" w:name="_Toc154103444"/>
            <w:bookmarkStart w:id="165" w:name="_Toc250975437"/>
            <w:bookmarkStart w:id="166" w:name="_Toc110851487"/>
            <w:r>
              <w:rPr>
                <w:rFonts w:hint="eastAsia" w:ascii="黑体" w:hAnsi="黑体" w:eastAsia="黑体"/>
                <w:b w:val="0"/>
                <w:color w:val="000000" w:themeColor="text1"/>
                <w:sz w:val="24"/>
                <w:szCs w:val="24"/>
                <w14:textFill>
                  <w14:solidFill>
                    <w14:schemeClr w14:val="tx1"/>
                  </w14:solidFill>
                </w14:textFill>
              </w:rPr>
              <w:t>旅游管理（黑导游）方面</w:t>
            </w:r>
            <w:bookmarkEnd w:id="164"/>
            <w:bookmarkEnd w:id="165"/>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67" w:name="_Toc989086133"/>
            <w:bookmarkStart w:id="168" w:name="_Toc110851488"/>
            <w:bookmarkStart w:id="169" w:name="_Toc363033362"/>
            <w:r>
              <w:rPr>
                <w:rFonts w:hint="eastAsia" w:asciiTheme="minorEastAsia" w:hAnsiTheme="minorEastAsia" w:eastAsiaTheme="minorEastAsia"/>
                <w:color w:val="000000" w:themeColor="text1"/>
                <w:sz w:val="15"/>
                <w:szCs w:val="15"/>
                <w14:textFill>
                  <w14:solidFill>
                    <w14:schemeClr w14:val="tx1"/>
                  </w14:solidFill>
                </w14:textFill>
              </w:rPr>
              <w:t>《中华人民共和国旅游法》案由1项</w:t>
            </w:r>
            <w:bookmarkEnd w:id="167"/>
            <w:bookmarkEnd w:id="168"/>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无导游证进行导游活动</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违反、处罚条款：第一百零二条第一款，责令改正，没收违法所得，并处1千元以上1万元以下罚款，予以公告。</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在4A级景区，系数1；5A级景区，系数2。</w:t>
            </w:r>
          </w:p>
        </w:tc>
        <w:tc>
          <w:tcPr>
            <w:tcW w:w="1785" w:type="dxa"/>
            <w:gridSpan w:val="2"/>
            <w:shd w:val="clear" w:color="auto" w:fill="auto"/>
            <w:vAlign w:val="center"/>
          </w:tcPr>
          <w:p>
            <w:pPr>
              <w:spacing w:line="220"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1.首次违法，出具保证书，变量系数可为0；2.扰乱旅游秩序较为严重，或者存在其它较重或严重情节的，经案审会审议，给予相应罚款处罚。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34"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70" w:name="_Toc692487740"/>
            <w:bookmarkStart w:id="171" w:name="_Toc110851489"/>
            <w:bookmarkStart w:id="172" w:name="_Toc8089072"/>
            <w:r>
              <w:rPr>
                <w:rFonts w:hint="eastAsia" w:ascii="黑体" w:hAnsi="黑体" w:eastAsia="黑体"/>
                <w:b w:val="0"/>
                <w:color w:val="000000" w:themeColor="text1"/>
                <w:sz w:val="24"/>
                <w:szCs w:val="24"/>
                <w14:textFill>
                  <w14:solidFill>
                    <w14:schemeClr w14:val="tx1"/>
                  </w14:solidFill>
                </w14:textFill>
              </w:rPr>
              <w:t>食品安全管理方面</w:t>
            </w:r>
            <w:bookmarkEnd w:id="170"/>
            <w:bookmarkEnd w:id="171"/>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73" w:name="_Toc110851490"/>
            <w:bookmarkStart w:id="174" w:name="_Toc948913247"/>
            <w:bookmarkStart w:id="175" w:name="_Toc647605357"/>
            <w:r>
              <w:rPr>
                <w:rFonts w:hint="eastAsia" w:asciiTheme="minorEastAsia" w:hAnsiTheme="minorEastAsia" w:eastAsiaTheme="minorEastAsia"/>
                <w:color w:val="000000" w:themeColor="text1"/>
                <w:sz w:val="15"/>
                <w:szCs w:val="15"/>
                <w14:textFill>
                  <w14:solidFill>
                    <w14:schemeClr w14:val="tx1"/>
                  </w14:solidFill>
                </w14:textFill>
              </w:rPr>
              <w:t>《北京市小规模食品生产经营管理规定》案由23项</w:t>
            </w:r>
            <w:bookmarkEnd w:id="173"/>
            <w:bookmarkEnd w:id="174"/>
            <w:bookmarkEnd w:id="1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食品摊贩以欺骗、贿赂等不正当手段取得备案</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处罚条款：第二十三条，对食品摊贩处2000元以上5000元以下罚款。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0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食品摊贩超出备案载明的经营区域、经营时段从事食品生产经营活动</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违反条款：第八条第二款和《北京市市容环境卫生条例》第三十五条第一款；</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处罚条款：第二十四条第三款和《北京市市容环境卫生条例》第三十五条第五款，责令改正，没收违法所得和非法财物，并可处500元以上5000元以下的罚款。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1.超出</w:t>
            </w:r>
            <w:r>
              <w:rPr>
                <w:rFonts w:cs="宋体" w:asciiTheme="minorEastAsia" w:hAnsiTheme="minorEastAsia" w:eastAsiaTheme="minorEastAsia"/>
                <w:color w:val="000000" w:themeColor="text1"/>
                <w:kern w:val="0"/>
                <w:sz w:val="15"/>
                <w:szCs w:val="15"/>
                <w14:textFill>
                  <w14:solidFill>
                    <w14:schemeClr w14:val="tx1"/>
                  </w14:solidFill>
                </w14:textFill>
              </w:rPr>
              <w:t>备案载明的经营区域或经营时段的，系数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为</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；2.同时</w:t>
            </w:r>
            <w:r>
              <w:rPr>
                <w:rFonts w:cs="宋体" w:asciiTheme="minorEastAsia" w:hAnsiTheme="minorEastAsia" w:eastAsiaTheme="minorEastAsia"/>
                <w:color w:val="000000" w:themeColor="text1"/>
                <w:kern w:val="0"/>
                <w:sz w:val="15"/>
                <w:szCs w:val="15"/>
                <w14:textFill>
                  <w14:solidFill>
                    <w14:schemeClr w14:val="tx1"/>
                  </w14:solidFill>
                </w14:textFill>
              </w:rPr>
              <w:t>超出</w:t>
            </w:r>
            <w:r>
              <w:rPr>
                <w:rFonts w:hint="eastAsia" w:cs="宋体" w:asciiTheme="minorEastAsia" w:hAnsiTheme="minorEastAsia" w:eastAsiaTheme="minorEastAsia"/>
                <w:color w:val="000000" w:themeColor="text1"/>
                <w:kern w:val="0"/>
                <w:sz w:val="15"/>
                <w:szCs w:val="15"/>
                <w14:textFill>
                  <w14:solidFill>
                    <w14:schemeClr w14:val="tx1"/>
                  </w14:solidFill>
                </w14:textFill>
              </w:rPr>
              <w:t>备</w:t>
            </w:r>
            <w:r>
              <w:rPr>
                <w:rFonts w:cs="宋体" w:asciiTheme="minorEastAsia" w:hAnsiTheme="minorEastAsia" w:eastAsiaTheme="minorEastAsia"/>
                <w:color w:val="000000" w:themeColor="text1"/>
                <w:kern w:val="0"/>
                <w:sz w:val="15"/>
                <w:szCs w:val="15"/>
                <w14:textFill>
                  <w14:solidFill>
                    <w14:schemeClr w14:val="tx1"/>
                  </w14:solidFill>
                </w14:textFill>
              </w:rPr>
              <w:t>案载明的经营区域</w:t>
            </w:r>
            <w:r>
              <w:rPr>
                <w:rFonts w:hint="eastAsia" w:cs="宋体" w:asciiTheme="minorEastAsia" w:hAnsiTheme="minorEastAsia" w:eastAsiaTheme="minorEastAsia"/>
                <w:color w:val="000000" w:themeColor="text1"/>
                <w:kern w:val="0"/>
                <w:sz w:val="15"/>
                <w:szCs w:val="15"/>
                <w14:textFill>
                  <w14:solidFill>
                    <w14:schemeClr w14:val="tx1"/>
                  </w14:solidFill>
                </w14:textFill>
              </w:rPr>
              <w:t>和</w:t>
            </w:r>
            <w:r>
              <w:rPr>
                <w:rFonts w:cs="宋体" w:asciiTheme="minorEastAsia" w:hAnsiTheme="minorEastAsia" w:eastAsiaTheme="minorEastAsia"/>
                <w:color w:val="000000" w:themeColor="text1"/>
                <w:kern w:val="0"/>
                <w:sz w:val="15"/>
                <w:szCs w:val="15"/>
                <w14:textFill>
                  <w14:solidFill>
                    <w14:schemeClr w14:val="tx1"/>
                  </w14:solidFill>
                </w14:textFill>
              </w:rPr>
              <w:t>经营时段的</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5</w:t>
            </w:r>
            <w:r>
              <w:rPr>
                <w:rFonts w:hint="eastAsia" w:cs="宋体" w:asciiTheme="minorEastAsia" w:hAnsiTheme="minorEastAsia" w:eastAsiaTheme="minorEastAsia"/>
                <w:color w:val="000000" w:themeColor="text1"/>
                <w:kern w:val="0"/>
                <w:sz w:val="15"/>
                <w:szCs w:val="15"/>
                <w14:textFill>
                  <w14:solidFill>
                    <w14:schemeClr w14:val="tx1"/>
                  </w14:solidFill>
                </w14:textFill>
              </w:rPr>
              <w:t>00×（1＋情节系数+变量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食品摊贩用非食品原料生产制作食品（在食品中添加食品添加剂以外的化学物质和其它可能危害人体健康的物质、用回收食品作为原料生产加工食品）</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违反条款：第十三条第一项；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食品摊贩经营病死、毒死或者死因不明的禽、畜、兽、水产动物肉类或者生产经营其制品</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违反条款：第十三条第二项；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食品摊贩经营未按规定进行检疫或者检疫不合格的肉类（未经检验或者检验不合格的肉类制品）</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违反条款：第十三条第三项；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食品摊贩生产经营国家为防病等特殊需要明令禁止生产经营的食品；</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违反条款：第十三条第四项；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食品摊贩违反国家规定在食品中添加药品</w:t>
            </w:r>
          </w:p>
        </w:tc>
        <w:tc>
          <w:tcPr>
            <w:tcW w:w="2789" w:type="dxa"/>
            <w:gridSpan w:val="3"/>
            <w:vMerge w:val="restart"/>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违反条款：第十三条第五项；</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食品摊贩生产制作致病性微生物，农药残留、兽药残留、生物毒素、重金属等污染物质以及其它危害人体健康的物质含量超过食品安全标准限量的食品</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违反条款：第十三条第六项；</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7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食品摊贩超范围、超限量使用食品添加剂生产制作食品（用超过保质期的食品原料、食品添加剂生产制作食品）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违反条款：第十三条第七项；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5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食品摊贩生产经营腐败变质、油脂酸败、霉变生虫、污秽不洁、混有异物、掺假掺杂或者感官性状异常的食品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违反条款：第十三条第八项；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食品摊贩标注虚假生产日期、保质期（销售超过保质期的食品）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违反条款：第十三条第九项；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3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食品摊贩生产制作其它不符合食品安全标准的食品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2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食品摊贩经营冷荤凉菜（生食水产品、裱花蛋糕、散装熟食、散装酒，保健食品、婴幼儿配方食品和特殊医学用途配方食品等特殊食品、区人民政府确定不得经营的类别）</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1.经营</w:t>
            </w:r>
            <w:r>
              <w:rPr>
                <w:rFonts w:cs="宋体" w:asciiTheme="minorEastAsia" w:hAnsiTheme="minorEastAsia" w:eastAsiaTheme="minorEastAsia"/>
                <w:color w:val="000000" w:themeColor="text1"/>
                <w:kern w:val="0"/>
                <w:sz w:val="15"/>
                <w:szCs w:val="15"/>
                <w14:textFill>
                  <w14:solidFill>
                    <w14:schemeClr w14:val="tx1"/>
                  </w14:solidFill>
                </w14:textFill>
              </w:rPr>
              <w:t>冷荤</w:t>
            </w:r>
            <w:r>
              <w:rPr>
                <w:rFonts w:hint="eastAsia" w:cs="宋体" w:asciiTheme="minorEastAsia" w:hAnsiTheme="minorEastAsia" w:eastAsiaTheme="minorEastAsia"/>
                <w:color w:val="000000" w:themeColor="text1"/>
                <w:kern w:val="0"/>
                <w:sz w:val="15"/>
                <w:szCs w:val="15"/>
                <w14:textFill>
                  <w14:solidFill>
                    <w14:schemeClr w14:val="tx1"/>
                  </w14:solidFill>
                </w14:textFill>
              </w:rPr>
              <w:t>凉菜</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生食水产品、裱花蛋糕、散装熟食、散装酒的</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为0.5；</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经营保健食品、婴幼儿配方食品和特殊医学用途配方食品等特殊食品的</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1；3.经营</w:t>
            </w:r>
            <w:r>
              <w:rPr>
                <w:rFonts w:asciiTheme="minorEastAsia" w:hAnsiTheme="minorEastAsia" w:eastAsiaTheme="minorEastAsia"/>
                <w:color w:val="000000" w:themeColor="text1"/>
                <w:sz w:val="15"/>
                <w:szCs w:val="15"/>
                <w14:textFill>
                  <w14:solidFill>
                    <w14:schemeClr w14:val="tx1"/>
                  </w14:solidFill>
                </w14:textFill>
              </w:rPr>
              <w:t>区人民政府确定的不得经营的类别的，系数为</w:t>
            </w:r>
            <w:r>
              <w:rPr>
                <w:rFonts w:hint="eastAsia" w:asciiTheme="minorEastAsia" w:hAnsiTheme="minorEastAsia" w:eastAsiaTheme="minorEastAsia"/>
                <w:color w:val="000000" w:themeColor="text1"/>
                <w:sz w:val="15"/>
                <w:szCs w:val="15"/>
                <w14:textFill>
                  <w14:solidFill>
                    <w14:schemeClr w14:val="tx1"/>
                  </w14:solidFill>
                </w14:textFill>
              </w:rPr>
              <w:t>0。</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＝5000×（1+变量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食品摊贩生产经营被包装材料、容器、运输工具等污染的食品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＝1000×（1+情节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5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食品摊贩采购、销售第十三条第一项、第五项至第七项、第十项规定情形的食品（使用第十三条第一项、第五项至第七项、第十项食品作为食品原料；）</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＝1000×（1+情节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7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食品摊贩购进、存放、使用亚硝酸盐等易滥用的食品添加剂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＝1000×（1+情节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6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食品摊贩生产经营无标签的预包装食品（标签不符合法律、法规规定的食品）</w:t>
            </w:r>
          </w:p>
        </w:tc>
        <w:tc>
          <w:tcPr>
            <w:tcW w:w="2789" w:type="dxa"/>
            <w:gridSpan w:val="3"/>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违反条款：第十三条第十四项；</w:t>
            </w:r>
          </w:p>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1.无</w:t>
            </w:r>
            <w:r>
              <w:rPr>
                <w:rFonts w:cs="宋体" w:asciiTheme="minorEastAsia" w:hAnsiTheme="minorEastAsia" w:eastAsiaTheme="minorEastAsia"/>
                <w:color w:val="000000" w:themeColor="text1"/>
                <w:kern w:val="0"/>
                <w:sz w:val="15"/>
                <w:szCs w:val="15"/>
                <w14:textFill>
                  <w14:solidFill>
                    <w14:schemeClr w14:val="tx1"/>
                  </w14:solidFill>
                </w14:textFill>
              </w:rPr>
              <w:t>标签的预包装食品，系数为2</w:t>
            </w:r>
            <w:r>
              <w:rPr>
                <w:rFonts w:hint="eastAsia" w:cs="宋体" w:asciiTheme="minorEastAsia" w:hAnsiTheme="minorEastAsia" w:eastAsiaTheme="minorEastAsia"/>
                <w:color w:val="000000" w:themeColor="text1"/>
                <w:kern w:val="0"/>
                <w:sz w:val="15"/>
                <w:szCs w:val="15"/>
                <w14:textFill>
                  <w14:solidFill>
                    <w14:schemeClr w14:val="tx1"/>
                  </w14:solidFill>
                </w14:textFill>
              </w:rPr>
              <w:t>；2.标签</w:t>
            </w:r>
            <w:r>
              <w:rPr>
                <w:rFonts w:cs="宋体" w:asciiTheme="minorEastAsia" w:hAnsiTheme="minorEastAsia" w:eastAsiaTheme="minorEastAsia"/>
                <w:color w:val="000000" w:themeColor="text1"/>
                <w:kern w:val="0"/>
                <w:sz w:val="15"/>
                <w:szCs w:val="15"/>
                <w14:textFill>
                  <w14:solidFill>
                    <w14:schemeClr w14:val="tx1"/>
                  </w14:solidFill>
                </w14:textFill>
              </w:rPr>
              <w:t>不符合法律、法规规定的食品，系数为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7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食品摊贩在生产经营条件发生变化，不再符合法律、法规规定要求的情况下继续生产经营</w:t>
            </w:r>
          </w:p>
        </w:tc>
        <w:tc>
          <w:tcPr>
            <w:tcW w:w="2789" w:type="dxa"/>
            <w:gridSpan w:val="3"/>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违反条款：第十三条第十五项；</w:t>
            </w:r>
          </w:p>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食品摊贩安排未取得健康证明或者患有国务院卫生健康行政部门规定的有碍食品安全疾病的人员从事接触直接入口食品的工作</w:t>
            </w:r>
          </w:p>
        </w:tc>
        <w:tc>
          <w:tcPr>
            <w:tcW w:w="2789" w:type="dxa"/>
            <w:gridSpan w:val="3"/>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违反条款：第十三条第十六项；</w:t>
            </w:r>
          </w:p>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83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食品摊贩采购食品、食品原料、食品添加剂、食品相关产品时查验、记录不规范</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5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食品摊贩未对食品添加剂实行专区(柜)存放或没有专用的称量器具</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0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食品摊贩未在生产经营场所显著位置公示备案证明、从业人员健康证明</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处罚条款：第二十九条，责令限期改正；逾期拒不改正的，对食品摊贩处200元以上500元以下罚款。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4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食品摊贩使用食品添加剂的记录、公示不规范</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处罚条款：第二十九条，责令限期改正；逾期拒不改正的，对食品摊贩处200元以上500元以下罚款。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76" w:name="_Toc110851491"/>
            <w:bookmarkStart w:id="177" w:name="_Toc41635676"/>
            <w:bookmarkStart w:id="178" w:name="_Toc987005982"/>
            <w:r>
              <w:rPr>
                <w:rFonts w:hint="eastAsia" w:ascii="黑体" w:hAnsi="黑体" w:eastAsia="黑体"/>
                <w:b w:val="0"/>
                <w:color w:val="000000" w:themeColor="text1"/>
                <w:sz w:val="24"/>
                <w:szCs w:val="24"/>
                <w14:textFill>
                  <w14:solidFill>
                    <w14:schemeClr w14:val="tx1"/>
                  </w14:solidFill>
                </w14:textFill>
              </w:rPr>
              <w:t>能源运行管理方面</w:t>
            </w:r>
            <w:bookmarkEnd w:id="176"/>
            <w:bookmarkEnd w:id="177"/>
            <w:bookmarkEnd w:id="1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煤炭经营管理类案由3</w:t>
            </w:r>
            <w:r>
              <w:rPr>
                <w:rFonts w:asciiTheme="minorEastAsia" w:hAnsiTheme="minorEastAsia" w:eastAsiaTheme="minorEastAsia"/>
                <w:b/>
                <w:color w:val="000000" w:themeColor="text1"/>
                <w:kern w:val="0"/>
                <w:sz w:val="15"/>
                <w:szCs w:val="15"/>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rPr>
                <w:rFonts w:asciiTheme="minorEastAsia" w:hAnsiTheme="minorEastAsia" w:eastAsiaTheme="minorEastAsia"/>
                <w:color w:val="000000" w:themeColor="text1"/>
                <w:sz w:val="15"/>
                <w:szCs w:val="15"/>
                <w14:textFill>
                  <w14:solidFill>
                    <w14:schemeClr w14:val="tx1"/>
                  </w14:solidFill>
                </w14:textFill>
              </w:rPr>
            </w:pPr>
            <w:bookmarkStart w:id="179" w:name="_Toc110851492"/>
            <w:bookmarkStart w:id="180" w:name="_Toc742833011"/>
            <w:bookmarkStart w:id="181" w:name="_Toc1482088652"/>
            <w:r>
              <w:rPr>
                <w:rFonts w:hint="eastAsia" w:asciiTheme="minorEastAsia" w:hAnsiTheme="minorEastAsia" w:eastAsiaTheme="minorEastAsia"/>
                <w:color w:val="000000" w:themeColor="text1"/>
                <w:sz w:val="15"/>
                <w:szCs w:val="15"/>
                <w14:textFill>
                  <w14:solidFill>
                    <w14:schemeClr w14:val="tx1"/>
                  </w14:solidFill>
                </w14:textFill>
              </w:rPr>
              <w:t>《中华人民共和国煤炭法》案由</w:t>
            </w: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项</w:t>
            </w:r>
            <w:bookmarkEnd w:id="179"/>
            <w:bookmarkEnd w:id="180"/>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FFFFFF"/>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擅自开采保安煤柱或者采用危及相邻煤矿生产安全的危险方法采矿作业</w:t>
            </w:r>
          </w:p>
        </w:tc>
        <w:tc>
          <w:tcPr>
            <w:tcW w:w="2789" w:type="dxa"/>
            <w:gridSpan w:val="3"/>
            <w:shd w:val="clear" w:color="auto" w:fill="FFFFFF"/>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gridSpan w:val="2"/>
            <w:shd w:val="clear" w:color="auto" w:fill="FFFFFF"/>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违法所得</w:t>
            </w:r>
          </w:p>
        </w:tc>
        <w:tc>
          <w:tcPr>
            <w:tcW w:w="567" w:type="dxa"/>
            <w:shd w:val="clear" w:color="auto" w:fill="FFFFFF"/>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1.存在较大安全隐患的，系数2</w:t>
            </w: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；2.发生安全事故的，系数4。</w:t>
            </w:r>
          </w:p>
        </w:tc>
        <w:tc>
          <w:tcPr>
            <w:tcW w:w="1785"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罚款数额＝违法所得×（1＋情节系数＋变量系数）</w:t>
            </w:r>
          </w:p>
        </w:tc>
        <w:tc>
          <w:tcPr>
            <w:tcW w:w="2385"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罚款数额不超过违法所得五倍。</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构成犯罪的，由司法机关依法追究刑事责任。</w:t>
            </w:r>
          </w:p>
        </w:tc>
        <w:tc>
          <w:tcPr>
            <w:tcW w:w="1208" w:type="dxa"/>
            <w:gridSpan w:val="2"/>
            <w:shd w:val="clear" w:color="auto" w:fill="FFFFFF"/>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FFFFFF"/>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未经批准或者未采取安全措施在煤矿采区范围内进行危及煤矿安全的作业</w:t>
            </w:r>
          </w:p>
        </w:tc>
        <w:tc>
          <w:tcPr>
            <w:tcW w:w="2789" w:type="dxa"/>
            <w:gridSpan w:val="3"/>
            <w:shd w:val="clear" w:color="auto" w:fill="FFFFFF"/>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违反条款：《中华人民共和国煤炭法》第五十二条第一款；处罚条款：第六十二条，责令停止作业，可以并处五万元以下的罚款。</w:t>
            </w:r>
          </w:p>
        </w:tc>
        <w:tc>
          <w:tcPr>
            <w:tcW w:w="851" w:type="dxa"/>
            <w:gridSpan w:val="2"/>
            <w:shd w:val="clear" w:color="auto" w:fill="FFFFFF"/>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FFFFFF"/>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1.存在较大安全隐患的，系数2</w:t>
            </w: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；2.发生安全事故的，系数4。</w:t>
            </w:r>
          </w:p>
        </w:tc>
        <w:tc>
          <w:tcPr>
            <w:tcW w:w="1785"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其它额度处罚的</w:t>
            </w:r>
            <w:r>
              <w:rPr>
                <w:rFonts w:hint="eastAsia" w:cs="宋体" w:asciiTheme="minorEastAsia" w:hAnsiTheme="minorEastAsia" w:eastAsiaTheme="minorEastAsia"/>
                <w:color w:val="000000" w:themeColor="text1"/>
                <w:kern w:val="0"/>
                <w:sz w:val="15"/>
                <w:szCs w:val="15"/>
                <w14:textFill>
                  <w14:solidFill>
                    <w14:schemeClr w14:val="tx1"/>
                  </w14:solidFill>
                </w14:textFill>
              </w:rPr>
              <w:t>，报案审会讨论决定。</w:t>
            </w:r>
          </w:p>
        </w:tc>
        <w:tc>
          <w:tcPr>
            <w:tcW w:w="1208" w:type="dxa"/>
            <w:gridSpan w:val="2"/>
            <w:shd w:val="clear" w:color="auto" w:fill="FFFFFF"/>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065" w:hRule="atLeast"/>
        </w:trPr>
        <w:tc>
          <w:tcPr>
            <w:tcW w:w="940" w:type="dxa"/>
            <w:gridSpan w:val="3"/>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在煤炭产品中掺杂、掺假，以次充好</w:t>
            </w:r>
          </w:p>
        </w:tc>
        <w:tc>
          <w:tcPr>
            <w:tcW w:w="2789" w:type="dxa"/>
            <w:gridSpan w:val="3"/>
            <w:shd w:val="clear" w:color="auto" w:fill="FFFFFF"/>
            <w:vAlign w:val="center"/>
          </w:tcPr>
          <w:p>
            <w:pPr>
              <w:spacing w:line="232" w:lineRule="exact"/>
              <w:ind w:right="315" w:rightChars="150"/>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违反条款：《中华人民共和国煤炭法》第四十三条第二款；处罚条款：第五十九条，责令停止销售，没收违法所得，并处违法所得一倍以上五倍以下的罚款。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违法所得</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造成严重后果或者社会恶劣影响的，系数4。</w:t>
            </w:r>
          </w:p>
        </w:tc>
        <w:tc>
          <w:tcPr>
            <w:tcW w:w="1785"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罚款数额＝违法所得×（1＋情节系数＋变量系数）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罚款数额不超过违法所得五倍。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构成犯罪的，由司法机关依法追究刑事责任。</w:t>
            </w:r>
          </w:p>
        </w:tc>
        <w:tc>
          <w:tcPr>
            <w:tcW w:w="1208"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tcBorders>
              <w:bottom w:val="single" w:color="auto" w:sz="4" w:space="0"/>
            </w:tcBorders>
            <w:shd w:val="clear" w:color="auto" w:fill="FFFFFF"/>
            <w:vAlign w:val="center"/>
          </w:tcPr>
          <w:p>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tcBorders>
              <w:bottom w:val="single" w:color="auto" w:sz="4" w:space="0"/>
            </w:tcBorders>
            <w:shd w:val="clear" w:color="auto" w:fill="FFFFFF"/>
            <w:vAlign w:val="center"/>
          </w:tcPr>
          <w:p>
            <w:pPr>
              <w:pStyle w:val="3"/>
              <w:widowControl w:val="0"/>
              <w:spacing w:line="232" w:lineRule="exact"/>
              <w:rPr>
                <w:rFonts w:asciiTheme="minorEastAsia" w:hAnsiTheme="minorEastAsia" w:eastAsiaTheme="minorEastAsia"/>
                <w:color w:val="000000" w:themeColor="text1"/>
                <w:sz w:val="15"/>
                <w:szCs w:val="15"/>
                <w14:textFill>
                  <w14:solidFill>
                    <w14:schemeClr w14:val="tx1"/>
                  </w14:solidFill>
                </w14:textFill>
              </w:rPr>
            </w:pPr>
            <w:bookmarkStart w:id="182" w:name="_Toc681767624"/>
            <w:bookmarkStart w:id="183" w:name="_Toc110851493"/>
            <w:bookmarkStart w:id="184" w:name="_Toc1932982768"/>
            <w:r>
              <w:rPr>
                <w:rFonts w:hint="eastAsia" w:asciiTheme="minorEastAsia" w:hAnsiTheme="minorEastAsia" w:eastAsiaTheme="minorEastAsia"/>
                <w:color w:val="000000" w:themeColor="text1"/>
                <w:sz w:val="15"/>
                <w:szCs w:val="15"/>
                <w14:textFill>
                  <w14:solidFill>
                    <w14:schemeClr w14:val="tx1"/>
                  </w14:solidFill>
                </w14:textFill>
              </w:rPr>
              <w:t>《中华人民共和国可再生能源法》案由2项</w:t>
            </w:r>
            <w:bookmarkEnd w:id="182"/>
            <w:bookmarkEnd w:id="183"/>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492" w:hRule="atLeast"/>
        </w:trPr>
        <w:tc>
          <w:tcPr>
            <w:tcW w:w="940" w:type="dxa"/>
            <w:gridSpan w:val="3"/>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经营燃气管网、热力管网的企业不准许符合入网技术标准的燃气、热力入网</w:t>
            </w:r>
          </w:p>
        </w:tc>
        <w:tc>
          <w:tcPr>
            <w:tcW w:w="2789" w:type="dxa"/>
            <w:gridSpan w:val="3"/>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违反条款：第十六条第二款；处罚条款：第三十条，责令限期改正；拒不改正的，处以燃气、热力生产企业经济损失额一倍以下的罚款。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经济</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损失额</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石油销售企业未按照规定将符合国家标准的生物液体燃料纳入其燃料销售体系</w:t>
            </w:r>
          </w:p>
        </w:tc>
        <w:tc>
          <w:tcPr>
            <w:tcW w:w="2789" w:type="dxa"/>
            <w:gridSpan w:val="3"/>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违反条款：第十六条第三款；处罚条款：第三十一条，责令限期改正；拒不改正的，处以生物液体燃料生产企业经济损失额一倍以下的罚款。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经济</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损失额</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85" w:name="_Toc1503392622"/>
            <w:bookmarkStart w:id="186" w:name="_Toc110851494"/>
            <w:bookmarkStart w:id="187" w:name="_Toc2142516953"/>
            <w:r>
              <w:rPr>
                <w:rFonts w:hint="eastAsia" w:asciiTheme="minorEastAsia" w:hAnsiTheme="minorEastAsia" w:eastAsiaTheme="minorEastAsia"/>
                <w:color w:val="000000" w:themeColor="text1"/>
                <w:sz w:val="15"/>
                <w:szCs w:val="15"/>
                <w14:textFill>
                  <w14:solidFill>
                    <w14:schemeClr w14:val="tx1"/>
                  </w14:solidFill>
                </w14:textFill>
              </w:rPr>
              <w:t>《中华人民共和国电力法》《电力供应与使用条例》案由</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项</w:t>
            </w:r>
            <w:bookmarkEnd w:id="185"/>
            <w:bookmarkEnd w:id="186"/>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电力建设项目使用国家明令淘汰的电力设备和技术</w:t>
            </w:r>
          </w:p>
        </w:tc>
        <w:tc>
          <w:tcPr>
            <w:tcW w:w="2789" w:type="dxa"/>
            <w:gridSpan w:val="3"/>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违反条款：《中华人民共和国电力法》第十四条第二款；处罚条款：第六十二条第二款，责令停止使用，没收国家明令淘汰的电力设备，并处五万元以下的罚款。</w:t>
            </w:r>
          </w:p>
        </w:tc>
        <w:tc>
          <w:tcPr>
            <w:tcW w:w="851"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1.存在较大安全隐患的，系数2-3；2.发生安全事故的，系数4。</w:t>
            </w:r>
          </w:p>
        </w:tc>
        <w:tc>
          <w:tcPr>
            <w:tcW w:w="17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其它额度</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，报案审会讨论决定。</w:t>
            </w:r>
          </w:p>
        </w:tc>
        <w:tc>
          <w:tcPr>
            <w:tcW w:w="1208"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507" w:type="dxa"/>
            <w:gridSpan w:val="7"/>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4.逾期未改正，经责令仍拒不改正的，可予以责令停产停业整顿。</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对违法行为，适用《中华人民共和国电力法》处罚。逾期未改正的，应另行立案，适用《中华人民共和国安全生产法》“逾期未改正”情形处罚。</w:t>
            </w:r>
          </w:p>
        </w:tc>
        <w:tc>
          <w:tcPr>
            <w:tcW w:w="1208"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未经许可从事供电或者变更供电营业区</w:t>
            </w:r>
          </w:p>
        </w:tc>
        <w:tc>
          <w:tcPr>
            <w:tcW w:w="2789" w:type="dxa"/>
            <w:gridSpan w:val="3"/>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违反条款：《中华人民共和国电力法》第二十五条第一、三款；处罚条款：第六十三条，责令改正，没收违法所得，可以并处违法所得五倍以下的罚款。</w:t>
            </w:r>
          </w:p>
        </w:tc>
        <w:tc>
          <w:tcPr>
            <w:tcW w:w="851" w:type="dxa"/>
            <w:gridSpan w:val="2"/>
            <w:shd w:val="clear" w:color="auto" w:fill="FFFFFF"/>
            <w:vAlign w:val="center"/>
          </w:tcPr>
          <w:p>
            <w:pPr>
              <w:autoSpaceDE w:val="0"/>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违法所得</w:t>
            </w:r>
          </w:p>
        </w:tc>
        <w:tc>
          <w:tcPr>
            <w:tcW w:w="567" w:type="dxa"/>
            <w:shd w:val="clear" w:color="auto" w:fill="FFFFFF"/>
            <w:vAlign w:val="center"/>
          </w:tcPr>
          <w:p>
            <w:pPr>
              <w:autoSpaceDE w:val="0"/>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未经许可从事电力供应业务，系数2。</w:t>
            </w:r>
          </w:p>
        </w:tc>
        <w:tc>
          <w:tcPr>
            <w:tcW w:w="1785" w:type="dxa"/>
            <w:gridSpan w:val="2"/>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罚款数额＝违法所得×（1＋情节系数＋变量系数）</w:t>
            </w:r>
          </w:p>
        </w:tc>
        <w:tc>
          <w:tcPr>
            <w:tcW w:w="2385" w:type="dxa"/>
            <w:gridSpan w:val="2"/>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罚款数额不超过违法所得五倍。</w:t>
            </w:r>
          </w:p>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需要作出其它额度处罚的，报案审会讨论决定。</w:t>
            </w:r>
          </w:p>
        </w:tc>
        <w:tc>
          <w:tcPr>
            <w:tcW w:w="1208"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供电营业机构拒绝供电</w:t>
            </w:r>
          </w:p>
        </w:tc>
        <w:tc>
          <w:tcPr>
            <w:tcW w:w="2789" w:type="dxa"/>
            <w:gridSpan w:val="3"/>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违反条款：《中华人民共和国电力法》第二十六条第一款；处罚条款：第六十四条，责令改正，给予警告。</w:t>
            </w:r>
          </w:p>
        </w:tc>
        <w:tc>
          <w:tcPr>
            <w:tcW w:w="851"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567" w:type="dxa"/>
            <w:shd w:val="clear" w:color="auto" w:fill="FFFFFF"/>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非罚款处罚事项</w:t>
            </w:r>
          </w:p>
        </w:tc>
        <w:tc>
          <w:tcPr>
            <w:tcW w:w="1208" w:type="dxa"/>
            <w:gridSpan w:val="2"/>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供电企业中断供电</w:t>
            </w:r>
          </w:p>
        </w:tc>
        <w:tc>
          <w:tcPr>
            <w:tcW w:w="2789" w:type="dxa"/>
            <w:gridSpan w:val="3"/>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违反条款：《中华人民共和国电力法》第二十九条第一款；处罚条款：第六十四条，责令改正，给予警告。</w:t>
            </w:r>
          </w:p>
        </w:tc>
        <w:tc>
          <w:tcPr>
            <w:tcW w:w="851"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567" w:type="dxa"/>
            <w:shd w:val="clear" w:color="auto" w:fill="FFFFFF"/>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非罚款处罚事项</w:t>
            </w:r>
          </w:p>
        </w:tc>
        <w:tc>
          <w:tcPr>
            <w:tcW w:w="1208" w:type="dxa"/>
            <w:gridSpan w:val="2"/>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用户危害供电用电安全或者扰乱供电用电秩序</w:t>
            </w:r>
          </w:p>
        </w:tc>
        <w:tc>
          <w:tcPr>
            <w:tcW w:w="2789" w:type="dxa"/>
            <w:gridSpan w:val="3"/>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违反条款：《中华人民共和国电力法》第三十二条第一款；处罚条款：第六十五条，责令改正，给予警告；情节严重或者拒绝改正的，可以中止供电，可以并处五万元以下的罚款。</w:t>
            </w:r>
          </w:p>
        </w:tc>
        <w:tc>
          <w:tcPr>
            <w:tcW w:w="851"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567" w:type="dxa"/>
            <w:shd w:val="clear" w:color="auto" w:fill="FFFFFF"/>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可参照《供用电监督管理办法》第二十八条相关规定。</w:t>
            </w:r>
          </w:p>
        </w:tc>
        <w:tc>
          <w:tcPr>
            <w:tcW w:w="1208"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021" w:hRule="atLeast"/>
        </w:trPr>
        <w:tc>
          <w:tcPr>
            <w:tcW w:w="940" w:type="dxa"/>
            <w:gridSpan w:val="3"/>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6</w:t>
            </w:r>
          </w:p>
        </w:tc>
        <w:tc>
          <w:tcPr>
            <w:tcW w:w="1500"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盗窃电能</w:t>
            </w:r>
          </w:p>
        </w:tc>
        <w:tc>
          <w:tcPr>
            <w:tcW w:w="2789" w:type="dxa"/>
            <w:gridSpan w:val="3"/>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违反条款、处罚条款：《中华人民共和国电力法》第七十一条，责令停止违法行为，追缴电费并处应交电费五倍以下的罚款。</w:t>
            </w:r>
          </w:p>
        </w:tc>
        <w:tc>
          <w:tcPr>
            <w:tcW w:w="851" w:type="dxa"/>
            <w:gridSpan w:val="2"/>
            <w:vMerge w:val="restart"/>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应交电费</w:t>
            </w:r>
          </w:p>
        </w:tc>
        <w:tc>
          <w:tcPr>
            <w:tcW w:w="567"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1.造成电能损失较大或者供电设施、用电计量装置等损坏的，系数2-3；2.造成电能损失严重或者供用电事故的，系数4。</w:t>
            </w:r>
          </w:p>
        </w:tc>
        <w:tc>
          <w:tcPr>
            <w:tcW w:w="1785"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罚款数额＝应交电费×（1＋情节系数＋变量系数）</w:t>
            </w:r>
          </w:p>
        </w:tc>
        <w:tc>
          <w:tcPr>
            <w:tcW w:w="2385"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罚款数额不超过应交电费五倍。</w:t>
            </w:r>
          </w:p>
          <w:p>
            <w:pPr>
              <w:autoSpaceDE w:val="0"/>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p>
            <w:pPr>
              <w:autoSpaceDE w:val="0"/>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构成犯罪的，依法追究刑事责任。</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308" w:hRule="atLeast"/>
        </w:trPr>
        <w:tc>
          <w:tcPr>
            <w:tcW w:w="940" w:type="dxa"/>
            <w:gridSpan w:val="3"/>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违反条款：《电力供应与使用条例》第三十一条第（一）（二）（三）（四）（五）（六）项；处罚条款：第四十一条，责令停止违法行为，追缴电费并处应交电费５倍以下的罚款。</w:t>
            </w:r>
          </w:p>
        </w:tc>
        <w:tc>
          <w:tcPr>
            <w:tcW w:w="851" w:type="dxa"/>
            <w:gridSpan w:val="2"/>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567"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88" w:name="_Toc110851495"/>
            <w:bookmarkStart w:id="189" w:name="_Toc409668775"/>
            <w:bookmarkStart w:id="190" w:name="_Toc1509959345"/>
            <w:r>
              <w:rPr>
                <w:rFonts w:hint="eastAsia" w:asciiTheme="minorEastAsia" w:hAnsiTheme="minorEastAsia" w:eastAsiaTheme="minorEastAsia"/>
                <w:color w:val="000000" w:themeColor="text1"/>
                <w:sz w:val="15"/>
                <w:szCs w:val="15"/>
                <w14:textFill>
                  <w14:solidFill>
                    <w14:schemeClr w14:val="tx1"/>
                  </w14:solidFill>
                </w14:textFill>
              </w:rPr>
              <w:t>《电力设施保护条例》《电力设施保护条例实施细则》案由5项</w:t>
            </w:r>
            <w:bookmarkEnd w:id="188"/>
            <w:bookmarkEnd w:id="189"/>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15" w:hRule="atLeast"/>
        </w:trPr>
        <w:tc>
          <w:tcPr>
            <w:tcW w:w="940" w:type="dxa"/>
            <w:gridSpan w:val="3"/>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危害发电设施、变电设施</w:t>
            </w:r>
          </w:p>
        </w:tc>
        <w:tc>
          <w:tcPr>
            <w:tcW w:w="2789" w:type="dxa"/>
            <w:gridSpan w:val="3"/>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违反条款：《电力设施保护条例》第十三条第（一）（二）（三）（四）（五）项；</w:t>
            </w: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处罚条款：第二十七条，责令改正；拒不改正的，处１万元以下的罚款。</w:t>
            </w:r>
          </w:p>
        </w:tc>
        <w:tc>
          <w:tcPr>
            <w:tcW w:w="851"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1.造成电能损失较大或者发电设施、变电设施损坏的，系数2-3；2.造成事故或者损失严重的，系数4。</w:t>
            </w:r>
          </w:p>
        </w:tc>
        <w:tc>
          <w:tcPr>
            <w:tcW w:w="1785" w:type="dxa"/>
            <w:gridSpan w:val="2"/>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拒不改正的情形，不记入情节系数。</w:t>
            </w: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349" w:hRule="atLeast"/>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危害电力线路设施</w:t>
            </w:r>
          </w:p>
        </w:tc>
        <w:tc>
          <w:tcPr>
            <w:tcW w:w="2789" w:type="dxa"/>
            <w:gridSpan w:val="3"/>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违反条款：《电力设施保护条例》第十四条第（一）（二）（三）（四）（五）（六）（七）（八）（九）（十）（十一）项；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处罚条款：第二十七条，责令改正；拒不改正的，处1万元以下的罚款。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1.造成电能损失较大或者发电设施、变电设施损坏的，系数2-3；2.造成事故或者损失严重的，系数4。</w:t>
            </w:r>
          </w:p>
        </w:tc>
        <w:tc>
          <w:tcPr>
            <w:tcW w:w="17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拒不改正的情形，不记入情节系数。</w:t>
            </w: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p>
            <w:pPr>
              <w:pStyle w:val="21"/>
              <w:ind w:left="0" w:leftChars="0" w:firstLine="0" w:firstLineChars="0"/>
            </w:pP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02" w:hRule="atLeast"/>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损坏使用中的杆塔基础</w:t>
            </w:r>
          </w:p>
        </w:tc>
        <w:tc>
          <w:tcPr>
            <w:tcW w:w="2789" w:type="dxa"/>
            <w:gridSpan w:val="3"/>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违反、处罚条款：《电力设施保护条例实施细则》第二十条第（一）项，责令改正；拒不改正的，处1000元以上10000元以下罚款。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1.造成电能损失较大或者设施损坏的，系数2-3；2.造成事故的，系数4。</w:t>
            </w:r>
          </w:p>
        </w:tc>
        <w:tc>
          <w:tcPr>
            <w:tcW w:w="17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vMerge w:val="continue"/>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68" w:hRule="atLeast"/>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损坏、拆卸、盗窃使用中或备用塔材、导线等电力设施</w:t>
            </w:r>
          </w:p>
        </w:tc>
        <w:tc>
          <w:tcPr>
            <w:tcW w:w="2789" w:type="dxa"/>
            <w:gridSpan w:val="3"/>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违反、处罚条款：《电力设施保护条例实施细则》第二十条第（二）项， 责令改正；拒不改正的，处1000元以上10000元以下罚款。</w:t>
            </w:r>
          </w:p>
        </w:tc>
        <w:tc>
          <w:tcPr>
            <w:tcW w:w="851"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1.损坏、拆卸、盗窃使用中的塔材、导线等电力设施或者造成电能损失较大的，系数2-3；2.造成事故的，系数4。</w:t>
            </w:r>
          </w:p>
        </w:tc>
        <w:tc>
          <w:tcPr>
            <w:tcW w:w="1785"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vMerge w:val="continue"/>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887" w:hRule="atLeast"/>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拆卸、盗窃使用中或备用变压器等电力设备</w:t>
            </w: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违反、处罚条款：《电力设施保护条例实施细则》第二十条第（三）项， 责令改正；拒不改正的，处1000元以上10000元以下罚款。</w:t>
            </w:r>
          </w:p>
        </w:tc>
        <w:tc>
          <w:tcPr>
            <w:tcW w:w="851"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1.拆卸、盗窃使用中变压器等电力设备或者造成电能损失较大的，系数2-3；2.造成事故的，系数4。</w:t>
            </w:r>
          </w:p>
        </w:tc>
        <w:tc>
          <w:tcPr>
            <w:tcW w:w="1785"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拒不改正的情形，不记入情节系数。</w:t>
            </w: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tcBorders>
              <w:bottom w:val="single" w:color="auto" w:sz="4" w:space="0"/>
            </w:tcBorders>
            <w:shd w:val="clear" w:color="auto" w:fill="FFFFFF"/>
            <w:vAlign w:val="center"/>
          </w:tcPr>
          <w:p>
            <w:pPr>
              <w:pStyle w:val="3"/>
              <w:widowControl w:val="0"/>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91" w:name="_Toc2972876"/>
            <w:bookmarkStart w:id="192" w:name="_Toc566357254"/>
            <w:bookmarkStart w:id="193" w:name="_Toc110851496"/>
            <w:r>
              <w:rPr>
                <w:rFonts w:hint="eastAsia" w:asciiTheme="minorEastAsia" w:hAnsiTheme="minorEastAsia" w:eastAsiaTheme="minorEastAsia"/>
                <w:color w:val="000000" w:themeColor="text1"/>
                <w:sz w:val="15"/>
                <w:szCs w:val="15"/>
                <w14:textFill>
                  <w14:solidFill>
                    <w14:schemeClr w14:val="tx1"/>
                  </w14:solidFill>
                </w14:textFill>
              </w:rPr>
              <w:t>《供用电监督管理办法》案由1项</w:t>
            </w:r>
            <w:bookmarkEnd w:id="191"/>
            <w:bookmarkEnd w:id="192"/>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230" w:hRule="atLeast"/>
        </w:trPr>
        <w:tc>
          <w:tcPr>
            <w:tcW w:w="940" w:type="dxa"/>
            <w:gridSpan w:val="3"/>
            <w:vMerge w:val="restart"/>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危害供电、用电安全，扰乱正常供电、用电秩序</w:t>
            </w: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违反、处罚条款：《供用电监督管理办法》第二十八条第（一）项，擅自改变用电类别的，责令改正，给予警告；再次发生的，可下达中止供电命令，并处以一万元以下的罚款。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348" w:hRule="atLeast"/>
        </w:trPr>
        <w:tc>
          <w:tcPr>
            <w:tcW w:w="940" w:type="dxa"/>
            <w:gridSpan w:val="3"/>
            <w:vMerge w:val="continue"/>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769" w:hRule="atLeast"/>
        </w:trPr>
        <w:tc>
          <w:tcPr>
            <w:tcW w:w="940" w:type="dxa"/>
            <w:gridSpan w:val="3"/>
            <w:vMerge w:val="continue"/>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5229" w:type="dxa"/>
            <w:gridSpan w:val="8"/>
            <w:shd w:val="clear" w:color="auto" w:fill="auto"/>
            <w:vAlign w:val="center"/>
          </w:tcPr>
          <w:p>
            <w:pPr>
              <w:pStyle w:val="3"/>
              <w:widowControl w:val="0"/>
              <w:spacing w:before="0" w:beforeAutospacing="0" w:after="0" w:afterAutospacing="0"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94" w:name="_Toc110851497"/>
            <w:bookmarkStart w:id="195" w:name="_Toc1490732698"/>
            <w:bookmarkStart w:id="196" w:name="_Toc1063052512"/>
            <w:r>
              <w:rPr>
                <w:rFonts w:hint="eastAsia" w:asciiTheme="minorEastAsia" w:hAnsiTheme="minorEastAsia" w:eastAsiaTheme="minorEastAsia"/>
                <w:color w:val="000000" w:themeColor="text1"/>
                <w:sz w:val="15"/>
                <w:szCs w:val="15"/>
                <w14:textFill>
                  <w14:solidFill>
                    <w14:schemeClr w14:val="tx1"/>
                  </w14:solidFill>
                </w14:textFill>
              </w:rPr>
              <w:t>《中华人民共和国石油天然气管道保护法》</w:t>
            </w:r>
            <w:bookmarkEnd w:id="194"/>
            <w:bookmarkEnd w:id="195"/>
            <w:bookmarkStart w:id="197" w:name="_Toc110851498"/>
            <w:bookmarkStart w:id="198" w:name="_Toc63324556"/>
            <w:r>
              <w:rPr>
                <w:rFonts w:hint="eastAsia" w:asciiTheme="minorEastAsia" w:hAnsiTheme="minorEastAsia" w:eastAsiaTheme="minorEastAsia"/>
                <w:color w:val="000000" w:themeColor="text1"/>
                <w:sz w:val="15"/>
                <w:szCs w:val="15"/>
                <w14:textFill>
                  <w14:solidFill>
                    <w14:schemeClr w14:val="tx1"/>
                  </w14:solidFill>
                </w14:textFill>
              </w:rPr>
              <w:t>案由22项</w:t>
            </w:r>
            <w:bookmarkEnd w:id="196"/>
            <w:bookmarkEnd w:id="197"/>
            <w:bookmarkEnd w:id="198"/>
          </w:p>
        </w:tc>
        <w:tc>
          <w:tcPr>
            <w:tcW w:w="9100" w:type="dxa"/>
            <w:gridSpan w:val="11"/>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未依法对管道进行巡护、检测和维修</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违反条款：第二十二条或第二十三条第一款；处罚条款：第五十条第一款第（一）项，责令限期改正；逾期不改正的，处二万元以上十万元以下的罚款。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1.未建立巡护制度的，系数2；2.未配备专人进行日常巡护的，系数2；3.未定期对管道风险比较大的区段和场所进行重点监测采取有效措施的，系数2；4.造成事故或者其它严重后果的，系数4。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220" w:hRule="atLeast"/>
        </w:trPr>
        <w:tc>
          <w:tcPr>
            <w:tcW w:w="940" w:type="dxa"/>
            <w:gridSpan w:val="3"/>
            <w:shd w:val="clear" w:color="auto" w:fill="FFFFFF"/>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不符合安全使用条件的管道未及时更新、改造或者停止使用</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违反条款：第二十三条第二款；处罚条款：第五十条第一款第（二）项，责令限期改正；逾期不改正的，处二万元以上十万元以下的罚款。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1.未采取任何措施继续使用，存在较大隐患的，系数2-3；2.造成事故或者其它严重后果的，系数4。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130" w:hRule="atLeast"/>
        </w:trPr>
        <w:tc>
          <w:tcPr>
            <w:tcW w:w="940" w:type="dxa"/>
            <w:gridSpan w:val="3"/>
            <w:shd w:val="clear" w:color="auto" w:fill="FFFFFF"/>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FFFFFF"/>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未按规定设置、修复或者更新管道标志</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违反条款：第十八条；处罚条款：第五十条第一款第（三）项，责令限期改正；逾期不改正的，处二万元以上十万元以下的罚款。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spacing w:val="-3"/>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3"/>
                <w:kern w:val="0"/>
                <w:sz w:val="15"/>
                <w:szCs w:val="15"/>
                <w14:textFill>
                  <w14:solidFill>
                    <w14:schemeClr w14:val="tx1"/>
                  </w14:solidFill>
                </w14:textFill>
              </w:rPr>
              <w:t>1.未依法设置或者未修复更新，存在较大隐患的，系数1-3；2.造成事故或者其它严重后果的，系数4。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355" w:hRule="atLeast"/>
        </w:trPr>
        <w:tc>
          <w:tcPr>
            <w:tcW w:w="940" w:type="dxa"/>
            <w:gridSpan w:val="3"/>
            <w:shd w:val="clear" w:color="auto" w:fill="FFFFFF"/>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FFFFFF"/>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未按规定将管道竣工测量图报送备案</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违反条款：第二十条；处罚条款：第五十条第一款第（四）项，责令限期改正；逾期不改正的，处二万元以上十万元以下的罚款。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1.未报送备案，逾期6-10日，系数1，逾期11-15日，系数2，以此类推；2.造成事故或者其它严重后果的，系数4。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445" w:hRule="atLeast"/>
        </w:trPr>
        <w:tc>
          <w:tcPr>
            <w:tcW w:w="940" w:type="dxa"/>
            <w:gridSpan w:val="3"/>
            <w:shd w:val="clear" w:color="auto" w:fill="FFFFFF"/>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FFFFFF"/>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未制定管道事故应急预案或者未将应急预案报送备案</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违反条款：第三十九条第一款；处罚条款：第五十条第一款第（五）项，责令限期改正；逾期不改正的，处二万元以上十万元以下的罚款。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1.未制定预案的，系数2；2.造成事故或者其它严重后果的，系数4。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005" w:hRule="atLeast"/>
        </w:trPr>
        <w:tc>
          <w:tcPr>
            <w:tcW w:w="940" w:type="dxa"/>
            <w:gridSpan w:val="3"/>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FFFFFF"/>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未采取有效措施消除或者减轻管道事故危害</w:t>
            </w:r>
          </w:p>
        </w:tc>
        <w:tc>
          <w:tcPr>
            <w:tcW w:w="2789" w:type="dxa"/>
            <w:gridSpan w:val="3"/>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违反条款：第三十九条第二款；处罚条款：第五十条第一款第（六）项，责令限期改正；逾期不改正的，处二万元以上十万元以下的罚款。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1.启动应急预案迟缓的，系数2；2.措施明显失当的，系数2；3.造成事故危害扩大的，系数4。</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290" w:hRule="atLeast"/>
        </w:trPr>
        <w:tc>
          <w:tcPr>
            <w:tcW w:w="940" w:type="dxa"/>
            <w:gridSpan w:val="3"/>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FFFFFF"/>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未对停止运行、封存、报废的管道采取必要的安全防护措施</w:t>
            </w:r>
          </w:p>
        </w:tc>
        <w:tc>
          <w:tcPr>
            <w:tcW w:w="2789" w:type="dxa"/>
            <w:gridSpan w:val="3"/>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违反条款：第四十二条；处罚条款：第五十条第一款第（七）项，责令限期改正；逾期不改正的，处二万元以上十万元以下的罚款。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1.未采取任何安全防护措施的，系数2；2.致使事故或者其它严重后果的，系数4。</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restart"/>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vMerge w:val="restart"/>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gridSpan w:val="3"/>
            <w:vMerge w:val="restart"/>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违反条款：第二十九条；处罚条款：第五十二条，责令停止违法行为；情节较重的，对单位处一万元以上十万元以下的罚款，对个人处二百元以上二千元以下的罚款。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vMerge w:val="restart"/>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pStyle w:val="19"/>
              <w:widowControl w:val="0"/>
              <w:shd w:val="clear" w:color="auto" w:fill="FFFFFF"/>
              <w:spacing w:before="0" w:beforeAutospacing="0" w:after="0" w:afterAutospacing="0"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073" w:hRule="atLeast"/>
        </w:trPr>
        <w:tc>
          <w:tcPr>
            <w:tcW w:w="940" w:type="dxa"/>
            <w:gridSpan w:val="3"/>
            <w:vMerge w:val="restart"/>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在管道线路中心线两侧各五米地域范围内种植可能损坏管道防腐层的深根植物</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违反条款：第三十条第（一）项；处罚条款：第五十二条，责令停止违法行为；情节较重的，对单位处一万元以上十万元以下的罚款，对个人处二百元以上二千元以下的罚款。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vMerge w:val="restart"/>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765" w:hRule="atLeast"/>
        </w:trPr>
        <w:tc>
          <w:tcPr>
            <w:tcW w:w="940" w:type="dxa"/>
            <w:gridSpan w:val="3"/>
            <w:vMerge w:val="continue"/>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386" w:hRule="atLeast"/>
        </w:trPr>
        <w:tc>
          <w:tcPr>
            <w:tcW w:w="940" w:type="dxa"/>
            <w:gridSpan w:val="3"/>
            <w:vMerge w:val="restart"/>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在管道线路中心线两侧各五米地域范围内取土、采石、用火、堆放重物、排放腐蚀性物质、使用机械工具进行挖掘施工</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违反条款：第三十条第（二）项；处罚条款：第五十二条，责令停止违法行为；情节较重的，对单位处一万元以上十万元以下的罚款，对个人处二百元以上二千元以下的罚款。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vMerge w:val="restart"/>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915" w:hRule="atLeast"/>
        </w:trPr>
        <w:tc>
          <w:tcPr>
            <w:tcW w:w="940" w:type="dxa"/>
            <w:gridSpan w:val="3"/>
            <w:vMerge w:val="continue"/>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215" w:hRule="atLeast"/>
        </w:trPr>
        <w:tc>
          <w:tcPr>
            <w:tcW w:w="940" w:type="dxa"/>
            <w:gridSpan w:val="3"/>
            <w:vMerge w:val="restart"/>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在管道线路中心线两侧各五米地域范围内挖塘、修渠、修晒场、修建水产养殖场、建温室、建家畜棚圈、建房以及修建其它建筑物、构筑物</w:t>
            </w:r>
          </w:p>
        </w:tc>
        <w:tc>
          <w:tcPr>
            <w:tcW w:w="2789" w:type="dxa"/>
            <w:gridSpan w:val="3"/>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违反条款：第三十条第（三）项；处罚条款：第五十二条，责令停止违法行为；情节较重的，对单位处一万元以上十万元以下的罚款，对个人处二百元以上二千元以下的罚款。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553" w:hRule="atLeast"/>
        </w:trPr>
        <w:tc>
          <w:tcPr>
            <w:tcW w:w="940" w:type="dxa"/>
            <w:gridSpan w:val="3"/>
            <w:vMerge w:val="continue"/>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pStyle w:val="19"/>
              <w:widowControl w:val="0"/>
              <w:shd w:val="clear" w:color="auto" w:fill="FFFFFF"/>
              <w:autoSpaceDE w:val="0"/>
              <w:spacing w:before="0" w:beforeAutospacing="0" w:after="0" w:afterAutospacing="0"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147" w:hRule="atLeast"/>
        </w:trPr>
        <w:tc>
          <w:tcPr>
            <w:tcW w:w="940" w:type="dxa"/>
            <w:gridSpan w:val="3"/>
            <w:vMerge w:val="restart"/>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vMerge w:val="restart"/>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在穿越河流的管道线路中心线两侧各五百米地域范围内抛锚、拖锚、挖砂、挖泥、采石、水下爆破</w:t>
            </w:r>
          </w:p>
        </w:tc>
        <w:tc>
          <w:tcPr>
            <w:tcW w:w="2789" w:type="dxa"/>
            <w:gridSpan w:val="3"/>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违反条款：第三十二条；处罚条款：第五十二条，责令停止违法行为；情节较重的，对单位处一万元以上十万元以下的罚款，对个人处二百元以上二千元以下的罚款。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345" w:hRule="atLeast"/>
        </w:trPr>
        <w:tc>
          <w:tcPr>
            <w:tcW w:w="940" w:type="dxa"/>
            <w:gridSpan w:val="3"/>
            <w:vMerge w:val="continue"/>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pStyle w:val="19"/>
              <w:widowControl w:val="0"/>
              <w:shd w:val="clear" w:color="auto" w:fill="FFFFFF"/>
              <w:autoSpaceDE w:val="0"/>
              <w:spacing w:before="0" w:beforeAutospacing="0" w:after="0" w:afterAutospacing="0"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073" w:hRule="atLeast"/>
        </w:trPr>
        <w:tc>
          <w:tcPr>
            <w:tcW w:w="940" w:type="dxa"/>
            <w:gridSpan w:val="3"/>
            <w:vMerge w:val="restart"/>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vMerge w:val="restart"/>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在管道专用隧道中心线两侧各一千米地域范围内采石、采矿、爆破</w:t>
            </w:r>
          </w:p>
        </w:tc>
        <w:tc>
          <w:tcPr>
            <w:tcW w:w="2789" w:type="dxa"/>
            <w:gridSpan w:val="3"/>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违反条款：第三十三条第一款；处罚条款：第五十二条，责令停止违法行为；情节较重的，对单位处一万元以上十万元以下的罚款，对个人处二百元以上二千元以下的罚款。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541" w:hRule="atLeast"/>
        </w:trPr>
        <w:tc>
          <w:tcPr>
            <w:tcW w:w="940" w:type="dxa"/>
            <w:gridSpan w:val="3"/>
            <w:vMerge w:val="continue"/>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803"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在管道专用隧道中心线两侧各一千米地域范围内修建铁路、公路、水利工程等公共工程，未经批准并采取必要的安全防护措施实施采石、爆破作业</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违反条款：第三十三条第二款；处罚条款：第五十三条，责令停止违法行为；情节较重的，处一万元以上五万元以下的罚款。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3908" w:hRule="atLeast"/>
        </w:trPr>
        <w:tc>
          <w:tcPr>
            <w:tcW w:w="940" w:type="dxa"/>
            <w:gridSpan w:val="3"/>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gridSpan w:val="3"/>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违反条款：第三十五条第一款第（二）项；处罚条款：第五十三条，责令停止违法行为；情节较重的，处一万元以上五万元以下的罚款。</w:t>
            </w:r>
          </w:p>
        </w:tc>
        <w:tc>
          <w:tcPr>
            <w:tcW w:w="851" w:type="dxa"/>
            <w:gridSpan w:val="2"/>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gridSpan w:val="2"/>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较</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501"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未经批准进行穿跨越管道的施工作业</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违反条款：第三十五条第一款第（一）项；处罚条款：第五十三条，责令停止违法行为；情节较重的，处一万元以上五万元以下的罚款。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较</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490"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未经批准，在管道线路中心线两侧各二百米和管道附属设施周边五百米地域范围内，进行爆破、地震法勘探或者工程挖掘、工程钻探、采矿</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违反条款：第三十五条第一款第（三）项；处罚条款：第五十三条，责令停止违法行为；情节较重的，处一万元以上五万元以下的罚款。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较</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431"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擅自开启、关闭管道阀门</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违反条款：第二十八条第（一）项；处罚条款：第五十四条第（一）项，责令改正；情节严重的，处二百元以上一千元以下的罚款。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严</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408"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移动、毁损、涂改管道标志</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违反条款：第二十八条第（三）项；处罚条款：第五十四条第（二）项，责令改正；情节严重的，处二百元以上一千元以下的罚款。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严</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055"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shd w:val="clear" w:color="auto" w:fill="FFFFFF"/>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在埋地管道上方巡查便道上行驶重型车辆</w:t>
            </w:r>
          </w:p>
        </w:tc>
        <w:tc>
          <w:tcPr>
            <w:tcW w:w="2789" w:type="dxa"/>
            <w:gridSpan w:val="3"/>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违反条款：第二十八条第（四）项；处罚条款：第五十四条第（三）项，责令改正；情节严重的，处二百元以上一千元以下的罚款。</w:t>
            </w:r>
          </w:p>
        </w:tc>
        <w:tc>
          <w:tcPr>
            <w:tcW w:w="851" w:type="dxa"/>
            <w:gridSpan w:val="2"/>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300"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shd w:val="clear" w:color="auto" w:fill="FFFFFF"/>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在地面管道线路、架空管道线路和管桥上行走或者放置重物</w:t>
            </w:r>
          </w:p>
        </w:tc>
        <w:tc>
          <w:tcPr>
            <w:tcW w:w="2789" w:type="dxa"/>
            <w:gridSpan w:val="3"/>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违反条款：第二十八条第（五）项；处罚条款：第五十四条第（四）项，责令改正；情节严重的，处二百元以上一千元以下的罚款。</w:t>
            </w:r>
          </w:p>
        </w:tc>
        <w:tc>
          <w:tcPr>
            <w:tcW w:w="851" w:type="dxa"/>
            <w:gridSpan w:val="2"/>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300"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shd w:val="clear" w:color="auto" w:fill="FFFFFF"/>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阻碍依法进行的管道建设</w:t>
            </w:r>
          </w:p>
        </w:tc>
        <w:tc>
          <w:tcPr>
            <w:tcW w:w="2789" w:type="dxa"/>
            <w:gridSpan w:val="3"/>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违反条款：第十五条；处罚条款：第五十四条第（五）项，责令改正；情节严重的，处二百元以上一千元以下的罚款。</w:t>
            </w:r>
          </w:p>
        </w:tc>
        <w:tc>
          <w:tcPr>
            <w:tcW w:w="851" w:type="dxa"/>
            <w:gridSpan w:val="2"/>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661" w:hRule="atLeast"/>
        </w:trPr>
        <w:tc>
          <w:tcPr>
            <w:tcW w:w="14329" w:type="dxa"/>
            <w:gridSpan w:val="19"/>
            <w:shd w:val="clear" w:color="auto" w:fill="FFFFFF"/>
            <w:vAlign w:val="center"/>
          </w:tcPr>
          <w:p>
            <w:pPr>
              <w:pStyle w:val="2"/>
              <w:keepNext w:val="0"/>
              <w:keepLines w:val="0"/>
              <w:spacing w:line="232" w:lineRule="exact"/>
              <w:rPr>
                <w:rFonts w:ascii="黑体" w:hAnsi="黑体" w:eastAsia="黑体"/>
                <w:b w:val="0"/>
                <w:sz w:val="24"/>
                <w:szCs w:val="24"/>
              </w:rPr>
            </w:pPr>
            <w:bookmarkStart w:id="199" w:name="_Toc110851499"/>
            <w:bookmarkStart w:id="200" w:name="_Toc744148850"/>
            <w:bookmarkStart w:id="201" w:name="_Toc604543255"/>
            <w:r>
              <w:rPr>
                <w:rFonts w:hint="eastAsia" w:ascii="黑体" w:hAnsi="黑体" w:eastAsia="黑体"/>
                <w:b w:val="0"/>
                <w:sz w:val="24"/>
                <w:szCs w:val="24"/>
              </w:rPr>
              <w:t>疫情防控管理方面</w:t>
            </w:r>
            <w:bookmarkEnd w:id="199"/>
            <w:bookmarkEnd w:id="200"/>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jc w:val="center"/>
              <w:rPr>
                <w:rFonts w:asciiTheme="minorEastAsia" w:hAnsiTheme="minorEastAsia" w:eastAsiaTheme="minorEastAsia"/>
                <w:sz w:val="15"/>
                <w:szCs w:val="15"/>
              </w:rPr>
            </w:pPr>
            <w:bookmarkStart w:id="202" w:name="_Toc110851500"/>
            <w:bookmarkStart w:id="203" w:name="_Toc919550691"/>
            <w:bookmarkStart w:id="204" w:name="_Toc187603210"/>
            <w:r>
              <w:rPr>
                <w:rFonts w:asciiTheme="minorEastAsia" w:hAnsiTheme="minorEastAsia" w:eastAsiaTheme="minorEastAsia"/>
                <w:sz w:val="15"/>
                <w:szCs w:val="15"/>
              </w:rPr>
              <w:t>《公共场所卫生管理条例实施细则》</w:t>
            </w:r>
            <w:r>
              <w:rPr>
                <w:rFonts w:hint="eastAsia" w:asciiTheme="minorEastAsia" w:hAnsiTheme="minorEastAsia" w:eastAsiaTheme="minorEastAsia"/>
                <w:sz w:val="15"/>
                <w:szCs w:val="15"/>
              </w:rPr>
              <w:t>案由3项</w:t>
            </w:r>
            <w:bookmarkEnd w:id="202"/>
            <w:bookmarkEnd w:id="203"/>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755"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FFFFFF"/>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公共场所经营者未按照规定建立卫生管理制度、设立卫生管理部门或者配备专（兼）职卫生管理人员，或者未建立卫生管理档案</w:t>
            </w:r>
          </w:p>
        </w:tc>
        <w:tc>
          <w:tcPr>
            <w:tcW w:w="2789" w:type="dxa"/>
            <w:gridSpan w:val="3"/>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违反条款：第七条第二款；处罚条款：第三十七条第（一）项 责令限期改正；逾期不改的，给予警告，并处以一千元以上一万元以下罚款；对拒绝监督的，处以一万元以上三万元以下罚款；情节严重的，可以依法责令停业整顿，直至吊销卫生许可证。</w:t>
            </w:r>
          </w:p>
        </w:tc>
        <w:tc>
          <w:tcPr>
            <w:tcW w:w="7892" w:type="dxa"/>
            <w:gridSpan w:val="9"/>
            <w:shd w:val="clear" w:color="auto" w:fill="auto"/>
            <w:vAlign w:val="center"/>
          </w:tcPr>
          <w:p>
            <w:pPr>
              <w:spacing w:line="232" w:lineRule="exact"/>
              <w:jc w:val="left"/>
              <w:rPr>
                <w:rFonts w:cs="Arial" w:asciiTheme="minorEastAsia" w:hAnsiTheme="minorEastAsia" w:eastAsiaTheme="minorEastAsia"/>
                <w:kern w:val="0"/>
                <w:sz w:val="15"/>
                <w:szCs w:val="15"/>
              </w:rPr>
            </w:pPr>
            <w:r>
              <w:rPr>
                <w:rFonts w:hint="eastAsia" w:cs="Arial" w:asciiTheme="minorEastAsia" w:hAnsiTheme="minorEastAsia" w:eastAsiaTheme="minorEastAsia"/>
                <w:kern w:val="0"/>
                <w:sz w:val="15"/>
                <w:szCs w:val="15"/>
              </w:rPr>
              <w:t>责令限期改正；并且逾期不改，给予警告，并处以一千元以上一万元以下罚款；</w:t>
            </w:r>
          </w:p>
          <w:p>
            <w:pPr>
              <w:spacing w:line="232" w:lineRule="exact"/>
              <w:jc w:val="left"/>
              <w:rPr>
                <w:rFonts w:cs="Arial" w:asciiTheme="minorEastAsia" w:hAnsiTheme="minorEastAsia" w:eastAsiaTheme="minorEastAsia"/>
                <w:kern w:val="0"/>
                <w:sz w:val="15"/>
                <w:szCs w:val="15"/>
              </w:rPr>
            </w:pPr>
            <w:r>
              <w:rPr>
                <w:rFonts w:hint="eastAsia" w:cs="Arial" w:asciiTheme="minorEastAsia" w:hAnsiTheme="minorEastAsia" w:eastAsiaTheme="minorEastAsia"/>
                <w:kern w:val="0"/>
                <w:sz w:val="15"/>
                <w:szCs w:val="15"/>
              </w:rPr>
              <w:t>并且拒绝监督，处以一万元以上三万元以下罚款；并且情节严重，责令停业整顿；</w:t>
            </w:r>
          </w:p>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kern w:val="0"/>
                <w:sz w:val="15"/>
                <w:szCs w:val="15"/>
              </w:rPr>
              <w:t>并且情节严重，吊销卫生许可证。</w:t>
            </w:r>
          </w:p>
        </w:tc>
        <w:tc>
          <w:tcPr>
            <w:tcW w:w="1208" w:type="dxa"/>
            <w:gridSpan w:val="2"/>
            <w:shd w:val="clear" w:color="auto" w:fill="auto"/>
            <w:vAlign w:val="center"/>
          </w:tcPr>
          <w:p>
            <w:pPr>
              <w:spacing w:line="23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14"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提供给顾客使用的用品用具，未按照有关卫生标准和要求清洗、消毒、保洁</w:t>
            </w:r>
          </w:p>
        </w:tc>
        <w:tc>
          <w:tcPr>
            <w:tcW w:w="2789" w:type="dxa"/>
            <w:gridSpan w:val="3"/>
            <w:shd w:val="clear" w:color="auto" w:fill="auto"/>
            <w:vAlign w:val="center"/>
          </w:tcPr>
          <w:p>
            <w:pPr>
              <w:autoSpaceDE w:val="0"/>
              <w:spacing w:line="21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违反条款：第十四条；处罚条款：第三十六条第（二）项 责令限期改正，给予警告，并可处以二千元以下罚款；逾期不改正，造成公共场所卫生质量不符合卫生标准和要求的，处以二千元以上二万元以下罚款；情节严重的，可以依法责令停业整顿，直至吊销卫生许可证。</w:t>
            </w:r>
          </w:p>
        </w:tc>
        <w:tc>
          <w:tcPr>
            <w:tcW w:w="7892" w:type="dxa"/>
            <w:gridSpan w:val="9"/>
            <w:shd w:val="clear" w:color="auto" w:fill="auto"/>
            <w:vAlign w:val="center"/>
          </w:tcPr>
          <w:p>
            <w:pPr>
              <w:spacing w:line="212"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责令限期改正，给予警告，并可处以二千元以下罚款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并且逾期不改正，造成公共场所卫生质量不符合卫生标准和要求</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处以二千元以上二万元以下罚款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责令停业整顿</w:t>
            </w:r>
            <w:r>
              <w:rPr>
                <w:rFonts w:hint="eastAsia" w:cs="Arial" w:asciiTheme="minorEastAsia" w:hAnsiTheme="minorEastAsia" w:eastAsiaTheme="minorEastAsia"/>
                <w:kern w:val="0"/>
                <w:sz w:val="15"/>
                <w:szCs w:val="15"/>
              </w:rPr>
              <w:t>；</w:t>
            </w:r>
          </w:p>
          <w:p>
            <w:pPr>
              <w:spacing w:line="21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吊销卫生许可证</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责令限期改正，给予警告，并可处以二千元以下罚款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重复使用一次性用品用具，并且逾期不改正，造成公共场所卫生质量不符合卫生标准和要求</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处以二千元以上二万元以下罚款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责令停业整顿</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吊销卫生许可证</w:t>
            </w:r>
            <w:r>
              <w:rPr>
                <w:rFonts w:hint="eastAsia" w:cs="Arial" w:asciiTheme="minorEastAsia" w:hAnsiTheme="minorEastAsia" w:eastAsiaTheme="minorEastAsia"/>
                <w:kern w:val="0"/>
                <w:sz w:val="15"/>
                <w:szCs w:val="15"/>
              </w:rPr>
              <w:t>。</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1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35"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FFFFFF"/>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安排未获得有效健康合格证明的从业人员从事直接为顾客服务工作</w:t>
            </w:r>
          </w:p>
        </w:tc>
        <w:tc>
          <w:tcPr>
            <w:tcW w:w="2789" w:type="dxa"/>
            <w:gridSpan w:val="3"/>
            <w:shd w:val="clear" w:color="auto" w:fill="auto"/>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违反条款：第十条第一款；处罚条款：第三十八条 责令限期改正，给予警告，并处以五百元以上五千元以下罚款；逾期不改正的，处以五千元以上一万五千元以下罚款。 </w:t>
            </w:r>
          </w:p>
        </w:tc>
        <w:tc>
          <w:tcPr>
            <w:tcW w:w="7892" w:type="dxa"/>
            <w:gridSpan w:val="9"/>
            <w:shd w:val="clear" w:color="auto" w:fill="auto"/>
            <w:vAlign w:val="center"/>
          </w:tcPr>
          <w:p>
            <w:pPr>
              <w:spacing w:line="212"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安排未获得有效健康合格证明的从业人员从事直接为顾客服务工作</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责令限期改正，给予警告，并处以五百元以上五千元以下罚款</w:t>
            </w:r>
            <w:r>
              <w:rPr>
                <w:rFonts w:hint="eastAsia" w:cs="Arial" w:asciiTheme="minorEastAsia" w:hAnsiTheme="minorEastAsia" w:eastAsiaTheme="minorEastAsia"/>
                <w:kern w:val="0"/>
                <w:sz w:val="15"/>
                <w:szCs w:val="15"/>
              </w:rPr>
              <w:t>；</w:t>
            </w:r>
          </w:p>
          <w:p>
            <w:pPr>
              <w:spacing w:line="21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安排未获得有效健康合格证明的从业人员从事直接为顾客服务工作，并且逾期不改正</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处以五千元以上一万五千元以下罚款</w:t>
            </w:r>
            <w:r>
              <w:rPr>
                <w:rFonts w:hint="eastAsia" w:cs="Arial" w:asciiTheme="minorEastAsia" w:hAnsiTheme="minorEastAsia" w:eastAsiaTheme="minorEastAsia"/>
                <w:kern w:val="0"/>
                <w:sz w:val="15"/>
                <w:szCs w:val="15"/>
              </w:rPr>
              <w:t>。</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1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jc w:val="center"/>
              <w:rPr>
                <w:rFonts w:asciiTheme="minorEastAsia" w:hAnsiTheme="minorEastAsia" w:eastAsiaTheme="minorEastAsia"/>
                <w:sz w:val="15"/>
                <w:szCs w:val="15"/>
              </w:rPr>
            </w:pPr>
            <w:bookmarkStart w:id="205" w:name="_Toc529059210"/>
            <w:bookmarkStart w:id="206" w:name="_Toc1881985316"/>
            <w:bookmarkStart w:id="207" w:name="_Toc110851501"/>
            <w:r>
              <w:rPr>
                <w:rFonts w:asciiTheme="minorEastAsia" w:hAnsiTheme="minorEastAsia" w:eastAsiaTheme="minorEastAsia"/>
                <w:sz w:val="15"/>
                <w:szCs w:val="15"/>
              </w:rPr>
              <w:t>《北京市集中空调通风系统卫生管理办法》</w:t>
            </w:r>
            <w:r>
              <w:rPr>
                <w:rFonts w:hint="eastAsia" w:asciiTheme="minorEastAsia" w:hAnsiTheme="minorEastAsia" w:eastAsiaTheme="minorEastAsia"/>
                <w:sz w:val="15"/>
                <w:szCs w:val="15"/>
              </w:rPr>
              <w:t>案由2项</w:t>
            </w:r>
            <w:bookmarkEnd w:id="205"/>
            <w:bookmarkEnd w:id="206"/>
            <w:bookmarkEnd w:id="2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FFFFFF"/>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管理责任人未按照规定建立集中空调通风系统卫生维护管理档案或者建立档案不符合规定</w:t>
            </w:r>
          </w:p>
        </w:tc>
        <w:tc>
          <w:tcPr>
            <w:tcW w:w="2789" w:type="dxa"/>
            <w:gridSpan w:val="3"/>
            <w:shd w:val="clear" w:color="auto" w:fill="auto"/>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违反条款：第四条；处罚条款：第十九条第一款 责令改正，并可处2000元以上5000元以下罚款。</w:t>
            </w:r>
          </w:p>
        </w:tc>
        <w:tc>
          <w:tcPr>
            <w:tcW w:w="7892" w:type="dxa"/>
            <w:gridSpan w:val="9"/>
            <w:shd w:val="clear" w:color="auto" w:fill="auto"/>
            <w:vAlign w:val="center"/>
          </w:tcPr>
          <w:p>
            <w:pPr>
              <w:spacing w:line="212"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管理责任人未按照规定建立集中空调通风系统卫生维护管理档案或者建立档案不符合规定</w:t>
            </w:r>
          </w:p>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责令改正，并可处2000元以上5000元以下罚款</w:t>
            </w:r>
            <w:r>
              <w:rPr>
                <w:rFonts w:hint="eastAsia" w:cs="Arial" w:asciiTheme="minorEastAsia" w:hAnsiTheme="minorEastAsia" w:eastAsiaTheme="minorEastAsia"/>
                <w:kern w:val="0"/>
                <w:sz w:val="15"/>
                <w:szCs w:val="15"/>
              </w:rPr>
              <w:t>。</w:t>
            </w:r>
          </w:p>
        </w:tc>
        <w:tc>
          <w:tcPr>
            <w:tcW w:w="1208" w:type="dxa"/>
            <w:gridSpan w:val="2"/>
            <w:shd w:val="clear" w:color="auto" w:fill="auto"/>
            <w:vAlign w:val="center"/>
          </w:tcPr>
          <w:p>
            <w:pPr>
              <w:autoSpaceDE w:val="0"/>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1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160"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autoSpaceDE w:val="0"/>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未按规定对机组、过滤网、通风管、通风口、风机盘管等设备设施进行检测、维护清洗</w:t>
            </w:r>
          </w:p>
        </w:tc>
        <w:tc>
          <w:tcPr>
            <w:tcW w:w="2789" w:type="dxa"/>
            <w:gridSpan w:val="3"/>
            <w:shd w:val="clear" w:color="auto" w:fill="auto"/>
            <w:vAlign w:val="center"/>
          </w:tcPr>
          <w:p>
            <w:pPr>
              <w:autoSpaceDE w:val="0"/>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违反条款：第七条、第九条第一款；处罚条款：第二十条第二款 责令改正，并可处1万元以上3万元以下罚款；造成设备设施卫生状况不符合集中空调通风系统卫生管理标准的，由卫生行政部门责令改正，拒不改正的，处3万元以上5万元以下罚款。</w:t>
            </w:r>
          </w:p>
        </w:tc>
        <w:tc>
          <w:tcPr>
            <w:tcW w:w="7892" w:type="dxa"/>
            <w:gridSpan w:val="9"/>
            <w:shd w:val="clear" w:color="auto" w:fill="auto"/>
            <w:vAlign w:val="center"/>
          </w:tcPr>
          <w:p>
            <w:pPr>
              <w:spacing w:line="220"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责令改正，并可处1万元以上3万元以下罚款</w:t>
            </w:r>
            <w:r>
              <w:rPr>
                <w:rFonts w:hint="eastAsia" w:cs="Arial" w:asciiTheme="minorEastAsia" w:hAnsiTheme="minorEastAsia" w:eastAsiaTheme="minorEastAsia"/>
                <w:kern w:val="0"/>
                <w:sz w:val="15"/>
                <w:szCs w:val="15"/>
              </w:rPr>
              <w:t>；</w:t>
            </w:r>
          </w:p>
          <w:p>
            <w:pPr>
              <w:spacing w:line="220"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造成卫生状况不符合集中空调通风系统卫生管理标准</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责令改正</w:t>
            </w:r>
            <w:r>
              <w:rPr>
                <w:rFonts w:hint="eastAsia" w:cs="Arial" w:asciiTheme="minorEastAsia" w:hAnsiTheme="minorEastAsia" w:eastAsiaTheme="minorEastAsia"/>
                <w:kern w:val="0"/>
                <w:sz w:val="15"/>
                <w:szCs w:val="15"/>
              </w:rPr>
              <w:t>；</w:t>
            </w:r>
          </w:p>
          <w:p>
            <w:pPr>
              <w:spacing w:line="220"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造成卫生状况不符合集中空调通风系统卫生管理标准，拒不改正</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责令改正，并可处3万元以上5万元以下罚款</w:t>
            </w:r>
            <w:r>
              <w:rPr>
                <w:rFonts w:hint="eastAsia" w:cs="Arial" w:asciiTheme="minorEastAsia" w:hAnsiTheme="minorEastAsia" w:eastAsiaTheme="minorEastAsia"/>
                <w:kern w:val="0"/>
                <w:sz w:val="15"/>
                <w:szCs w:val="15"/>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vAlign w:val="center"/>
          </w:tcPr>
          <w:p>
            <w:pPr>
              <w:pStyle w:val="2"/>
              <w:keepNext w:val="0"/>
              <w:keepLines w:val="0"/>
              <w:spacing w:line="220" w:lineRule="exact"/>
              <w:rPr>
                <w:rFonts w:asciiTheme="minorEastAsia" w:hAnsiTheme="minorEastAsia" w:eastAsiaTheme="minorEastAsia"/>
                <w:sz w:val="15"/>
                <w:szCs w:val="15"/>
              </w:rPr>
            </w:pPr>
            <w:bookmarkStart w:id="208" w:name="_Toc1437339030"/>
            <w:bookmarkStart w:id="209" w:name="_Toc341845612"/>
            <w:bookmarkStart w:id="210" w:name="_Toc1953583257"/>
            <w:bookmarkStart w:id="211" w:name="_Toc110851502"/>
            <w:r>
              <w:rPr>
                <w:rFonts w:hint="eastAsia" w:asciiTheme="minorEastAsia" w:hAnsiTheme="minorEastAsia" w:eastAsiaTheme="minorEastAsia"/>
                <w:sz w:val="15"/>
                <w:szCs w:val="15"/>
              </w:rPr>
              <w:t>生态环境管理方面</w:t>
            </w:r>
            <w:bookmarkEnd w:id="208"/>
            <w:r>
              <w:rPr>
                <w:rFonts w:hint="eastAsia" w:asciiTheme="minorEastAsia" w:hAnsiTheme="minorEastAsia" w:eastAsiaTheme="minorEastAsia"/>
                <w:sz w:val="15"/>
                <w:szCs w:val="15"/>
              </w:rPr>
              <w:t>4项</w:t>
            </w:r>
            <w:bookmarkEnd w:id="209"/>
            <w:bookmarkEnd w:id="210"/>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20"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服装干洗和机动车维修等</w:t>
            </w:r>
            <w:r>
              <w:rPr>
                <w:rFonts w:hint="eastAsia" w:cs="仿宋_GB2312" w:asciiTheme="minorEastAsia" w:hAnsiTheme="minorEastAsia" w:eastAsiaTheme="minorEastAsia"/>
                <w:kern w:val="0"/>
                <w:sz w:val="15"/>
                <w:szCs w:val="15"/>
              </w:rPr>
              <w:t>项目</w:t>
            </w:r>
            <w:r>
              <w:rPr>
                <w:rFonts w:hint="eastAsia" w:cs="仿宋_GB2312" w:asciiTheme="minorEastAsia" w:hAnsiTheme="minorEastAsia" w:eastAsiaTheme="minorEastAsia"/>
                <w:color w:val="000000"/>
                <w:kern w:val="0"/>
                <w:sz w:val="15"/>
                <w:szCs w:val="15"/>
                <w:lang w:bidi="ar"/>
              </w:rPr>
              <w:t>，未设置异味和废气处理装置等污染防治设施并保持正常使用</w:t>
            </w:r>
          </w:p>
        </w:tc>
        <w:tc>
          <w:tcPr>
            <w:tcW w:w="2789" w:type="dxa"/>
            <w:gridSpan w:val="3"/>
            <w:vAlign w:val="center"/>
          </w:tcPr>
          <w:p>
            <w:pPr>
              <w:spacing w:line="220" w:lineRule="exact"/>
              <w:jc w:val="lef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507" w:type="dxa"/>
            <w:gridSpan w:val="7"/>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不正常使用异味和废气处理装置等净化设施0.2-1万元；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未安装或者安装后擅自拆除异味和废气净化设施1-2万元；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拒不改正的，责令停业整治。</w:t>
            </w:r>
          </w:p>
        </w:tc>
        <w:tc>
          <w:tcPr>
            <w:tcW w:w="2385" w:type="dxa"/>
            <w:gridSpan w:val="2"/>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不使用清洁能源</w:t>
            </w:r>
          </w:p>
        </w:tc>
        <w:tc>
          <w:tcPr>
            <w:tcW w:w="2789" w:type="dxa"/>
            <w:gridSpan w:val="3"/>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507" w:type="dxa"/>
            <w:gridSpan w:val="7"/>
            <w:vAlign w:val="center"/>
          </w:tcPr>
          <w:p>
            <w:pPr>
              <w:spacing w:line="232"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33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507" w:type="dxa"/>
            <w:gridSpan w:val="7"/>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未密闭贮存易产生扬尘的物料，</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未设置严密围挡，或未采取有效覆盖措施防治扬尘，</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kern w:val="0"/>
                <w:sz w:val="15"/>
                <w:szCs w:val="15"/>
                <w:lang w:bidi="ar"/>
              </w:rPr>
              <w:t>拒不改正的，责令停工整治或者停业整治。</w:t>
            </w:r>
          </w:p>
        </w:tc>
        <w:tc>
          <w:tcPr>
            <w:tcW w:w="2385" w:type="dxa"/>
            <w:gridSpan w:val="2"/>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49"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《北京市环境噪声污染防治办法》违反条款：第三十条；处罚条款：第四十二条，责令改正；拒不改正的，处3万元以下罚款。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vAlign w:val="center"/>
          </w:tcPr>
          <w:p>
            <w:pPr>
              <w:pStyle w:val="2"/>
              <w:keepNext w:val="0"/>
              <w:keepLines w:val="0"/>
              <w:spacing w:line="232" w:lineRule="exact"/>
              <w:rPr>
                <w:rFonts w:asciiTheme="minorEastAsia" w:hAnsiTheme="minorEastAsia" w:eastAsiaTheme="minorEastAsia"/>
                <w:sz w:val="15"/>
                <w:szCs w:val="15"/>
              </w:rPr>
            </w:pPr>
            <w:bookmarkStart w:id="212" w:name="_Toc110851503"/>
            <w:bookmarkStart w:id="213" w:name="_Toc1112894806"/>
            <w:bookmarkStart w:id="214" w:name="_Toc1642327804"/>
            <w:r>
              <w:rPr>
                <w:rFonts w:hint="eastAsia" w:asciiTheme="minorEastAsia" w:hAnsiTheme="minorEastAsia" w:eastAsiaTheme="minorEastAsia"/>
                <w:sz w:val="15"/>
                <w:szCs w:val="15"/>
              </w:rPr>
              <w:t>水务管理方面20项</w:t>
            </w:r>
            <w:bookmarkEnd w:id="212"/>
            <w:bookmarkEnd w:id="213"/>
            <w:bookmarkEnd w:id="2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2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向雨水收集口、雨水管道排放或者倾倒污水、污物和垃圾等废弃物</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《北京市水污染防治条例》</w:t>
            </w:r>
          </w:p>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507" w:type="dxa"/>
            <w:gridSpan w:val="7"/>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对单位：倾倒少量生活污水的，1万≤罚款额≤3万；排放或者倾倒污水污物和垃圾等废弃物，3万＜罚款额≤6</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万；排放或者倾倒污水污物和垃圾等废弃物，情节严重的，6万＜罚款额≤10万。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对个人：倾倒少量生活污水的，0.1万≤罚款额≤0.3万；排放或者倾倒污水污物和垃圾等废弃物，0.3万＜罚款额≤0.6万；</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排放或者倾倒污水污物和垃圾等废弃物，情节严重的，0.6万＜罚款额≤1万。</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94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擅自倾倒、堆放、丢弃、遗撒污泥</w:t>
            </w:r>
          </w:p>
        </w:tc>
        <w:tc>
          <w:tcPr>
            <w:tcW w:w="2789" w:type="dxa"/>
            <w:gridSpan w:val="3"/>
            <w:vAlign w:val="center"/>
          </w:tcPr>
          <w:p>
            <w:pPr>
              <w:spacing w:line="190"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《城镇排水与污水处理条例</w:t>
            </w:r>
            <w:r>
              <w:rPr>
                <w:rFonts w:hint="eastAsia" w:asciiTheme="minorEastAsia" w:hAnsiTheme="minorEastAsia" w:eastAsiaTheme="minorEastAsia"/>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因巡查、维护不到位，导致窨井盖丢失、损毁，造成人员伤亡和财产损失</w:t>
            </w:r>
          </w:p>
        </w:tc>
        <w:tc>
          <w:tcPr>
            <w:tcW w:w="2789" w:type="dxa"/>
            <w:gridSpan w:val="3"/>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507" w:type="dxa"/>
            <w:gridSpan w:val="7"/>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逾期不改正，但未造成其他严重后果的，10万≤罚款额≤30万；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造成财产损失的，30万＜罚款额≤40万；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造成人员伤亡的，40万＜罚款额≤50万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在河湖管理范围、保护范围内围河、挖筑鱼塘、挖坑开槽、勘探或者设立线杆、线塔、无线通信塔、标识</w:t>
            </w:r>
          </w:p>
        </w:tc>
        <w:tc>
          <w:tcPr>
            <w:tcW w:w="2789" w:type="dxa"/>
            <w:gridSpan w:val="3"/>
            <w:vAlign w:val="center"/>
          </w:tcPr>
          <w:p>
            <w:pPr>
              <w:spacing w:line="216"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在保护范围内，1万≤罚款额≤3万；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在管理范围内，3万＜罚款额≤5万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备注：危害活动同时涉及管理范围和保护范围的，按在管理范围内确定罚款额。</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在河湖管理范围、保护范围内设置固定停车场所</w:t>
            </w:r>
          </w:p>
        </w:tc>
        <w:tc>
          <w:tcPr>
            <w:tcW w:w="2789" w:type="dxa"/>
            <w:gridSpan w:val="3"/>
            <w:vAlign w:val="center"/>
          </w:tcPr>
          <w:p>
            <w:pPr>
              <w:spacing w:line="216"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在河湖管理范围、保护范围内修路，或者修建园林小品、管理房及其附属设施</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在河湖管理范围、保护范围内进行河道改线、开挖人工湖泊</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毁坏或者拆除保护名录中的水工建筑物、构筑物、遗址</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《北京市河湖保护管理条例》违反条款：第二十四条第二款；处罚条款：第四十二条，责令其停止违法行为，限期恢复原状，处10万元以上50万元以下的罚款。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开展水上旅游项目或者其他利用活动时使用以柴油、汽油为动力的游船</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未经批准擅自利用河湖进行开发利用活动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《北京市河湖保护管理条例》违反条款：第三十一条第二款；处罚条款：第四十四条第二款，责令停止违法行为，限期改正，处2万元以上10万元以下的罚款。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在地表饮用水水源一级保护区的水域内垂钓</w:t>
            </w:r>
          </w:p>
        </w:tc>
        <w:tc>
          <w:tcPr>
            <w:tcW w:w="2789" w:type="dxa"/>
            <w:gridSpan w:val="3"/>
            <w:vAlign w:val="center"/>
          </w:tcPr>
          <w:p>
            <w:pPr>
              <w:spacing w:line="212" w:lineRule="exact"/>
              <w:rPr>
                <w:rFonts w:asciiTheme="minorEastAsia" w:hAnsiTheme="minorEastAsia" w:eastAsiaTheme="minorEastAsia"/>
                <w:spacing w:val="-4"/>
                <w:sz w:val="15"/>
                <w:szCs w:val="15"/>
              </w:rPr>
            </w:pPr>
            <w:r>
              <w:rPr>
                <w:rFonts w:hint="eastAsia" w:asciiTheme="minorEastAsia" w:hAnsiTheme="minorEastAsia" w:eastAsiaTheme="minorEastAsia"/>
                <w:spacing w:val="-4"/>
                <w:sz w:val="15"/>
                <w:szCs w:val="15"/>
              </w:rPr>
              <w:t xml:space="preserve">《北京市水污染防治条例》违反条款：第五十七条第二款；处罚条款：第八十条第二款，责令停止违法行为，并可以处五百元以下的罚款。                                                                            </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1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在堤防和护堤地，从事放牧、葬坟、晒粮、开渠、打井、挖窖、取土、存放物料、开办集市贸易、开采地下资源、进行考古发掘等活动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在堤防上及大型渠道内垦殖、放牧</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北京市水利工程保护管理条例》违反条款：第九条第（七）项；处罚条款：第二十一条第（四）项，除责令纠正违法行为、赔偿损失、采取补救措施外，并可以处警告、200元以下罚款。在堤坝及大型渠道垦殖的，还应令其恢复地貌。 </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0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在河道、湖泊管理范围内倾倒垃圾、渣土从事影响河势稳定、危害河岸堤防安全和其他妨碍河道行洪的活动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《北京市水利工程保护管理条例》违反条款：第九条第（三）项；处罚条款：第二十一条第（二）项，责令排除阻碍或者采取其他补救措施，可以处5万元以下罚款。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倾倒量≤5m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，罚款额≤1万；5m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倾倒量≤10m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，1万＜罚款额≤2万；10m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倾倒量≤20m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，2万＜罚款额≤3万；20m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倾倒量，3万＜罚款额≤5万</w:t>
            </w:r>
            <w:r>
              <w:rPr>
                <w:rFonts w:cs="Calibri"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6"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在地表饮用水水源保护区和准保护区内、组织水上旅游或者其他可能污染饮用水水源活动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在河道、湖泊管理范围内建设妨碍行洪的建筑物、构筑物，或者从事影响河势稳定、危害河岸堤防安全和其他妨碍河道行洪的活动</w:t>
            </w:r>
          </w:p>
        </w:tc>
        <w:tc>
          <w:tcPr>
            <w:tcW w:w="2789" w:type="dxa"/>
            <w:gridSpan w:val="3"/>
            <w:vAlign w:val="center"/>
          </w:tcPr>
          <w:p>
            <w:pPr>
              <w:spacing w:line="232"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1</w:t>
            </w:r>
            <w:r>
              <w:rPr>
                <w:rFonts w:cs="仿宋_GB2312" w:asciiTheme="minorEastAsia" w:hAnsiTheme="minorEastAsia" w:eastAsiaTheme="minorEastAsia"/>
                <w:color w:val="000000"/>
                <w:kern w:val="0"/>
                <w:sz w:val="15"/>
                <w:szCs w:val="15"/>
                <w:lang w:bidi="ar"/>
              </w:rPr>
              <w:t>.</w:t>
            </w:r>
            <w:r>
              <w:rPr>
                <w:rFonts w:hint="eastAsia" w:cs="仿宋_GB2312" w:asciiTheme="minorEastAsia" w:hAnsiTheme="minorEastAsia" w:eastAsiaTheme="minorEastAsia"/>
                <w:color w:val="000000"/>
                <w:kern w:val="0"/>
                <w:sz w:val="15"/>
                <w:szCs w:val="15"/>
                <w:lang w:bidi="ar"/>
              </w:rPr>
              <w:t>依据《中华人民共和国水法》处罚：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在限期内拆除，恢复原状的，不予处罚；逾期不拆除，不恢复原状的，占地面积≤25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，3万＜罚款额≤6万；100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＜占地面积，6万＜罚款额≤10万</w:t>
            </w:r>
            <w:r>
              <w:rPr>
                <w:rFonts w:cs="Batang" w:asciiTheme="minorEastAsia" w:hAnsiTheme="minorEastAsia" w:eastAsiaTheme="minorEastAsia"/>
                <w:color w:val="000000"/>
                <w:kern w:val="0"/>
                <w:sz w:val="15"/>
                <w:szCs w:val="15"/>
                <w:lang w:bidi="ar"/>
              </w:rPr>
              <w:t>。</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Batang" w:asciiTheme="minorEastAsia" w:hAnsiTheme="minorEastAsia" w:eastAsiaTheme="minorEastAsia"/>
                <w:color w:val="000000"/>
                <w:kern w:val="0"/>
                <w:sz w:val="15"/>
                <w:szCs w:val="15"/>
                <w:lang w:bidi="ar"/>
              </w:rPr>
              <w:t>2</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依据《中华人民共和国防洪法》《北京市水利工程保护管理条例》《北京市河湖保护管理条例》处罚：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，罚款额≤1万；25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＜占地面积，3万＜罚款额≤5万</w:t>
            </w:r>
            <w:r>
              <w:rPr>
                <w:rFonts w:cs="Batang"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在生态清洁小流域范围内的沟道内私搭乱建、堆放物品</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《北京市水土保持条例》违反条款：第二十条第一款第（一）项；处罚条款：第三十六条，责令改正，对个人可处500元以上5000元以下罚款；对单位可处1万元以上10万元以下罚款。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7"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在生态清洁小流域范围内随意取土、挖砂、倾倒垃圾、排放污水</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《北京市水土保持条例》违反条款：第二十条第一款第（二）项；处罚条款：第三十六条，责令改正，对个人可处500元以上5000元以下罚款；对单位可处1万元以上10万元以下罚款。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在生态清洁小流域范围内破坏水土保持设施或者干扰其正常运行</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《北京市水土保持条例》违反条款：第二十条第一款第（三）项；处罚条款：第三十六条，责令改正，对个人可处500元以上5000元以下罚款；对单位可处1万元以上10万元以下罚款。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20</w:t>
            </w:r>
          </w:p>
        </w:tc>
        <w:tc>
          <w:tcPr>
            <w:tcW w:w="1500" w:type="dxa"/>
            <w:gridSpan w:val="2"/>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擅自在河湖管理范围内新建、改建或者扩大排水口</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《北京市河湖保护管理条例》违反条款：第二十八条第一款；处罚条款：第四十三条，责令停止违法行为，限期恢复原状，处5万元以上10万元以下的罚款。</w:t>
            </w:r>
          </w:p>
        </w:tc>
        <w:tc>
          <w:tcPr>
            <w:tcW w:w="5507" w:type="dxa"/>
            <w:gridSpan w:val="7"/>
            <w:vAlign w:val="center"/>
          </w:tcPr>
          <w:p>
            <w:pPr>
              <w:pStyle w:val="21"/>
              <w:spacing w:after="0" w:line="210"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vAlign w:val="center"/>
          </w:tcPr>
          <w:p>
            <w:pPr>
              <w:pStyle w:val="2"/>
              <w:keepNext w:val="0"/>
              <w:keepLines w:val="0"/>
              <w:spacing w:line="210" w:lineRule="exact"/>
              <w:rPr>
                <w:rFonts w:asciiTheme="minorEastAsia" w:hAnsiTheme="minorEastAsia" w:eastAsiaTheme="minorEastAsia"/>
                <w:sz w:val="15"/>
                <w:szCs w:val="15"/>
              </w:rPr>
            </w:pPr>
            <w:bookmarkStart w:id="215" w:name="_Toc1290044525"/>
            <w:bookmarkStart w:id="216" w:name="_Toc473764242"/>
            <w:bookmarkStart w:id="217" w:name="_Toc110851504"/>
            <w:r>
              <w:rPr>
                <w:rFonts w:hint="eastAsia" w:asciiTheme="minorEastAsia" w:hAnsiTheme="minorEastAsia" w:eastAsiaTheme="minorEastAsia"/>
                <w:sz w:val="15"/>
                <w:szCs w:val="15"/>
              </w:rPr>
              <w:t>农业农村管理方面1项</w:t>
            </w:r>
            <w:bookmarkEnd w:id="215"/>
            <w:bookmarkEnd w:id="216"/>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在增殖放流水域垂钓</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507" w:type="dxa"/>
            <w:gridSpan w:val="7"/>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宋体" w:asciiTheme="minorEastAsia" w:hAnsiTheme="minorEastAsia" w:eastAsiaTheme="minorEastAsia"/>
                <w:color w:val="000000"/>
                <w:kern w:val="0"/>
                <w:sz w:val="15"/>
                <w:szCs w:val="15"/>
              </w:rPr>
              <w:t>责令停止违法行为，没收渔具，并可处50元以上500元以下罚款。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vAlign w:val="center"/>
          </w:tcPr>
          <w:p>
            <w:pPr>
              <w:pStyle w:val="2"/>
              <w:keepNext w:val="0"/>
              <w:keepLines w:val="0"/>
              <w:spacing w:line="210" w:lineRule="exact"/>
              <w:rPr>
                <w:rFonts w:asciiTheme="minorEastAsia" w:hAnsiTheme="minorEastAsia" w:eastAsiaTheme="minorEastAsia"/>
                <w:sz w:val="15"/>
                <w:szCs w:val="15"/>
              </w:rPr>
            </w:pPr>
            <w:bookmarkStart w:id="218" w:name="_Toc110851505"/>
            <w:bookmarkStart w:id="219" w:name="_Toc2011773058"/>
            <w:bookmarkStart w:id="220" w:name="_Toc589852508"/>
            <w:r>
              <w:rPr>
                <w:rFonts w:hint="eastAsia" w:asciiTheme="minorEastAsia" w:hAnsiTheme="minorEastAsia" w:eastAsiaTheme="minorEastAsia"/>
                <w:sz w:val="15"/>
                <w:szCs w:val="15"/>
              </w:rPr>
              <w:t>卫生健康管理方面12项</w:t>
            </w:r>
            <w:bookmarkEnd w:id="218"/>
            <w:bookmarkEnd w:id="219"/>
            <w:bookmarkEnd w:id="2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未按规定采取清除鼠迹、堵塞鼠洞、添设防范设施等措施及毒杀、诱捕等方法消灭老鼠，使鼠密度等指标符合国家控制标准</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《北京市除四害工作管理规定》违反条款：第八条；处罚条款：第十六条第（一）项，予以警告，责令限期改正，并可处以20元以上500元以下罚款；情节严重的，处以500元以上1000元以下罚款。</w:t>
            </w:r>
          </w:p>
        </w:tc>
        <w:tc>
          <w:tcPr>
            <w:tcW w:w="5507" w:type="dxa"/>
            <w:gridSpan w:val="7"/>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未按规定清除蚊蝇孳生地并运用化学、物理、生物等方法消灭蚊蝇及其幼虫，使蚊蝇密度等指标符合国家控制标准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发现蟑螂未按规定及时采取灭杀措施，使蟑螂密度等指标符合国家控制标准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《北京市除四害工作管理规定》违反条款：第十条；处罚条款：第十六条第（一）项，予以警告，责令限期改正，并可处以20元以上500元以下罚款；情节严重的，处以500元以上1000元以下罚款。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未按规定配置四害防治设施或者无人负责除四害工作</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《北京市除四害工作管理规定》违反条款：第十一条；处罚条款：第十六条第（二）项，予以警告，责令限期改正，并可处以20元以上1000元以下罚款。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未造成严重后果的，情节严重的，警告，处以500元以上（不含）1000元以下（含）罚款。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未按规定采取统一的除四害措施</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《北京市除四害工作管理规定》违反条款：第十二条；处罚条款：第十六条第（三）项，给予警告，责令限期改正；逾期不改正的，可处以20元以上1000元以下罚款。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未建立禁止吸烟管理制度，做好宣传教育工作且拒不改正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《北京市控制吸烟条例》违反条款：第十三条第一款第（一）项；处罚条款：第二十四条第（一）项，责令限期改正;拒不改正的，处2000元以上5000元以下罚款。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未在禁止吸烟场所设置明显的禁止吸烟标志和举报投诉电话号码标识且拒不改正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《北京市控制吸烟条例》违反条款：第十三条第一款第（二）项；处罚条款：第二十四条第（一）项，责令限期改正;拒不改正的，处2000元以上5000元以下罚款。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在禁止吸烟场所提供烟具和附有烟草广告的物品且拒不改正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《北京市控制吸烟条例》违反条款：第十三条第一款第（三）项；处罚条款：第二十四条第（一）项，责令限期改正;拒不改正的，处2000元以上5000元以下罚款。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未开展禁止吸烟检查工作，制作并留存禁止吸烟检查工作相关记录且拒不改正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《北京市控制吸烟条例》违反条款：第十三条第一款第（四）项；处罚条款：第二十四条第（一）项，责令限期改正;拒不改正的，处2000元以上5000元以下罚款。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在禁止吸烟场所内的吸烟者未予以劝阻，对不听劝阻的吸烟者未要求其离开，对不听劝阻且不离开的吸烟者未投诉举报</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《北京市控制吸烟条例》违反条款：第十三条第一款第（五）项；处罚条款：第二十四条第（二）项，给予警告，并处5000元以上1万元以下罚款。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场所内吸烟者有1人的，警告，并处5000元罚款；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场所内吸烟者有2-5人的，警告，并处5000元以上（不含）8000元以下（含）罚款；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场所内吸烟者有5人以上的，警告，并处8000元以上（不含）1万元以下（含）罚款。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在其他禁止吸烟场所或者排队等候队伍中吸烟</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《北京市控制吸烟条例》违反条款：第十四条；处罚条款：第二十五条第一款，责令改正，可以处50元罚款;拒不改正的，处200元罚款。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在禁止吸烟场所或者排队等候队伍中吸烟，处50元罚款；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在禁止吸烟场所或者排队等候队伍中吸烟，拒不改正，处200元罚款。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在幼儿园、中小学校、少年宫、儿童福利机构等以未成年人为主要活动人群的场所吸烟</w:t>
            </w:r>
          </w:p>
        </w:tc>
        <w:tc>
          <w:tcPr>
            <w:tcW w:w="2789" w:type="dxa"/>
            <w:gridSpan w:val="3"/>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《北京市控制吸烟条例》违反条款：第十四条；处罚条款：第二十五条第一款，责令改正，给予警告，可以并处200元以上500以下罚款。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警告，可以并处200元以上（含）500元以下（含）罚款。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04" w:hRule="atLeast"/>
        </w:trPr>
        <w:tc>
          <w:tcPr>
            <w:tcW w:w="14329" w:type="dxa"/>
            <w:gridSpan w:val="19"/>
            <w:vAlign w:val="center"/>
          </w:tcPr>
          <w:p>
            <w:pPr>
              <w:pStyle w:val="2"/>
              <w:rPr>
                <w:rFonts w:asciiTheme="minorEastAsia" w:hAnsiTheme="minorEastAsia" w:eastAsiaTheme="minorEastAsia"/>
                <w:color w:val="000000" w:themeColor="text1"/>
                <w:szCs w:val="15"/>
                <w14:textFill>
                  <w14:solidFill>
                    <w14:schemeClr w14:val="tx1"/>
                  </w14:solidFill>
                </w14:textFill>
              </w:rPr>
            </w:pPr>
            <w:bookmarkStart w:id="221" w:name="_Toc979026322"/>
            <w:r>
              <w:rPr>
                <w:rFonts w:hint="eastAsia"/>
                <w:sz w:val="21"/>
                <w:szCs w:val="21"/>
              </w:rPr>
              <w:t>住建部门</w:t>
            </w:r>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2" w:hRule="atLeast"/>
        </w:trPr>
        <w:tc>
          <w:tcPr>
            <w:tcW w:w="14329" w:type="dxa"/>
            <w:gridSpan w:val="19"/>
            <w:vAlign w:val="center"/>
          </w:tcPr>
          <w:p>
            <w:pPr>
              <w:pStyle w:val="3"/>
              <w:jc w:val="center"/>
              <w:rPr>
                <w:szCs w:val="21"/>
              </w:rPr>
            </w:pPr>
            <w:bookmarkStart w:id="222" w:name="_Toc1056450575"/>
            <w:r>
              <w:rPr>
                <w:rFonts w:hint="eastAsia"/>
                <w:sz w:val="15"/>
                <w:szCs w:val="15"/>
              </w:rPr>
              <w:t>《北京市住房租赁条例》案由1项</w:t>
            </w:r>
            <w:bookmarkEnd w:id="2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480" w:hRule="atLeast"/>
        </w:trPr>
        <w:tc>
          <w:tcPr>
            <w:tcW w:w="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职权编号</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职权名称</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违法行为 认定依据</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违法行为处罚依据</w:t>
            </w: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基准编号</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违法情形</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裁量基准</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违法行为分类</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处罚公示期限</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0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C1672300</w:t>
            </w:r>
          </w:p>
        </w:tc>
        <w:tc>
          <w:tcPr>
            <w:tcW w:w="150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对未按照规定出租住房的行为进行处罚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《北京市住房租赁条例》 第十三条第一款第（三）项至第（五）项</w:t>
            </w:r>
          </w:p>
        </w:tc>
        <w:tc>
          <w:tcPr>
            <w:tcW w:w="139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after="2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《北京市住房租赁条例》第六十三条第三款</w:t>
            </w: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C1672300-1</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发现违法行为</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责令改正</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C1672300T</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违法行为轻微并及时纠正，没有造成危害后果</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不予行政处罚</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C1672300A010</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在规定期限内改正，违法情节轻微</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对个人可处二千元以上四千元以下罚款，对单位可处二万元以上四万元以下罚款</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12个月</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C1672300A020</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在规定期限内改正，违法情节一般的</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对个人可处四千元以上七千元以下罚款，对单位可处四万元以上七万元以下罚款</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12个月</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C1672300A030</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在规定期限内改正，违法情节严重的</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对个人可处七千元以上一万元以下罚款，对单位可处七万元以上十万元以下罚款</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严重</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24个月</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C1672300A040</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逾期3日内改正的</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改正前停止出租，对个人处一万元以上二万元以下罚款，对单位处十万元以上二十万元以下罚款</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严重</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24个月</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C1672300A050</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逾期3日以上7日以内的</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改正前停止出租，对个人处二万元以上四万元以下罚款，对单位处二十万元以上四十万元以下罚款</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严重</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24个月</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C1672300A060</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逾期7日以上或违法情节严重的</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改正前停止出租，对个人处四万元以上五万元以下罚款，对单位处四十万元以上五十万元以下罚款</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严重</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36个月</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bl>
    <w:p>
      <w:pPr>
        <w:pStyle w:val="21"/>
      </w:pPr>
    </w:p>
    <w:sectPr>
      <w:pgSz w:w="16840" w:h="11850" w:orient="landscape"/>
      <w:pgMar w:top="1134" w:right="907" w:bottom="1134" w:left="907" w:header="851" w:footer="624" w:gutter="0"/>
      <w:pgNumType w:start="1"/>
      <w:cols w:space="0" w:num="1"/>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icrosoft JhengHei">
    <w:panose1 w:val="020B0604030504040204"/>
    <w:charset w:val="88"/>
    <w:family w:val="swiss"/>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CFEE97E"/>
    <w:multiLevelType w:val="singleLevel"/>
    <w:tmpl w:val="FCFEE97E"/>
    <w:lvl w:ilvl="0" w:tentative="0">
      <w:start w:val="1"/>
      <w:numFmt w:val="decimal"/>
      <w:suff w:val="space"/>
      <w:lvlText w:val="%1."/>
      <w:lvlJc w:val="left"/>
    </w:lvl>
  </w:abstractNum>
  <w:abstractNum w:abstractNumId="6">
    <w:nsid w:val="FEDAE7DC"/>
    <w:multiLevelType w:val="singleLevel"/>
    <w:tmpl w:val="FEDAE7DC"/>
    <w:lvl w:ilvl="0" w:tentative="0">
      <w:start w:val="1"/>
      <w:numFmt w:val="decimal"/>
      <w:suff w:val="space"/>
      <w:lvlText w:val="%1."/>
      <w:lvlJc w:val="left"/>
    </w:lvl>
  </w:abstractNum>
  <w:abstractNum w:abstractNumId="7">
    <w:nsid w:val="FEDED5FA"/>
    <w:multiLevelType w:val="singleLevel"/>
    <w:tmpl w:val="FEDED5FA"/>
    <w:lvl w:ilvl="0" w:tentative="0">
      <w:start w:val="1"/>
      <w:numFmt w:val="decimal"/>
      <w:suff w:val="space"/>
      <w:lvlText w:val="%1."/>
      <w:lvlJc w:val="left"/>
    </w:lvl>
  </w:abstractNum>
  <w:abstractNum w:abstractNumId="8">
    <w:nsid w:val="3BE353D8"/>
    <w:multiLevelType w:val="singleLevel"/>
    <w:tmpl w:val="3BE353D8"/>
    <w:lvl w:ilvl="0" w:tentative="0">
      <w:start w:val="1"/>
      <w:numFmt w:val="decimal"/>
      <w:suff w:val="space"/>
      <w:lvlText w:val="%1."/>
      <w:lvlJc w:val="left"/>
    </w:lvl>
  </w:abstractNum>
  <w:abstractNum w:abstractNumId="9">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6"/>
  </w:num>
  <w:num w:numId="4">
    <w:abstractNumId w:val="9"/>
  </w:num>
  <w:num w:numId="5">
    <w:abstractNumId w:val="2"/>
  </w:num>
  <w:num w:numId="6">
    <w:abstractNumId w:val="1"/>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95"/>
  <w:drawingGridVerticalSpacing w:val="317"/>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ZTM1MjYxYTEzYmFkZWMyYWE0MDc4OTg0ZDY0MT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5BAF"/>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1F2"/>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3A81"/>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9F64F97"/>
    <w:rsid w:val="0A0D460E"/>
    <w:rsid w:val="0AEF46DA"/>
    <w:rsid w:val="0B9F92F6"/>
    <w:rsid w:val="0BF216FD"/>
    <w:rsid w:val="0C14055E"/>
    <w:rsid w:val="0DB203EF"/>
    <w:rsid w:val="0EA6FEA5"/>
    <w:rsid w:val="0EC7610D"/>
    <w:rsid w:val="0FBFF7C9"/>
    <w:rsid w:val="0FC138D0"/>
    <w:rsid w:val="1126007C"/>
    <w:rsid w:val="11443462"/>
    <w:rsid w:val="11AE7893"/>
    <w:rsid w:val="12EF1C78"/>
    <w:rsid w:val="13391315"/>
    <w:rsid w:val="13EE4AF4"/>
    <w:rsid w:val="142313E0"/>
    <w:rsid w:val="15BFBDD0"/>
    <w:rsid w:val="15C00CE3"/>
    <w:rsid w:val="15D74C1C"/>
    <w:rsid w:val="15FF6BF6"/>
    <w:rsid w:val="17515270"/>
    <w:rsid w:val="17746151"/>
    <w:rsid w:val="178B26DA"/>
    <w:rsid w:val="17CEEBA9"/>
    <w:rsid w:val="17FFDA05"/>
    <w:rsid w:val="19376D81"/>
    <w:rsid w:val="1B644773"/>
    <w:rsid w:val="1B7D324B"/>
    <w:rsid w:val="1BEF7657"/>
    <w:rsid w:val="1BF35E59"/>
    <w:rsid w:val="1BFE9E91"/>
    <w:rsid w:val="1C0F2D2D"/>
    <w:rsid w:val="1C4C4F36"/>
    <w:rsid w:val="1CDEA6F5"/>
    <w:rsid w:val="1D56F24F"/>
    <w:rsid w:val="1D916302"/>
    <w:rsid w:val="1DF7C2DA"/>
    <w:rsid w:val="1E3C30A0"/>
    <w:rsid w:val="1EC60A0F"/>
    <w:rsid w:val="1EC77D42"/>
    <w:rsid w:val="1ECEB824"/>
    <w:rsid w:val="1ED33082"/>
    <w:rsid w:val="1F56FFA1"/>
    <w:rsid w:val="1FA61EEB"/>
    <w:rsid w:val="1FBD9899"/>
    <w:rsid w:val="1FEC0A29"/>
    <w:rsid w:val="22C62F3A"/>
    <w:rsid w:val="23415B68"/>
    <w:rsid w:val="23F10D53"/>
    <w:rsid w:val="245E2EB0"/>
    <w:rsid w:val="261563B9"/>
    <w:rsid w:val="271E9C29"/>
    <w:rsid w:val="272E548B"/>
    <w:rsid w:val="273F7E17"/>
    <w:rsid w:val="27532774"/>
    <w:rsid w:val="27720C4C"/>
    <w:rsid w:val="27B6DF63"/>
    <w:rsid w:val="27C70235"/>
    <w:rsid w:val="27D30408"/>
    <w:rsid w:val="284B6909"/>
    <w:rsid w:val="286379F8"/>
    <w:rsid w:val="2959155B"/>
    <w:rsid w:val="29CE0AFE"/>
    <w:rsid w:val="2A050A46"/>
    <w:rsid w:val="2A6D712E"/>
    <w:rsid w:val="2BD27518"/>
    <w:rsid w:val="2D860E5E"/>
    <w:rsid w:val="2D88708D"/>
    <w:rsid w:val="2D9E7B63"/>
    <w:rsid w:val="2DDBB70C"/>
    <w:rsid w:val="2E04154E"/>
    <w:rsid w:val="2E6F47F6"/>
    <w:rsid w:val="2F776DEB"/>
    <w:rsid w:val="2F8215FD"/>
    <w:rsid w:val="2FB7E173"/>
    <w:rsid w:val="2FBD937F"/>
    <w:rsid w:val="2FE1EA2D"/>
    <w:rsid w:val="2FF78CBA"/>
    <w:rsid w:val="30921B85"/>
    <w:rsid w:val="32D103B5"/>
    <w:rsid w:val="335F5F1A"/>
    <w:rsid w:val="335FA238"/>
    <w:rsid w:val="337FEAF9"/>
    <w:rsid w:val="3475285E"/>
    <w:rsid w:val="34790FFC"/>
    <w:rsid w:val="35913FBB"/>
    <w:rsid w:val="362B56C3"/>
    <w:rsid w:val="375EA094"/>
    <w:rsid w:val="379234A4"/>
    <w:rsid w:val="37BFE79D"/>
    <w:rsid w:val="37DF2DD6"/>
    <w:rsid w:val="39A91B73"/>
    <w:rsid w:val="39B23F7D"/>
    <w:rsid w:val="3AB89792"/>
    <w:rsid w:val="3AEF7D57"/>
    <w:rsid w:val="3AFF2AC7"/>
    <w:rsid w:val="3B4448CF"/>
    <w:rsid w:val="3B4CE5B0"/>
    <w:rsid w:val="3B7F89B9"/>
    <w:rsid w:val="3B8A0DC3"/>
    <w:rsid w:val="3BB1D3AC"/>
    <w:rsid w:val="3BCF19F8"/>
    <w:rsid w:val="3BDF8995"/>
    <w:rsid w:val="3BE9ECFC"/>
    <w:rsid w:val="3BFA26FF"/>
    <w:rsid w:val="3BFBF558"/>
    <w:rsid w:val="3D1D3248"/>
    <w:rsid w:val="3D323C74"/>
    <w:rsid w:val="3D7E3DA3"/>
    <w:rsid w:val="3DEFACC2"/>
    <w:rsid w:val="3E6C5DD9"/>
    <w:rsid w:val="3E8F2131"/>
    <w:rsid w:val="3EAE9719"/>
    <w:rsid w:val="3EB0A816"/>
    <w:rsid w:val="3EB542D6"/>
    <w:rsid w:val="3EEB4BED"/>
    <w:rsid w:val="3EEC4AB3"/>
    <w:rsid w:val="3EFF20E1"/>
    <w:rsid w:val="3F1EA5F2"/>
    <w:rsid w:val="3F36279F"/>
    <w:rsid w:val="3F4F4430"/>
    <w:rsid w:val="3F4F5A12"/>
    <w:rsid w:val="3F800E58"/>
    <w:rsid w:val="3F8CBFBD"/>
    <w:rsid w:val="3FBBDC6F"/>
    <w:rsid w:val="3FDDEA02"/>
    <w:rsid w:val="3FE9E51A"/>
    <w:rsid w:val="3FEF1047"/>
    <w:rsid w:val="3FEF1726"/>
    <w:rsid w:val="3FFABA1D"/>
    <w:rsid w:val="40286339"/>
    <w:rsid w:val="40A34EF9"/>
    <w:rsid w:val="41094798"/>
    <w:rsid w:val="42B2E90B"/>
    <w:rsid w:val="43EFAB43"/>
    <w:rsid w:val="44DC6497"/>
    <w:rsid w:val="44DE5A4E"/>
    <w:rsid w:val="454D2DE0"/>
    <w:rsid w:val="45D16686"/>
    <w:rsid w:val="462F5951"/>
    <w:rsid w:val="479F083A"/>
    <w:rsid w:val="47BA6DDE"/>
    <w:rsid w:val="47FFB319"/>
    <w:rsid w:val="4A0B2A82"/>
    <w:rsid w:val="4B240373"/>
    <w:rsid w:val="4C9630E6"/>
    <w:rsid w:val="4D796D4B"/>
    <w:rsid w:val="4DA78014"/>
    <w:rsid w:val="4E9D1594"/>
    <w:rsid w:val="4ED5FB2D"/>
    <w:rsid w:val="4EE40807"/>
    <w:rsid w:val="4EFEFE41"/>
    <w:rsid w:val="4EFFCC04"/>
    <w:rsid w:val="4F3E1289"/>
    <w:rsid w:val="4F4E3BCE"/>
    <w:rsid w:val="4F6715EE"/>
    <w:rsid w:val="4F7FAC37"/>
    <w:rsid w:val="4FAB1773"/>
    <w:rsid w:val="4FFB8451"/>
    <w:rsid w:val="50450572"/>
    <w:rsid w:val="51624E8A"/>
    <w:rsid w:val="521F3E4B"/>
    <w:rsid w:val="53E7DABE"/>
    <w:rsid w:val="53EE158E"/>
    <w:rsid w:val="54F115E0"/>
    <w:rsid w:val="55447A06"/>
    <w:rsid w:val="555BA0AF"/>
    <w:rsid w:val="557F36C1"/>
    <w:rsid w:val="55FA15B7"/>
    <w:rsid w:val="562D8241"/>
    <w:rsid w:val="567F53D9"/>
    <w:rsid w:val="57014352"/>
    <w:rsid w:val="57670A95"/>
    <w:rsid w:val="576E940A"/>
    <w:rsid w:val="57AFC138"/>
    <w:rsid w:val="57DBE7AC"/>
    <w:rsid w:val="582A60AC"/>
    <w:rsid w:val="58841836"/>
    <w:rsid w:val="594F9F96"/>
    <w:rsid w:val="598F29B3"/>
    <w:rsid w:val="599FD232"/>
    <w:rsid w:val="59CD9A52"/>
    <w:rsid w:val="5AEC2D3D"/>
    <w:rsid w:val="5B3336B2"/>
    <w:rsid w:val="5B5642E6"/>
    <w:rsid w:val="5B7E9F71"/>
    <w:rsid w:val="5B9A48BE"/>
    <w:rsid w:val="5BD7D220"/>
    <w:rsid w:val="5BF3A74E"/>
    <w:rsid w:val="5BF8AA04"/>
    <w:rsid w:val="5BFC5027"/>
    <w:rsid w:val="5BFD3CB7"/>
    <w:rsid w:val="5C6FBA19"/>
    <w:rsid w:val="5D7F530F"/>
    <w:rsid w:val="5D8CAEE6"/>
    <w:rsid w:val="5D953CD4"/>
    <w:rsid w:val="5DBF23B5"/>
    <w:rsid w:val="5DC67B8B"/>
    <w:rsid w:val="5DF5385C"/>
    <w:rsid w:val="5DF7A785"/>
    <w:rsid w:val="5E336754"/>
    <w:rsid w:val="5E3B697E"/>
    <w:rsid w:val="5E60746C"/>
    <w:rsid w:val="5E937489"/>
    <w:rsid w:val="5EBE7485"/>
    <w:rsid w:val="5ECB379A"/>
    <w:rsid w:val="5EF7A60A"/>
    <w:rsid w:val="5EFD709E"/>
    <w:rsid w:val="5EFEADE1"/>
    <w:rsid w:val="5F1F1CEB"/>
    <w:rsid w:val="5F3F32A1"/>
    <w:rsid w:val="5F3F4069"/>
    <w:rsid w:val="5F585F83"/>
    <w:rsid w:val="5F7D9EDD"/>
    <w:rsid w:val="5F7E2721"/>
    <w:rsid w:val="5FAA78F5"/>
    <w:rsid w:val="5FEB83AD"/>
    <w:rsid w:val="5FEF519A"/>
    <w:rsid w:val="5FF980EC"/>
    <w:rsid w:val="5FF98146"/>
    <w:rsid w:val="5FFBE073"/>
    <w:rsid w:val="5FFC2FA4"/>
    <w:rsid w:val="5FFDD2DA"/>
    <w:rsid w:val="61B31169"/>
    <w:rsid w:val="61D35B82"/>
    <w:rsid w:val="62C73DF1"/>
    <w:rsid w:val="62FFDDCB"/>
    <w:rsid w:val="638377A8"/>
    <w:rsid w:val="63FC607C"/>
    <w:rsid w:val="63FF7A03"/>
    <w:rsid w:val="6417516A"/>
    <w:rsid w:val="648835C7"/>
    <w:rsid w:val="653B7765"/>
    <w:rsid w:val="655B3FD7"/>
    <w:rsid w:val="65C37738"/>
    <w:rsid w:val="670C1F82"/>
    <w:rsid w:val="677DC604"/>
    <w:rsid w:val="678E41F3"/>
    <w:rsid w:val="67CE9F02"/>
    <w:rsid w:val="67DE850A"/>
    <w:rsid w:val="67EAE887"/>
    <w:rsid w:val="694D1DDC"/>
    <w:rsid w:val="697E3C46"/>
    <w:rsid w:val="69FE0A5F"/>
    <w:rsid w:val="6A4515FF"/>
    <w:rsid w:val="6A723F09"/>
    <w:rsid w:val="6A860352"/>
    <w:rsid w:val="6AEC4A2D"/>
    <w:rsid w:val="6BDC5CA0"/>
    <w:rsid w:val="6BE73003"/>
    <w:rsid w:val="6BFD7552"/>
    <w:rsid w:val="6CBB95F6"/>
    <w:rsid w:val="6CFEDE13"/>
    <w:rsid w:val="6D57DC9A"/>
    <w:rsid w:val="6D6B4986"/>
    <w:rsid w:val="6D6E17C5"/>
    <w:rsid w:val="6DFB684D"/>
    <w:rsid w:val="6DFF8FE4"/>
    <w:rsid w:val="6E182A45"/>
    <w:rsid w:val="6E4E3658"/>
    <w:rsid w:val="6E5969EA"/>
    <w:rsid w:val="6EBBEFC4"/>
    <w:rsid w:val="6EDF3A8D"/>
    <w:rsid w:val="6EEEA5EE"/>
    <w:rsid w:val="6EEF3DBB"/>
    <w:rsid w:val="6EF7BA2F"/>
    <w:rsid w:val="6EFEF699"/>
    <w:rsid w:val="6F5ECC87"/>
    <w:rsid w:val="6F7E0090"/>
    <w:rsid w:val="6FA58BCC"/>
    <w:rsid w:val="6FBF8E07"/>
    <w:rsid w:val="6FDEFEF9"/>
    <w:rsid w:val="6FE644E1"/>
    <w:rsid w:val="7077A43F"/>
    <w:rsid w:val="708B3515"/>
    <w:rsid w:val="70DE537D"/>
    <w:rsid w:val="70F9B025"/>
    <w:rsid w:val="70FBCB2C"/>
    <w:rsid w:val="712B3822"/>
    <w:rsid w:val="71692C8E"/>
    <w:rsid w:val="717DD7B3"/>
    <w:rsid w:val="71844044"/>
    <w:rsid w:val="71884B08"/>
    <w:rsid w:val="71EF1ABB"/>
    <w:rsid w:val="71FB4449"/>
    <w:rsid w:val="7273247D"/>
    <w:rsid w:val="72C07827"/>
    <w:rsid w:val="737B0ED8"/>
    <w:rsid w:val="737EE920"/>
    <w:rsid w:val="73B51EF9"/>
    <w:rsid w:val="73ED6581"/>
    <w:rsid w:val="73F67713"/>
    <w:rsid w:val="7474F750"/>
    <w:rsid w:val="74D487E0"/>
    <w:rsid w:val="75150BCE"/>
    <w:rsid w:val="754D1B9A"/>
    <w:rsid w:val="75AC1E99"/>
    <w:rsid w:val="75BBBC97"/>
    <w:rsid w:val="75C441C0"/>
    <w:rsid w:val="75F6C1F4"/>
    <w:rsid w:val="75FAB8AE"/>
    <w:rsid w:val="76206228"/>
    <w:rsid w:val="767FD516"/>
    <w:rsid w:val="76BB9CA5"/>
    <w:rsid w:val="775F8ADC"/>
    <w:rsid w:val="776EFD4D"/>
    <w:rsid w:val="7797CA11"/>
    <w:rsid w:val="77B2FF19"/>
    <w:rsid w:val="77C7E874"/>
    <w:rsid w:val="77D0BF8E"/>
    <w:rsid w:val="77DB4BD1"/>
    <w:rsid w:val="77F26746"/>
    <w:rsid w:val="77F58A90"/>
    <w:rsid w:val="77F775FB"/>
    <w:rsid w:val="77F7F1BE"/>
    <w:rsid w:val="77F95BD2"/>
    <w:rsid w:val="77FE7B4F"/>
    <w:rsid w:val="786C74ED"/>
    <w:rsid w:val="78FB78D2"/>
    <w:rsid w:val="78FBA2ED"/>
    <w:rsid w:val="78FD27C7"/>
    <w:rsid w:val="78FE5A63"/>
    <w:rsid w:val="791668EE"/>
    <w:rsid w:val="795F75BD"/>
    <w:rsid w:val="798FDD30"/>
    <w:rsid w:val="79F11DD0"/>
    <w:rsid w:val="79F346E7"/>
    <w:rsid w:val="79FF3494"/>
    <w:rsid w:val="7AB7FBA4"/>
    <w:rsid w:val="7ABD431C"/>
    <w:rsid w:val="7B15E767"/>
    <w:rsid w:val="7B5E6D67"/>
    <w:rsid w:val="7B7D0951"/>
    <w:rsid w:val="7B7F93E2"/>
    <w:rsid w:val="7B7FBFEB"/>
    <w:rsid w:val="7BBA1DF7"/>
    <w:rsid w:val="7BBB13C9"/>
    <w:rsid w:val="7BBF1625"/>
    <w:rsid w:val="7BBFFAA8"/>
    <w:rsid w:val="7BD734A3"/>
    <w:rsid w:val="7BE44CF8"/>
    <w:rsid w:val="7BEA6A05"/>
    <w:rsid w:val="7BF3BF39"/>
    <w:rsid w:val="7BF5B9F7"/>
    <w:rsid w:val="7BF70AB0"/>
    <w:rsid w:val="7BF767AD"/>
    <w:rsid w:val="7BFE72B7"/>
    <w:rsid w:val="7BFEEFEC"/>
    <w:rsid w:val="7D1F3A6B"/>
    <w:rsid w:val="7D7C255C"/>
    <w:rsid w:val="7D7F7F4D"/>
    <w:rsid w:val="7DBBB1D2"/>
    <w:rsid w:val="7DBDC376"/>
    <w:rsid w:val="7DBFBEF4"/>
    <w:rsid w:val="7DCCA112"/>
    <w:rsid w:val="7DDF9BC5"/>
    <w:rsid w:val="7DEB9A91"/>
    <w:rsid w:val="7DF5F05D"/>
    <w:rsid w:val="7DF790F9"/>
    <w:rsid w:val="7DF9B896"/>
    <w:rsid w:val="7DFA7BD2"/>
    <w:rsid w:val="7DFB7837"/>
    <w:rsid w:val="7DFE5EBD"/>
    <w:rsid w:val="7DFFB292"/>
    <w:rsid w:val="7DFFE009"/>
    <w:rsid w:val="7E131720"/>
    <w:rsid w:val="7E5FDE9C"/>
    <w:rsid w:val="7E884CE2"/>
    <w:rsid w:val="7EAD171A"/>
    <w:rsid w:val="7EBA6A5F"/>
    <w:rsid w:val="7EDF0B49"/>
    <w:rsid w:val="7EED2D5B"/>
    <w:rsid w:val="7EEE9E16"/>
    <w:rsid w:val="7EF2E440"/>
    <w:rsid w:val="7EF34A6F"/>
    <w:rsid w:val="7EFBDC7D"/>
    <w:rsid w:val="7EFF1433"/>
    <w:rsid w:val="7EFF16F6"/>
    <w:rsid w:val="7EFFCE13"/>
    <w:rsid w:val="7F2DF10F"/>
    <w:rsid w:val="7F37AFE3"/>
    <w:rsid w:val="7F37D14E"/>
    <w:rsid w:val="7F3E124F"/>
    <w:rsid w:val="7F3FBDFD"/>
    <w:rsid w:val="7F5A1869"/>
    <w:rsid w:val="7F5D4CA1"/>
    <w:rsid w:val="7F66564B"/>
    <w:rsid w:val="7F759B80"/>
    <w:rsid w:val="7F7FE757"/>
    <w:rsid w:val="7F7FEA65"/>
    <w:rsid w:val="7F8DE414"/>
    <w:rsid w:val="7F9509F6"/>
    <w:rsid w:val="7F979FD3"/>
    <w:rsid w:val="7F9A9519"/>
    <w:rsid w:val="7F9BBFCF"/>
    <w:rsid w:val="7FA906A8"/>
    <w:rsid w:val="7FAF0973"/>
    <w:rsid w:val="7FBC285B"/>
    <w:rsid w:val="7FBF0F57"/>
    <w:rsid w:val="7FBF1CE7"/>
    <w:rsid w:val="7FBFE2FD"/>
    <w:rsid w:val="7FD232CF"/>
    <w:rsid w:val="7FD500EF"/>
    <w:rsid w:val="7FD5DB77"/>
    <w:rsid w:val="7FD71EF4"/>
    <w:rsid w:val="7FD7DCD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9ECE6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9F2C54"/>
    <w:rsid w:val="ABBFA497"/>
    <w:rsid w:val="ABC79617"/>
    <w:rsid w:val="ABFE4843"/>
    <w:rsid w:val="AD970582"/>
    <w:rsid w:val="AF6CC4AE"/>
    <w:rsid w:val="AFD7123F"/>
    <w:rsid w:val="AFEA9A4C"/>
    <w:rsid w:val="AFFED56E"/>
    <w:rsid w:val="B33C0D29"/>
    <w:rsid w:val="B3F148B5"/>
    <w:rsid w:val="B5B576AC"/>
    <w:rsid w:val="B69BA5DD"/>
    <w:rsid w:val="B763EBBC"/>
    <w:rsid w:val="B76EFA11"/>
    <w:rsid w:val="B7EDC966"/>
    <w:rsid w:val="B7F386E3"/>
    <w:rsid w:val="B7FB4C34"/>
    <w:rsid w:val="B7FC70DB"/>
    <w:rsid w:val="B7FFB16E"/>
    <w:rsid w:val="B7FFD648"/>
    <w:rsid w:val="B9DE29B9"/>
    <w:rsid w:val="B9FF7F8E"/>
    <w:rsid w:val="BAEE8A21"/>
    <w:rsid w:val="BAEF907E"/>
    <w:rsid w:val="BBEFF16C"/>
    <w:rsid w:val="BD3F42D7"/>
    <w:rsid w:val="BD7F915C"/>
    <w:rsid w:val="BDBD2207"/>
    <w:rsid w:val="BDBFD108"/>
    <w:rsid w:val="BDFBC3F4"/>
    <w:rsid w:val="BDFFAC50"/>
    <w:rsid w:val="BE16CC4E"/>
    <w:rsid w:val="BE3BE464"/>
    <w:rsid w:val="BE5F612F"/>
    <w:rsid w:val="BEB746B8"/>
    <w:rsid w:val="BEBB3B93"/>
    <w:rsid w:val="BEDE62FB"/>
    <w:rsid w:val="BEEFA20C"/>
    <w:rsid w:val="BEEFB08B"/>
    <w:rsid w:val="BEFD8481"/>
    <w:rsid w:val="BF7F3043"/>
    <w:rsid w:val="BFA69F1D"/>
    <w:rsid w:val="BFB3220D"/>
    <w:rsid w:val="BFB71D93"/>
    <w:rsid w:val="BFBBE20F"/>
    <w:rsid w:val="BFED66DB"/>
    <w:rsid w:val="BFEFCAFA"/>
    <w:rsid w:val="BFFA9525"/>
    <w:rsid w:val="BFFFD7C6"/>
    <w:rsid w:val="C22D1432"/>
    <w:rsid w:val="C6F79AA3"/>
    <w:rsid w:val="CD3FEDD1"/>
    <w:rsid w:val="CD43FCA8"/>
    <w:rsid w:val="CDE3ACC7"/>
    <w:rsid w:val="CEEF2283"/>
    <w:rsid w:val="CFB765EE"/>
    <w:rsid w:val="CFFD05AF"/>
    <w:rsid w:val="CFFF87B9"/>
    <w:rsid w:val="CFFFD98E"/>
    <w:rsid w:val="D3AF74CA"/>
    <w:rsid w:val="D427A4B1"/>
    <w:rsid w:val="D5080E33"/>
    <w:rsid w:val="D5E8B31C"/>
    <w:rsid w:val="D5E8D377"/>
    <w:rsid w:val="D67F4E7E"/>
    <w:rsid w:val="D6DF4AEF"/>
    <w:rsid w:val="D6EB6563"/>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7FB3AB"/>
    <w:rsid w:val="DF9EA8A9"/>
    <w:rsid w:val="DFADB1E4"/>
    <w:rsid w:val="DFBF3DB0"/>
    <w:rsid w:val="DFBFB69D"/>
    <w:rsid w:val="DFDF25CB"/>
    <w:rsid w:val="DFE71C10"/>
    <w:rsid w:val="DFE734D9"/>
    <w:rsid w:val="DFF7BB33"/>
    <w:rsid w:val="DFF7D1B1"/>
    <w:rsid w:val="DFFA2D74"/>
    <w:rsid w:val="DFFDA77F"/>
    <w:rsid w:val="DFFF1FED"/>
    <w:rsid w:val="E1BE4097"/>
    <w:rsid w:val="E1F7CD63"/>
    <w:rsid w:val="E2FF1653"/>
    <w:rsid w:val="E385F030"/>
    <w:rsid w:val="E5B5433D"/>
    <w:rsid w:val="E5D8E41E"/>
    <w:rsid w:val="E5DBD33F"/>
    <w:rsid w:val="E6E3C5F0"/>
    <w:rsid w:val="E6FF1BD9"/>
    <w:rsid w:val="E779E75A"/>
    <w:rsid w:val="E78FF6AA"/>
    <w:rsid w:val="E7CFD029"/>
    <w:rsid w:val="E7FF9A1A"/>
    <w:rsid w:val="E7FFCEF3"/>
    <w:rsid w:val="E9B838B1"/>
    <w:rsid w:val="E9D36EAE"/>
    <w:rsid w:val="E9D78029"/>
    <w:rsid w:val="E9FCF86D"/>
    <w:rsid w:val="E9FD3D14"/>
    <w:rsid w:val="E9FEB65B"/>
    <w:rsid w:val="EAB7969D"/>
    <w:rsid w:val="EAF627E0"/>
    <w:rsid w:val="EAF66968"/>
    <w:rsid w:val="EAF74962"/>
    <w:rsid w:val="EB560F3D"/>
    <w:rsid w:val="EB7781B6"/>
    <w:rsid w:val="EBABBC6B"/>
    <w:rsid w:val="ED457A82"/>
    <w:rsid w:val="EDFBC016"/>
    <w:rsid w:val="EDFF379D"/>
    <w:rsid w:val="EE1E7BE7"/>
    <w:rsid w:val="EE8E1C73"/>
    <w:rsid w:val="EEE7829C"/>
    <w:rsid w:val="EEF3B7B9"/>
    <w:rsid w:val="EEFCD448"/>
    <w:rsid w:val="EF780C29"/>
    <w:rsid w:val="EFB747A0"/>
    <w:rsid w:val="EFBFE406"/>
    <w:rsid w:val="EFDA80BF"/>
    <w:rsid w:val="EFDDE47A"/>
    <w:rsid w:val="EFDEB539"/>
    <w:rsid w:val="EFE6ECB7"/>
    <w:rsid w:val="EFF934BE"/>
    <w:rsid w:val="EFFDB996"/>
    <w:rsid w:val="EFFF6748"/>
    <w:rsid w:val="EFFF9B30"/>
    <w:rsid w:val="F0F94EE3"/>
    <w:rsid w:val="F0FB4779"/>
    <w:rsid w:val="F1BFDF14"/>
    <w:rsid w:val="F1FFB93C"/>
    <w:rsid w:val="F27FA38A"/>
    <w:rsid w:val="F2BB2614"/>
    <w:rsid w:val="F2CFD35C"/>
    <w:rsid w:val="F2FF12B4"/>
    <w:rsid w:val="F36F20A8"/>
    <w:rsid w:val="F3BE45FB"/>
    <w:rsid w:val="F3C7602B"/>
    <w:rsid w:val="F3FE868E"/>
    <w:rsid w:val="F49B07CE"/>
    <w:rsid w:val="F4B95111"/>
    <w:rsid w:val="F57F4DA8"/>
    <w:rsid w:val="F5BDD1EE"/>
    <w:rsid w:val="F5CF8F43"/>
    <w:rsid w:val="F5F58577"/>
    <w:rsid w:val="F5FE5C2F"/>
    <w:rsid w:val="F6BF00C6"/>
    <w:rsid w:val="F6F5656B"/>
    <w:rsid w:val="F6FBD95B"/>
    <w:rsid w:val="F73FC669"/>
    <w:rsid w:val="F77570B5"/>
    <w:rsid w:val="F7792F0B"/>
    <w:rsid w:val="F7BEC53E"/>
    <w:rsid w:val="F7CB21F0"/>
    <w:rsid w:val="F7CFDD56"/>
    <w:rsid w:val="F7D72319"/>
    <w:rsid w:val="F7D9F7D4"/>
    <w:rsid w:val="F7F6422D"/>
    <w:rsid w:val="F7FEBB66"/>
    <w:rsid w:val="F7FF14E5"/>
    <w:rsid w:val="F7FF49A9"/>
    <w:rsid w:val="F7FF5CC8"/>
    <w:rsid w:val="F83DD696"/>
    <w:rsid w:val="F8F4F377"/>
    <w:rsid w:val="F967DB1B"/>
    <w:rsid w:val="F9AF55C0"/>
    <w:rsid w:val="F9ED89BC"/>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20F90"/>
    <w:rsid w:val="FED6F92A"/>
    <w:rsid w:val="FEE79552"/>
    <w:rsid w:val="FEFA9585"/>
    <w:rsid w:val="FEFDD817"/>
    <w:rsid w:val="FEFF7496"/>
    <w:rsid w:val="FEFF7F8E"/>
    <w:rsid w:val="FEFFA731"/>
    <w:rsid w:val="FF5B3711"/>
    <w:rsid w:val="FF5D1C8A"/>
    <w:rsid w:val="FF5FC543"/>
    <w:rsid w:val="FF776516"/>
    <w:rsid w:val="FF7CDF6E"/>
    <w:rsid w:val="FF7D304A"/>
    <w:rsid w:val="FF7FE124"/>
    <w:rsid w:val="FF7FE4B1"/>
    <w:rsid w:val="FF9F4B0B"/>
    <w:rsid w:val="FF9F5B82"/>
    <w:rsid w:val="FFAB6C8F"/>
    <w:rsid w:val="FFBF6300"/>
    <w:rsid w:val="FFCFE9D8"/>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1"/>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3"/>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7"/>
    <w:qFormat/>
    <w:uiPriority w:val="0"/>
    <w:pPr>
      <w:shd w:val="clear" w:color="auto" w:fill="000080"/>
    </w:pPr>
  </w:style>
  <w:style w:type="paragraph" w:styleId="7">
    <w:name w:val="annotation text"/>
    <w:basedOn w:val="1"/>
    <w:link w:val="32"/>
    <w:qFormat/>
    <w:uiPriority w:val="0"/>
    <w:pPr>
      <w:jc w:val="left"/>
    </w:pPr>
  </w:style>
  <w:style w:type="paragraph" w:styleId="8">
    <w:name w:val="Body Text"/>
    <w:basedOn w:val="1"/>
    <w:qFormat/>
    <w:uiPriority w:val="0"/>
    <w:rPr>
      <w:rFonts w:ascii="仿宋_GB2312" w:eastAsia="仿宋_GB2312"/>
      <w:sz w:val="30"/>
      <w:szCs w:val="2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link w:val="5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7"/>
    <w:next w:val="7"/>
    <w:link w:val="39"/>
    <w:qFormat/>
    <w:uiPriority w:val="0"/>
    <w:rPr>
      <w:b/>
      <w:bCs/>
    </w:rPr>
  </w:style>
  <w:style w:type="paragraph" w:styleId="21">
    <w:name w:val="Body Text First Indent 2"/>
    <w:basedOn w:val="9"/>
    <w:unhideWhenUsed/>
    <w:qFormat/>
    <w:uiPriority w:val="99"/>
    <w:pPr>
      <w:ind w:firstLine="420" w:firstLineChars="200"/>
    </w:p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2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30">
    <w:name w:val="标题 1 字符"/>
    <w:link w:val="2"/>
    <w:qFormat/>
    <w:uiPriority w:val="0"/>
    <w:rPr>
      <w:rFonts w:ascii="Times New Roman" w:hAnsi="Times New Roman" w:eastAsia="方正小标宋简体" w:cs="Times New Roman"/>
      <w:b/>
      <w:bCs/>
      <w:kern w:val="44"/>
      <w:sz w:val="36"/>
      <w:szCs w:val="44"/>
    </w:rPr>
  </w:style>
  <w:style w:type="character" w:customStyle="1" w:styleId="31">
    <w:name w:val="标题 2 字符"/>
    <w:link w:val="3"/>
    <w:qFormat/>
    <w:uiPriority w:val="0"/>
    <w:rPr>
      <w:rFonts w:ascii="宋体" w:hAnsi="宋体" w:eastAsia="宋体" w:cs="宋体"/>
      <w:b/>
      <w:bCs/>
      <w:sz w:val="30"/>
      <w:szCs w:val="36"/>
    </w:rPr>
  </w:style>
  <w:style w:type="character" w:customStyle="1" w:styleId="32">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标题 9 字符"/>
    <w:link w:val="4"/>
    <w:qFormat/>
    <w:uiPriority w:val="0"/>
    <w:rPr>
      <w:rFonts w:ascii="Calibri Light" w:hAnsi="Calibri Light" w:eastAsia="宋体" w:cs="Times New Roman"/>
      <w:kern w:val="2"/>
      <w:sz w:val="21"/>
      <w:szCs w:val="21"/>
    </w:rPr>
  </w:style>
  <w:style w:type="paragraph" w:customStyle="1" w:styleId="34">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7">
    <w:name w:val="p121"/>
    <w:qFormat/>
    <w:uiPriority w:val="0"/>
    <w:rPr>
      <w:rFonts w:hint="default" w:eastAsia="宋体" w:cs="Times New Roman"/>
      <w:sz w:val="24"/>
      <w:szCs w:val="24"/>
    </w:rPr>
  </w:style>
  <w:style w:type="paragraph" w:customStyle="1" w:styleId="3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9">
    <w:name w:val="批注主题 字符"/>
    <w:link w:val="20"/>
    <w:qFormat/>
    <w:uiPriority w:val="0"/>
    <w:rPr>
      <w:rFonts w:ascii="Times New Roman" w:hAnsi="Times New Roman" w:eastAsia="宋体" w:cs="Times New Roman"/>
      <w:b/>
      <w:bCs/>
      <w:kern w:val="2"/>
      <w:sz w:val="21"/>
      <w:szCs w:val="24"/>
      <w:lang w:val="en-US" w:eastAsia="zh-CN" w:bidi="ar-SA"/>
    </w:rPr>
  </w:style>
  <w:style w:type="paragraph" w:customStyle="1" w:styleId="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
    <w:name w:val="Char1 Char Char Char"/>
    <w:basedOn w:val="1"/>
    <w:qFormat/>
    <w:uiPriority w:val="0"/>
    <w:rPr>
      <w:rFonts w:ascii="Tahoma" w:hAnsi="Tahoma"/>
      <w:sz w:val="24"/>
      <w:szCs w:val="20"/>
    </w:rPr>
  </w:style>
  <w:style w:type="paragraph" w:customStyle="1" w:styleId="42">
    <w:name w:val="Char1 Char Char Char1"/>
    <w:basedOn w:val="1"/>
    <w:qFormat/>
    <w:uiPriority w:val="0"/>
    <w:rPr>
      <w:rFonts w:ascii="Tahoma" w:hAnsi="Tahoma"/>
      <w:sz w:val="24"/>
      <w:szCs w:val="20"/>
    </w:rPr>
  </w:style>
  <w:style w:type="paragraph" w:customStyle="1" w:styleId="43">
    <w:name w:val="Char1"/>
    <w:basedOn w:val="1"/>
    <w:qFormat/>
    <w:uiPriority w:val="0"/>
    <w:rPr>
      <w:rFonts w:ascii="Tahoma" w:hAnsi="Tahoma"/>
      <w:sz w:val="24"/>
      <w:szCs w:val="20"/>
    </w:rPr>
  </w:style>
  <w:style w:type="paragraph" w:customStyle="1" w:styleId="44">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4">
    <w:name w:val="列表段落1"/>
    <w:basedOn w:val="1"/>
    <w:qFormat/>
    <w:uiPriority w:val="34"/>
    <w:pPr>
      <w:ind w:firstLine="420" w:firstLineChars="200"/>
    </w:pPr>
  </w:style>
  <w:style w:type="character" w:customStyle="1" w:styleId="55">
    <w:name w:val="页眉 字符"/>
    <w:basedOn w:val="23"/>
    <w:link w:val="15"/>
    <w:qFormat/>
    <w:uiPriority w:val="0"/>
    <w:rPr>
      <w:kern w:val="2"/>
      <w:sz w:val="18"/>
      <w:szCs w:val="18"/>
    </w:rPr>
  </w:style>
  <w:style w:type="character" w:customStyle="1" w:styleId="56">
    <w:name w:val="oalinshistyle21"/>
    <w:qFormat/>
    <w:uiPriority w:val="0"/>
    <w:rPr>
      <w:rFonts w:hint="default" w:ascii="Arial" w:hAnsi="Arial" w:cs="Arial"/>
      <w:sz w:val="27"/>
      <w:szCs w:val="27"/>
    </w:rPr>
  </w:style>
  <w:style w:type="character" w:customStyle="1" w:styleId="57">
    <w:name w:val="文档结构图 字符"/>
    <w:basedOn w:val="23"/>
    <w:link w:val="6"/>
    <w:qFormat/>
    <w:uiPriority w:val="0"/>
    <w:rPr>
      <w:kern w:val="2"/>
      <w:sz w:val="21"/>
      <w:szCs w:val="24"/>
      <w:shd w:val="clear" w:color="auto" w:fill="000080"/>
    </w:rPr>
  </w:style>
  <w:style w:type="character" w:customStyle="1" w:styleId="58">
    <w:name w:val="批注框文本 字符"/>
    <w:basedOn w:val="23"/>
    <w:link w:val="13"/>
    <w:qFormat/>
    <w:uiPriority w:val="0"/>
    <w:rPr>
      <w:kern w:val="2"/>
      <w:sz w:val="18"/>
      <w:szCs w:val="18"/>
    </w:rPr>
  </w:style>
  <w:style w:type="paragraph" w:customStyle="1" w:styleId="59">
    <w:name w:val="列出段落1"/>
    <w:basedOn w:val="1"/>
    <w:qFormat/>
    <w:uiPriority w:val="0"/>
    <w:pPr>
      <w:ind w:firstLine="420" w:firstLineChars="200"/>
    </w:p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北京市兰台律师事务所</Company>
  <Pages>1</Pages>
  <Words>21891</Words>
  <Characters>124783</Characters>
  <Lines>1039</Lines>
  <Paragraphs>292</Paragraphs>
  <TotalTime>11</TotalTime>
  <ScaleCrop>false</ScaleCrop>
  <LinksUpToDate>false</LinksUpToDate>
  <CharactersWithSpaces>146382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2022-08-11T18:35:00Z</dcterms:created>
  <dc:creator>张通</dc:creator>
  <cp:lastModifiedBy>wp_bg</cp:lastModifiedBy>
  <cp:lastPrinted>2022-09-12T18:45:00Z</cp:lastPrinted>
  <dcterms:modified xsi:type="dcterms:W3CDTF">2024-01-18T07:57:43Z</dcterms:modified>
  <dc:title>北京市城管执法机关实施行政处罚裁量权一览表（试行）</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21CB7F7E36F44B2887F6D29F03788F44</vt:lpwstr>
  </property>
</Properties>
</file>