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右安门街道办事处</w:t>
      </w:r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-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重大行政执法决定法制审核内容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右安门街道办事处</w:t>
      </w:r>
      <w:r>
        <w:rPr>
          <w:rFonts w:hint="eastAsia"/>
          <w:sz w:val="28"/>
          <w:szCs w:val="28"/>
        </w:rPr>
        <w:t>作出下列重大行政执法处罚决定应当进行法制审核，具体包含：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（一）吊销许可证件的行政处罚决定；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（二）责令停产停业的行政处罚决定；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（三）对公民处以超过5000元、对法人或其他组织处以超过5万元的较大数额罚款且符合听证条件的行政处罚决定；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（四）没收违法建设的行政处罚决定；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（五）其他案情复杂需要法制审核的重大行政处罚决定。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B"/>
    <w:rsid w:val="005D32AB"/>
    <w:rsid w:val="3E2903C5"/>
    <w:rsid w:val="59305E61"/>
    <w:rsid w:val="64B8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2021-09-06T02:49:00Z</dcterms:created>
  <dc:creator>user</dc:creator>
  <cp:lastModifiedBy>马氏</cp:lastModifiedBy>
  <dcterms:modified xsi:type="dcterms:W3CDTF">2021-09-09T02:40:28Z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A2CBCEAC29984ED18FD0C646CF94577C</vt:lpwstr>
  </property>
</Properties>
</file>