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立案依据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2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根据《自然资源违法行为立案查处工作规程(试行)》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第2.3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560" w:lineRule="exact"/>
        <w:ind w:left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符合下列条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的，自然资源主管部门应当予以立案：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line="560" w:lineRule="exact"/>
        <w:ind w:left="0" w:firstLine="65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1)有明确的行为人；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3" w:line="560" w:lineRule="exact"/>
        <w:ind w:left="0" w:firstLine="7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2)有违反自然资源法律法规的事实；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9" w:line="560" w:lineRule="exact"/>
        <w:ind w:left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)依照自然资源法律法规应当追究法律责任；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560" w:lineRule="exact"/>
        <w:ind w:left="0" w:firstLine="70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(4)属于本级本部门管辖；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line="560" w:lineRule="exact"/>
        <w:ind w:left="0"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5)违法行为没有超过追诉时效。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C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2023-12-07T07:44:00Z</dcterms:created>
  <dc:creator>郑璐璐</dc:creator>
  <cp:lastModifiedBy>郑璐璐</cp:lastModifiedBy>
  <dcterms:modified xsi:type="dcterms:W3CDTF">2023-12-07T07:50:14Z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