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宋体" w:hAnsi="宋体" w:eastAsia="宋体" w:cs="宋体"/>
          <w:b/>
          <w:color w:val="auto"/>
          <w:kern w:val="0"/>
          <w:sz w:val="44"/>
          <w:szCs w:val="44"/>
          <w:lang w:bidi="ar"/>
        </w:rPr>
      </w:pPr>
      <w:r>
        <w:rPr>
          <w:rFonts w:ascii="宋体" w:hAnsi="宋体" w:eastAsia="宋体" w:cs="宋体"/>
          <w:b/>
          <w:color w:val="auto"/>
          <w:kern w:val="0"/>
          <w:sz w:val="44"/>
          <w:szCs w:val="44"/>
          <w:lang w:bidi="ar"/>
        </w:rPr>
        <w:t>丰台区</w:t>
      </w:r>
      <w:r>
        <w:rPr>
          <w:rFonts w:hint="eastAsia" w:ascii="宋体" w:hAnsi="宋体" w:eastAsia="宋体" w:cs="宋体"/>
          <w:b/>
          <w:color w:val="auto"/>
          <w:kern w:val="0"/>
          <w:sz w:val="44"/>
          <w:szCs w:val="44"/>
          <w:lang w:bidi="ar"/>
        </w:rPr>
        <w:t>人民政府</w:t>
      </w:r>
      <w:r>
        <w:rPr>
          <w:rFonts w:hint="eastAsia" w:ascii="宋体" w:hAnsi="宋体" w:eastAsia="宋体" w:cs="宋体"/>
          <w:b/>
          <w:color w:val="auto"/>
          <w:kern w:val="0"/>
          <w:sz w:val="44"/>
          <w:szCs w:val="44"/>
          <w:lang w:eastAsia="zh-CN" w:bidi="ar"/>
        </w:rPr>
        <w:t>卢沟桥</w:t>
      </w:r>
      <w:r>
        <w:rPr>
          <w:rFonts w:hint="eastAsia" w:ascii="宋体" w:hAnsi="宋体" w:eastAsia="宋体" w:cs="宋体"/>
          <w:b/>
          <w:color w:val="auto"/>
          <w:kern w:val="0"/>
          <w:sz w:val="44"/>
          <w:szCs w:val="44"/>
          <w:lang w:bidi="ar"/>
        </w:rPr>
        <w:t>街道办事处202</w:t>
      </w:r>
      <w:r>
        <w:rPr>
          <w:rFonts w:hint="eastAsia" w:ascii="宋体" w:hAnsi="宋体" w:eastAsia="宋体" w:cs="宋体"/>
          <w:b/>
          <w:color w:val="auto"/>
          <w:kern w:val="0"/>
          <w:sz w:val="44"/>
          <w:szCs w:val="44"/>
          <w:lang w:val="en-US" w:eastAsia="zh-CN" w:bidi="ar"/>
        </w:rPr>
        <w:t>1</w:t>
      </w:r>
      <w:r>
        <w:rPr>
          <w:rFonts w:ascii="宋体" w:hAnsi="宋体" w:eastAsia="宋体" w:cs="宋体"/>
          <w:b/>
          <w:color w:val="auto"/>
          <w:kern w:val="0"/>
          <w:sz w:val="44"/>
          <w:szCs w:val="44"/>
          <w:lang w:bidi="ar"/>
        </w:rPr>
        <w:t>年行政执法统计年报</w:t>
      </w:r>
    </w:p>
    <w:p>
      <w:pPr>
        <w:widowControl/>
        <w:spacing w:line="600" w:lineRule="atLeast"/>
        <w:jc w:val="center"/>
        <w:rPr>
          <w:rFonts w:ascii="宋体" w:hAnsi="宋体" w:eastAsia="宋体" w:cs="宋体"/>
          <w:b/>
          <w:color w:val="auto"/>
          <w:kern w:val="0"/>
          <w:sz w:val="44"/>
          <w:szCs w:val="44"/>
          <w:lang w:bidi="ar"/>
        </w:rPr>
      </w:pPr>
    </w:p>
    <w:p>
      <w:pPr>
        <w:pStyle w:val="4"/>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一、行政执法机关</w:t>
      </w:r>
      <w:r>
        <w:rPr>
          <w:rFonts w:hint="eastAsia" w:ascii="仿宋" w:hAnsi="仿宋" w:eastAsia="仿宋" w:cs="仿宋"/>
          <w:b/>
          <w:color w:val="auto"/>
          <w:kern w:val="0"/>
          <w:sz w:val="32"/>
          <w:szCs w:val="32"/>
          <w:lang w:val="en-US" w:eastAsia="zh-CN"/>
        </w:rPr>
        <w:t>的</w:t>
      </w:r>
      <w:r>
        <w:rPr>
          <w:rFonts w:ascii="仿宋" w:hAnsi="仿宋" w:eastAsia="仿宋" w:cs="仿宋"/>
          <w:b/>
          <w:color w:val="auto"/>
          <w:kern w:val="0"/>
          <w:sz w:val="32"/>
          <w:szCs w:val="32"/>
        </w:rPr>
        <w:t>执法主体名称</w:t>
      </w:r>
      <w:r>
        <w:rPr>
          <w:rFonts w:hint="eastAsia" w:ascii="仿宋" w:hAnsi="仿宋" w:eastAsia="仿宋" w:cs="仿宋"/>
          <w:b/>
          <w:color w:val="auto"/>
          <w:kern w:val="0"/>
          <w:sz w:val="32"/>
          <w:szCs w:val="32"/>
          <w:lang w:eastAsia="zh-CN"/>
        </w:rPr>
        <w:t>和数量情况</w:t>
      </w:r>
      <w:r>
        <w:rPr>
          <w:rFonts w:ascii="仿宋" w:hAnsi="仿宋" w:eastAsia="仿宋" w:cs="仿宋"/>
          <w:b/>
          <w:color w:val="auto"/>
          <w:kern w:val="0"/>
          <w:sz w:val="32"/>
          <w:szCs w:val="32"/>
        </w:rPr>
        <w:t>：</w:t>
      </w:r>
    </w:p>
    <w:p>
      <w:pPr>
        <w:widowControl/>
        <w:spacing w:line="580" w:lineRule="atLeast"/>
        <w:ind w:firstLine="640" w:firstLineChars="200"/>
        <w:rPr>
          <w:rFonts w:ascii="仿宋" w:hAnsi="仿宋" w:eastAsia="仿宋" w:cs="Times New Roman"/>
          <w:color w:val="auto"/>
          <w:kern w:val="0"/>
          <w:sz w:val="32"/>
          <w:szCs w:val="32"/>
        </w:rPr>
      </w:pPr>
      <w:r>
        <w:rPr>
          <w:rFonts w:hint="eastAsia" w:ascii="仿宋" w:hAnsi="仿宋" w:eastAsia="仿宋" w:cs="仿宋"/>
          <w:color w:val="auto"/>
          <w:kern w:val="0"/>
          <w:sz w:val="32"/>
          <w:szCs w:val="32"/>
        </w:rPr>
        <w:t>北京市丰台区人民政府</w:t>
      </w:r>
      <w:r>
        <w:rPr>
          <w:rFonts w:hint="eastAsia" w:ascii="仿宋" w:hAnsi="仿宋" w:eastAsia="仿宋" w:cs="仿宋"/>
          <w:color w:val="auto"/>
          <w:kern w:val="0"/>
          <w:sz w:val="32"/>
          <w:szCs w:val="32"/>
          <w:lang w:eastAsia="zh-CN"/>
        </w:rPr>
        <w:t>卢沟桥</w:t>
      </w:r>
      <w:r>
        <w:rPr>
          <w:rFonts w:hint="eastAsia" w:ascii="仿宋" w:hAnsi="仿宋" w:eastAsia="仿宋" w:cs="仿宋"/>
          <w:color w:val="auto"/>
          <w:kern w:val="0"/>
          <w:sz w:val="32"/>
          <w:szCs w:val="32"/>
        </w:rPr>
        <w:t>街道办事处</w:t>
      </w:r>
    </w:p>
    <w:p>
      <w:pPr>
        <w:pStyle w:val="4"/>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二、执法岗位设置</w:t>
      </w:r>
      <w:r>
        <w:rPr>
          <w:rFonts w:hint="eastAsia" w:ascii="仿宋" w:hAnsi="仿宋" w:eastAsia="仿宋" w:cs="仿宋"/>
          <w:b/>
          <w:color w:val="auto"/>
          <w:kern w:val="0"/>
          <w:sz w:val="32"/>
          <w:szCs w:val="32"/>
        </w:rPr>
        <w:t>及</w:t>
      </w:r>
      <w:r>
        <w:rPr>
          <w:rFonts w:hint="eastAsia" w:ascii="仿宋" w:hAnsi="仿宋" w:eastAsia="仿宋" w:cs="仿宋"/>
          <w:b/>
          <w:color w:val="auto"/>
          <w:kern w:val="0"/>
          <w:sz w:val="32"/>
          <w:szCs w:val="32"/>
          <w:lang w:eastAsia="zh-CN"/>
        </w:rPr>
        <w:t>执法人员在岗情况</w:t>
      </w:r>
      <w:r>
        <w:rPr>
          <w:rFonts w:ascii="仿宋" w:hAnsi="仿宋" w:eastAsia="仿宋" w:cs="仿宋"/>
          <w:b/>
          <w:color w:val="auto"/>
          <w:kern w:val="0"/>
          <w:sz w:val="32"/>
          <w:szCs w:val="32"/>
        </w:rPr>
        <w:t>：</w:t>
      </w:r>
    </w:p>
    <w:p>
      <w:pPr>
        <w:pStyle w:val="4"/>
        <w:widowControl/>
        <w:numPr>
          <w:ilvl w:val="0"/>
          <w:numId w:val="0"/>
        </w:numPr>
        <w:spacing w:line="580" w:lineRule="atLeas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卢沟桥街道办事处综合行政执法队A类执法岗位设置</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lang w:eastAsia="zh-CN"/>
        </w:rPr>
        <w:t>人，实际在岗人员</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lang w:eastAsia="zh-CN"/>
        </w:rPr>
        <w:t>人，其中</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人未办理执法证。</w:t>
      </w:r>
    </w:p>
    <w:p>
      <w:pPr>
        <w:pStyle w:val="4"/>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三、执法力量投入情况</w:t>
      </w:r>
    </w:p>
    <w:p>
      <w:pPr>
        <w:widowControl/>
        <w:spacing w:line="580" w:lineRule="atLeas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rPr>
        <w:t>人参与日常执法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2人借调到街道其他部门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pPr>
        <w:pStyle w:val="4"/>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四、</w:t>
      </w:r>
      <w:r>
        <w:rPr>
          <w:rFonts w:hint="eastAsia" w:ascii="仿宋" w:hAnsi="仿宋" w:eastAsia="仿宋" w:cs="仿宋"/>
          <w:b/>
          <w:color w:val="auto"/>
          <w:kern w:val="0"/>
          <w:sz w:val="32"/>
          <w:szCs w:val="32"/>
        </w:rPr>
        <w:t>政务</w:t>
      </w:r>
      <w:r>
        <w:rPr>
          <w:rFonts w:hint="eastAsia" w:ascii="仿宋" w:hAnsi="仿宋" w:eastAsia="仿宋" w:cs="仿宋"/>
          <w:b/>
          <w:color w:val="auto"/>
          <w:kern w:val="0"/>
          <w:sz w:val="32"/>
          <w:szCs w:val="32"/>
          <w:lang w:eastAsia="zh-CN"/>
        </w:rPr>
        <w:t>服务</w:t>
      </w:r>
      <w:r>
        <w:rPr>
          <w:rFonts w:hint="eastAsia" w:ascii="仿宋" w:hAnsi="仿宋" w:eastAsia="仿宋" w:cs="仿宋"/>
          <w:b/>
          <w:color w:val="auto"/>
          <w:kern w:val="0"/>
          <w:sz w:val="32"/>
          <w:szCs w:val="32"/>
        </w:rPr>
        <w:t>事项的办理情况</w:t>
      </w:r>
    </w:p>
    <w:p>
      <w:pPr>
        <w:widowControl/>
        <w:spacing w:line="580" w:lineRule="atLeas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无</w:t>
      </w:r>
    </w:p>
    <w:p>
      <w:pPr>
        <w:spacing w:line="560" w:lineRule="exact"/>
        <w:jc w:val="left"/>
        <w:rPr>
          <w:rFonts w:ascii="仿宋" w:hAnsi="仿宋" w:eastAsia="仿宋" w:cs="仿宋"/>
          <w:b/>
          <w:color w:val="auto"/>
          <w:sz w:val="32"/>
          <w:szCs w:val="32"/>
        </w:rPr>
      </w:pP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w:t>
      </w:r>
      <w:r>
        <w:rPr>
          <w:rFonts w:ascii="仿宋" w:hAnsi="仿宋" w:eastAsia="仿宋" w:cs="仿宋"/>
          <w:b/>
          <w:color w:val="auto"/>
          <w:sz w:val="32"/>
          <w:szCs w:val="32"/>
        </w:rPr>
        <w:t>执法检查</w:t>
      </w:r>
      <w:r>
        <w:rPr>
          <w:rFonts w:hint="eastAsia" w:ascii="仿宋" w:hAnsi="仿宋" w:eastAsia="仿宋" w:cs="仿宋"/>
          <w:b/>
          <w:color w:val="auto"/>
          <w:sz w:val="32"/>
          <w:szCs w:val="32"/>
        </w:rPr>
        <w:t>计划执行情况</w:t>
      </w:r>
      <w:r>
        <w:rPr>
          <w:rFonts w:ascii="仿宋" w:hAnsi="仿宋" w:eastAsia="仿宋" w:cs="仿宋"/>
          <w:b/>
          <w:color w:val="auto"/>
          <w:sz w:val="32"/>
          <w:szCs w:val="32"/>
        </w:rPr>
        <w:t>：</w:t>
      </w:r>
    </w:p>
    <w:p>
      <w:pPr>
        <w:spacing w:line="560" w:lineRule="exact"/>
        <w:ind w:firstLine="640" w:firstLineChars="200"/>
        <w:rPr>
          <w:rFonts w:ascii="仿宋" w:hAnsi="仿宋" w:eastAsia="仿宋" w:cs="Times New Roman"/>
          <w:color w:val="auto"/>
          <w:sz w:val="32"/>
          <w:szCs w:val="32"/>
        </w:rPr>
      </w:pPr>
      <w:r>
        <w:rPr>
          <w:rFonts w:hint="eastAsia" w:ascii="仿宋" w:hAnsi="仿宋" w:eastAsia="仿宋" w:cs="Times New Roman"/>
          <w:bCs/>
          <w:color w:val="auto"/>
          <w:sz w:val="32"/>
          <w:szCs w:val="32"/>
        </w:rPr>
        <w:t>执法检查计划已按照计划全部完成</w:t>
      </w:r>
      <w:r>
        <w:rPr>
          <w:rFonts w:hint="eastAsia" w:ascii="仿宋" w:hAnsi="仿宋" w:eastAsia="仿宋" w:cs="Times New Roman"/>
          <w:color w:val="auto"/>
          <w:sz w:val="32"/>
          <w:szCs w:val="32"/>
        </w:rPr>
        <w:t>，主要工作完成情况如下：</w:t>
      </w:r>
    </w:p>
    <w:p>
      <w:pPr>
        <w:numPr>
          <w:ilvl w:val="0"/>
          <w:numId w:val="1"/>
        </w:numPr>
        <w:adjustRightInd w:val="0"/>
        <w:snapToGrid w:val="0"/>
        <w:spacing w:line="540" w:lineRule="exact"/>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疫情防控工作</w:t>
      </w:r>
    </w:p>
    <w:p>
      <w:pPr>
        <w:adjustRightInd w:val="0"/>
        <w:snapToGrid w:val="0"/>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lang w:eastAsia="zh-CN"/>
        </w:rPr>
        <w:t>卢沟桥</w:t>
      </w:r>
      <w:r>
        <w:rPr>
          <w:rFonts w:hint="eastAsia" w:ascii="仿宋" w:hAnsi="仿宋" w:eastAsia="仿宋" w:cs="Times New Roman"/>
          <w:color w:val="auto"/>
          <w:sz w:val="32"/>
          <w:szCs w:val="32"/>
        </w:rPr>
        <w:t>街道始终坚持把疫情防控工作放在首位，坚决落实上级领导关于疫情防控工作的一系列决策部署，承担了辖区内</w:t>
      </w:r>
      <w:r>
        <w:rPr>
          <w:rFonts w:hint="eastAsia" w:ascii="仿宋" w:hAnsi="仿宋" w:eastAsia="仿宋" w:cs="Times New Roman"/>
          <w:color w:val="auto"/>
          <w:sz w:val="32"/>
          <w:szCs w:val="32"/>
          <w:lang w:eastAsia="zh-CN"/>
        </w:rPr>
        <w:t>三类</w:t>
      </w:r>
      <w:r>
        <w:rPr>
          <w:rFonts w:hint="eastAsia" w:ascii="仿宋" w:hAnsi="仿宋" w:eastAsia="仿宋" w:cs="Times New Roman"/>
          <w:color w:val="auto"/>
          <w:sz w:val="32"/>
          <w:szCs w:val="32"/>
        </w:rPr>
        <w:t>防控主体疫情防控常态化措施落实情况的督察工作。</w:t>
      </w:r>
    </w:p>
    <w:p>
      <w:pPr>
        <w:numPr>
          <w:ilvl w:val="0"/>
          <w:numId w:val="1"/>
        </w:numPr>
        <w:adjustRightInd w:val="0"/>
        <w:snapToGrid w:val="0"/>
        <w:spacing w:line="540" w:lineRule="exact"/>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垃圾分类工作</w:t>
      </w:r>
    </w:p>
    <w:p>
      <w:pPr>
        <w:spacing w:line="560" w:lineRule="exact"/>
        <w:ind w:left="105" w:leftChars="50" w:firstLine="480" w:firstLineChars="150"/>
        <w:rPr>
          <w:rFonts w:ascii="仿宋" w:hAnsi="仿宋" w:eastAsia="仿宋" w:cs="Times New Roman"/>
          <w:color w:val="auto"/>
          <w:sz w:val="32"/>
          <w:szCs w:val="32"/>
        </w:rPr>
      </w:pPr>
      <w:r>
        <w:rPr>
          <w:rFonts w:hint="eastAsia" w:ascii="仿宋" w:hAnsi="仿宋" w:eastAsia="仿宋" w:cs="Times New Roman"/>
          <w:color w:val="auto"/>
          <w:sz w:val="32"/>
          <w:szCs w:val="32"/>
        </w:rPr>
        <w:t>自《北京市生活垃圾管理条例》实施以来，街道综合行政执法队迅速成立垃圾分类专项工作小组，采用日常巡查和错时突查相结合的方式，对辖区内各商超市场、餐饮单位、居住小区、学校以及加油站等企事业单位垃圾分类工作落实情况进行多方位、全覆盖的检查。</w:t>
      </w:r>
    </w:p>
    <w:p>
      <w:pPr>
        <w:adjustRightInd w:val="0"/>
        <w:snapToGrid w:val="0"/>
        <w:spacing w:line="540" w:lineRule="exact"/>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（三）占道经营治理工作</w:t>
      </w:r>
    </w:p>
    <w:p>
      <w:pPr>
        <w:adjustRightInd w:val="0"/>
        <w:snapToGrid w:val="0"/>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坚定有序推进占道经营整治有效落实，治理点位保持持续良好。</w:t>
      </w:r>
    </w:p>
    <w:p>
      <w:pPr>
        <w:adjustRightInd w:val="0"/>
        <w:snapToGrid w:val="0"/>
        <w:spacing w:line="540" w:lineRule="exact"/>
        <w:ind w:firstLine="645"/>
        <w:jc w:val="left"/>
        <w:rPr>
          <w:rFonts w:ascii="仿宋" w:hAnsi="仿宋" w:eastAsia="仿宋" w:cs="Times New Roman"/>
          <w:color w:val="auto"/>
          <w:sz w:val="32"/>
          <w:szCs w:val="32"/>
        </w:rPr>
      </w:pPr>
      <w:r>
        <w:rPr>
          <w:rFonts w:hint="eastAsia" w:ascii="仿宋" w:hAnsi="仿宋" w:eastAsia="仿宋" w:cs="Times New Roman"/>
          <w:color w:val="auto"/>
          <w:sz w:val="32"/>
          <w:szCs w:val="32"/>
        </w:rPr>
        <w:t>（四）大气污染防治执法工作</w:t>
      </w:r>
    </w:p>
    <w:p>
      <w:pPr>
        <w:adjustRightInd w:val="0"/>
        <w:snapToGrid w:val="0"/>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针对大气污染防治、施工工地扬尘、建筑垃圾运输泄漏遗撒和擅自进行夜间施工等问题，进行全覆盖的执法检查。针对辖区内举报量高发的施工工地，执法队加强夜间巡视检查，做好群众和施工方的沟通协调工作，减少夜施举报量。</w:t>
      </w:r>
    </w:p>
    <w:p>
      <w:pPr>
        <w:adjustRightInd w:val="0"/>
        <w:snapToGrid w:val="0"/>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（五）燃气安全执法工作</w:t>
      </w:r>
    </w:p>
    <w:p>
      <w:pPr>
        <w:adjustRightInd w:val="0"/>
        <w:snapToGrid w:val="0"/>
        <w:spacing w:line="540" w:lineRule="exact"/>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积极落实燃气安全检查执法责任，重点做好节假日及重大会议期间和人员密集场所餐饮公服用户的燃气安全检查工作；重点对违规倒灌液化石油气，违规生产、储存、经营液化石油气的违法行为进行了查处。</w:t>
      </w:r>
    </w:p>
    <w:p>
      <w:pPr>
        <w:numPr>
          <w:ilvl w:val="0"/>
          <w:numId w:val="0"/>
        </w:numPr>
        <w:adjustRightInd w:val="0"/>
        <w:snapToGrid w:val="0"/>
        <w:spacing w:line="540" w:lineRule="exact"/>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行政处罚</w:t>
      </w:r>
      <w:r>
        <w:rPr>
          <w:rFonts w:hint="eastAsia" w:ascii="仿宋" w:hAnsi="仿宋" w:eastAsia="仿宋" w:cs="仿宋"/>
          <w:b/>
          <w:bCs/>
          <w:color w:val="auto"/>
          <w:sz w:val="32"/>
          <w:szCs w:val="32"/>
          <w:lang w:eastAsia="zh-CN"/>
        </w:rPr>
        <w:t>、行政强制等案件的办理情况：</w:t>
      </w:r>
    </w:p>
    <w:p>
      <w:pPr>
        <w:spacing w:line="560" w:lineRule="exac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Times New Roman"/>
          <w:color w:val="auto"/>
          <w:sz w:val="32"/>
          <w:szCs w:val="32"/>
        </w:rPr>
        <w:t>全年共立案处罚</w:t>
      </w:r>
      <w:r>
        <w:rPr>
          <w:rFonts w:hint="eastAsia" w:ascii="仿宋" w:hAnsi="仿宋" w:eastAsia="仿宋" w:cs="Times New Roman"/>
          <w:color w:val="auto"/>
          <w:sz w:val="32"/>
          <w:szCs w:val="32"/>
          <w:lang w:val="en-US" w:eastAsia="zh-CN"/>
        </w:rPr>
        <w:t>581</w:t>
      </w:r>
      <w:r>
        <w:rPr>
          <w:rFonts w:hint="eastAsia" w:ascii="仿宋" w:hAnsi="仿宋" w:eastAsia="仿宋" w:cs="Times New Roman"/>
          <w:color w:val="auto"/>
          <w:sz w:val="32"/>
          <w:szCs w:val="32"/>
        </w:rPr>
        <w:t>起，罚款总计1422374.4元，其中简易处罚</w:t>
      </w:r>
      <w:r>
        <w:rPr>
          <w:rFonts w:hint="eastAsia" w:ascii="仿宋" w:hAnsi="仿宋" w:eastAsia="仿宋" w:cs="Times New Roman"/>
          <w:color w:val="auto"/>
          <w:sz w:val="32"/>
          <w:szCs w:val="32"/>
          <w:lang w:val="en-US" w:eastAsia="zh-CN"/>
        </w:rPr>
        <w:t>203</w:t>
      </w:r>
      <w:r>
        <w:rPr>
          <w:rFonts w:hint="eastAsia" w:ascii="仿宋" w:hAnsi="仿宋" w:eastAsia="仿宋" w:cs="Times New Roman"/>
          <w:color w:val="auto"/>
          <w:sz w:val="32"/>
          <w:szCs w:val="32"/>
        </w:rPr>
        <w:t>起，罚款金额14840元；一般处罚</w:t>
      </w:r>
      <w:r>
        <w:rPr>
          <w:rFonts w:hint="eastAsia" w:ascii="仿宋" w:hAnsi="仿宋" w:eastAsia="仿宋" w:cs="Times New Roman"/>
          <w:color w:val="auto"/>
          <w:sz w:val="32"/>
          <w:szCs w:val="32"/>
          <w:lang w:val="en-US" w:eastAsia="zh-CN"/>
        </w:rPr>
        <w:t>378</w:t>
      </w:r>
      <w:r>
        <w:rPr>
          <w:rFonts w:hint="eastAsia" w:ascii="仿宋" w:hAnsi="仿宋" w:eastAsia="仿宋" w:cs="Times New Roman"/>
          <w:color w:val="auto"/>
          <w:sz w:val="32"/>
          <w:szCs w:val="32"/>
        </w:rPr>
        <w:t>起，罚款金额1407534.4元。</w:t>
      </w:r>
      <w:bookmarkStart w:id="0" w:name="_GoBack"/>
      <w:bookmarkEnd w:id="0"/>
    </w:p>
    <w:p>
      <w:pPr>
        <w:spacing w:line="560" w:lineRule="exact"/>
        <w:rPr>
          <w:rFonts w:ascii="仿宋" w:hAnsi="仿宋" w:eastAsia="仿宋" w:cs="Times New Roman"/>
          <w:b/>
          <w:bCs/>
          <w:color w:val="auto"/>
          <w:sz w:val="32"/>
          <w:szCs w:val="32"/>
        </w:rPr>
      </w:pPr>
      <w:r>
        <w:rPr>
          <w:rFonts w:hint="eastAsia" w:ascii="仿宋" w:hAnsi="仿宋" w:eastAsia="仿宋" w:cs="仿宋"/>
          <w:b/>
          <w:bCs/>
          <w:color w:val="auto"/>
          <w:sz w:val="32"/>
          <w:szCs w:val="32"/>
          <w:lang w:eastAsia="zh-CN"/>
        </w:rPr>
        <w:t>七、</w:t>
      </w:r>
      <w:r>
        <w:rPr>
          <w:rFonts w:hint="eastAsia" w:ascii="仿宋" w:hAnsi="仿宋" w:eastAsia="仿宋" w:cs="Times New Roman"/>
          <w:b/>
          <w:bCs/>
          <w:color w:val="auto"/>
          <w:sz w:val="32"/>
          <w:szCs w:val="32"/>
        </w:rPr>
        <w:t>投诉、举报案件的受理和分类办理情况：</w:t>
      </w:r>
    </w:p>
    <w:p>
      <w:pPr>
        <w:spacing w:line="560" w:lineRule="exact"/>
        <w:ind w:firstLine="480" w:firstLineChars="150"/>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全年共接到</w:t>
      </w:r>
      <w:r>
        <w:rPr>
          <w:rFonts w:hint="eastAsia" w:ascii="仿宋" w:hAnsi="仿宋" w:eastAsia="仿宋" w:cs="Times New Roman"/>
          <w:color w:val="auto"/>
          <w:sz w:val="32"/>
          <w:szCs w:val="32"/>
          <w:lang w:val="en-US" w:eastAsia="zh-CN"/>
        </w:rPr>
        <w:t>12345热线举报1229个，其中店外经营类16个；街头游商类650个；施工扰民类1919个；投诉类126个；违建类279个；扬尘类175个；其他类205个；占道类10个；二次办理16个；退件804个，已全部处理完成。</w:t>
      </w:r>
    </w:p>
    <w:p>
      <w:pPr>
        <w:numPr>
          <w:ilvl w:val="0"/>
          <w:numId w:val="0"/>
        </w:numPr>
        <w:adjustRightInd w:val="0"/>
        <w:snapToGrid w:val="0"/>
        <w:spacing w:line="540" w:lineRule="exact"/>
        <w:ind w:leftChars="0"/>
        <w:rPr>
          <w:rFonts w:hint="eastAsia" w:ascii="仿宋" w:hAnsi="仿宋" w:eastAsia="仿宋" w:cs="仿宋"/>
          <w:b/>
          <w:bCs/>
          <w:color w:val="auto"/>
          <w:sz w:val="32"/>
          <w:szCs w:val="32"/>
          <w:lang w:eastAsia="zh-CN"/>
        </w:rPr>
      </w:pPr>
    </w:p>
    <w:p>
      <w:pPr>
        <w:numPr>
          <w:ilvl w:val="0"/>
          <w:numId w:val="2"/>
        </w:numPr>
        <w:adjustRightInd w:val="0"/>
        <w:snapToGrid w:val="0"/>
        <w:spacing w:line="540" w:lineRule="exact"/>
        <w:ind w:leftChars="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行政执法机关认为需要公示的其他情况：</w:t>
      </w:r>
    </w:p>
    <w:p>
      <w:pPr>
        <w:numPr>
          <w:ilvl w:val="0"/>
          <w:numId w:val="0"/>
        </w:numPr>
        <w:adjustRightInd w:val="0"/>
        <w:snapToGrid w:val="0"/>
        <w:spacing w:line="540" w:lineRule="exac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F21F1"/>
    <w:multiLevelType w:val="singleLevel"/>
    <w:tmpl w:val="B0CF21F1"/>
    <w:lvl w:ilvl="0" w:tentative="0">
      <w:start w:val="8"/>
      <w:numFmt w:val="chineseCounting"/>
      <w:suff w:val="nothing"/>
      <w:lvlText w:val="%1、"/>
      <w:lvlJc w:val="left"/>
      <w:rPr>
        <w:rFonts w:hint="eastAsia"/>
      </w:rPr>
    </w:lvl>
  </w:abstractNum>
  <w:abstractNum w:abstractNumId="1">
    <w:nsid w:val="60E9EC79"/>
    <w:multiLevelType w:val="singleLevel"/>
    <w:tmpl w:val="60E9EC7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54B26"/>
    <w:rsid w:val="565251E6"/>
    <w:rsid w:val="59A54B26"/>
    <w:rsid w:val="6E9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2022-01-10T06:54:00Z</dcterms:created>
  <dc:creator>ftqxtb</dc:creator>
  <cp:lastModifiedBy>ftqxtb</cp:lastModifiedBy>
  <dcterms:modified xsi:type="dcterms:W3CDTF">2022-01-19T02:48:14Z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