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宋体" w:hAnsi="宋体" w:eastAsia="宋体" w:cs="宋体"/>
          <w:b/>
          <w:color w:val="auto"/>
          <w:kern w:val="0"/>
          <w:sz w:val="44"/>
          <w:szCs w:val="44"/>
          <w:lang w:bidi="ar"/>
        </w:rPr>
      </w:pPr>
      <w:r>
        <w:rPr>
          <w:rFonts w:ascii="宋体" w:hAnsi="宋体" w:eastAsia="宋体" w:cs="宋体"/>
          <w:b/>
          <w:color w:val="auto"/>
          <w:kern w:val="0"/>
          <w:sz w:val="44"/>
          <w:szCs w:val="44"/>
          <w:lang w:bidi="ar"/>
        </w:rPr>
        <w:t>丰台区</w:t>
      </w:r>
      <w:r>
        <w:rPr>
          <w:rFonts w:hint="eastAsia" w:ascii="宋体" w:hAnsi="宋体" w:eastAsia="宋体" w:cs="宋体"/>
          <w:b/>
          <w:color w:val="auto"/>
          <w:kern w:val="0"/>
          <w:sz w:val="44"/>
          <w:szCs w:val="44"/>
          <w:lang w:bidi="ar"/>
        </w:rPr>
        <w:t>人民政府</w:t>
      </w:r>
      <w:r>
        <w:rPr>
          <w:rFonts w:hint="eastAsia" w:ascii="宋体" w:hAnsi="宋体" w:eastAsia="宋体" w:cs="宋体"/>
          <w:b/>
          <w:color w:val="auto"/>
          <w:kern w:val="0"/>
          <w:sz w:val="44"/>
          <w:szCs w:val="44"/>
          <w:lang w:eastAsia="zh-CN" w:bidi="ar"/>
        </w:rPr>
        <w:t>卢沟桥</w:t>
      </w:r>
      <w:r>
        <w:rPr>
          <w:rFonts w:hint="eastAsia" w:ascii="宋体" w:hAnsi="宋体" w:eastAsia="宋体" w:cs="宋体"/>
          <w:b/>
          <w:color w:val="auto"/>
          <w:kern w:val="0"/>
          <w:sz w:val="44"/>
          <w:szCs w:val="44"/>
          <w:lang w:bidi="ar"/>
        </w:rPr>
        <w:t>街道办事处202</w:t>
      </w:r>
      <w:r>
        <w:rPr>
          <w:rFonts w:hint="eastAsia" w:ascii="宋体" w:hAnsi="宋体" w:eastAsia="宋体" w:cs="宋体"/>
          <w:b/>
          <w:color w:val="auto"/>
          <w:kern w:val="0"/>
          <w:sz w:val="44"/>
          <w:szCs w:val="44"/>
          <w:lang w:val="en-US" w:eastAsia="zh-CN" w:bidi="ar"/>
        </w:rPr>
        <w:t>3</w:t>
      </w:r>
      <w:r>
        <w:rPr>
          <w:rFonts w:ascii="宋体" w:hAnsi="宋体" w:eastAsia="宋体" w:cs="宋体"/>
          <w:b/>
          <w:color w:val="auto"/>
          <w:kern w:val="0"/>
          <w:sz w:val="44"/>
          <w:szCs w:val="44"/>
          <w:lang w:bidi="ar"/>
        </w:rPr>
        <w:t>年行政执法统计年报</w:t>
      </w:r>
    </w:p>
    <w:p>
      <w:pPr>
        <w:widowControl/>
        <w:spacing w:line="600" w:lineRule="atLeast"/>
        <w:jc w:val="center"/>
        <w:rPr>
          <w:rFonts w:ascii="宋体" w:hAnsi="宋体" w:eastAsia="宋体" w:cs="宋体"/>
          <w:b/>
          <w:color w:val="auto"/>
          <w:kern w:val="0"/>
          <w:sz w:val="44"/>
          <w:szCs w:val="44"/>
          <w:lang w:bidi="ar"/>
        </w:rPr>
      </w:pPr>
    </w:p>
    <w:p>
      <w:pPr>
        <w:pStyle w:val="6"/>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一、行政执法机关</w:t>
      </w:r>
      <w:r>
        <w:rPr>
          <w:rFonts w:hint="eastAsia" w:ascii="仿宋" w:hAnsi="仿宋" w:eastAsia="仿宋" w:cs="仿宋"/>
          <w:b/>
          <w:color w:val="auto"/>
          <w:kern w:val="0"/>
          <w:sz w:val="32"/>
          <w:szCs w:val="32"/>
          <w:lang w:val="en-US" w:eastAsia="zh-CN"/>
        </w:rPr>
        <w:t>的</w:t>
      </w:r>
      <w:r>
        <w:rPr>
          <w:rFonts w:ascii="仿宋" w:hAnsi="仿宋" w:eastAsia="仿宋" w:cs="仿宋"/>
          <w:b/>
          <w:color w:val="auto"/>
          <w:kern w:val="0"/>
          <w:sz w:val="32"/>
          <w:szCs w:val="32"/>
        </w:rPr>
        <w:t>执法主体名称</w:t>
      </w:r>
      <w:r>
        <w:rPr>
          <w:rFonts w:hint="eastAsia" w:ascii="仿宋" w:hAnsi="仿宋" w:eastAsia="仿宋" w:cs="仿宋"/>
          <w:b/>
          <w:color w:val="auto"/>
          <w:kern w:val="0"/>
          <w:sz w:val="32"/>
          <w:szCs w:val="32"/>
          <w:lang w:eastAsia="zh-CN"/>
        </w:rPr>
        <w:t>和数量情况</w:t>
      </w:r>
      <w:r>
        <w:rPr>
          <w:rFonts w:ascii="仿宋" w:hAnsi="仿宋" w:eastAsia="仿宋" w:cs="仿宋"/>
          <w:b/>
          <w:color w:val="auto"/>
          <w:kern w:val="0"/>
          <w:sz w:val="32"/>
          <w:szCs w:val="32"/>
        </w:rPr>
        <w:t>：</w:t>
      </w:r>
    </w:p>
    <w:p>
      <w:pPr>
        <w:widowControl/>
        <w:spacing w:line="580" w:lineRule="atLeast"/>
        <w:ind w:firstLine="640" w:firstLineChars="200"/>
        <w:rPr>
          <w:rFonts w:ascii="仿宋" w:hAnsi="仿宋" w:eastAsia="仿宋" w:cs="Times New Roman"/>
          <w:color w:val="auto"/>
          <w:kern w:val="0"/>
          <w:sz w:val="32"/>
          <w:szCs w:val="32"/>
        </w:rPr>
      </w:pPr>
      <w:r>
        <w:rPr>
          <w:rFonts w:hint="eastAsia" w:ascii="仿宋" w:hAnsi="仿宋" w:eastAsia="仿宋" w:cs="仿宋"/>
          <w:color w:val="auto"/>
          <w:kern w:val="0"/>
          <w:sz w:val="32"/>
          <w:szCs w:val="32"/>
        </w:rPr>
        <w:t>北京市丰台区人民政府</w:t>
      </w:r>
      <w:r>
        <w:rPr>
          <w:rFonts w:hint="eastAsia" w:ascii="仿宋" w:hAnsi="仿宋" w:eastAsia="仿宋" w:cs="仿宋"/>
          <w:color w:val="auto"/>
          <w:kern w:val="0"/>
          <w:sz w:val="32"/>
          <w:szCs w:val="32"/>
          <w:lang w:eastAsia="zh-CN"/>
        </w:rPr>
        <w:t>卢沟桥</w:t>
      </w:r>
      <w:r>
        <w:rPr>
          <w:rFonts w:hint="eastAsia" w:ascii="仿宋" w:hAnsi="仿宋" w:eastAsia="仿宋" w:cs="仿宋"/>
          <w:color w:val="auto"/>
          <w:kern w:val="0"/>
          <w:sz w:val="32"/>
          <w:szCs w:val="32"/>
        </w:rPr>
        <w:t>街道办事处</w:t>
      </w:r>
    </w:p>
    <w:p>
      <w:pPr>
        <w:pStyle w:val="6"/>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二、执法岗位设置</w:t>
      </w:r>
      <w:r>
        <w:rPr>
          <w:rFonts w:hint="eastAsia" w:ascii="仿宋" w:hAnsi="仿宋" w:eastAsia="仿宋" w:cs="仿宋"/>
          <w:b/>
          <w:color w:val="auto"/>
          <w:kern w:val="0"/>
          <w:sz w:val="32"/>
          <w:szCs w:val="32"/>
        </w:rPr>
        <w:t>及</w:t>
      </w:r>
      <w:r>
        <w:rPr>
          <w:rFonts w:hint="eastAsia" w:ascii="仿宋" w:hAnsi="仿宋" w:eastAsia="仿宋" w:cs="仿宋"/>
          <w:b/>
          <w:color w:val="auto"/>
          <w:kern w:val="0"/>
          <w:sz w:val="32"/>
          <w:szCs w:val="32"/>
          <w:lang w:eastAsia="zh-CN"/>
        </w:rPr>
        <w:t>执法人员在岗情况</w:t>
      </w:r>
      <w:r>
        <w:rPr>
          <w:rFonts w:ascii="仿宋" w:hAnsi="仿宋" w:eastAsia="仿宋" w:cs="仿宋"/>
          <w:b/>
          <w:color w:val="auto"/>
          <w:kern w:val="0"/>
          <w:sz w:val="32"/>
          <w:szCs w:val="32"/>
        </w:rPr>
        <w:t>：</w:t>
      </w:r>
    </w:p>
    <w:p>
      <w:pPr>
        <w:pStyle w:val="6"/>
        <w:widowControl/>
        <w:numPr>
          <w:ilvl w:val="0"/>
          <w:numId w:val="0"/>
        </w:numPr>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卢沟桥街道办事处综合行政执法队A类执法岗位设置</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eastAsia="zh-CN"/>
        </w:rPr>
        <w:t>人，实际在岗人员</w:t>
      </w:r>
      <w:r>
        <w:rPr>
          <w:rFonts w:hint="eastAsia" w:ascii="仿宋" w:hAnsi="仿宋" w:eastAsia="仿宋" w:cs="仿宋"/>
          <w:color w:val="auto"/>
          <w:kern w:val="0"/>
          <w:sz w:val="32"/>
          <w:szCs w:val="32"/>
          <w:lang w:val="en-US" w:eastAsia="zh-CN"/>
        </w:rPr>
        <w:t>28</w:t>
      </w:r>
      <w:r>
        <w:rPr>
          <w:rFonts w:hint="eastAsia" w:ascii="仿宋" w:hAnsi="仿宋" w:eastAsia="仿宋" w:cs="仿宋"/>
          <w:color w:val="auto"/>
          <w:kern w:val="0"/>
          <w:sz w:val="32"/>
          <w:szCs w:val="32"/>
          <w:lang w:eastAsia="zh-CN"/>
        </w:rPr>
        <w:t>人，其中</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人未办理执法证。</w:t>
      </w:r>
    </w:p>
    <w:p>
      <w:pPr>
        <w:pStyle w:val="6"/>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三、执法力量投入情况</w:t>
      </w:r>
    </w:p>
    <w:p>
      <w:pPr>
        <w:widowControl/>
        <w:spacing w:line="58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26</w:t>
      </w:r>
      <w:r>
        <w:rPr>
          <w:rFonts w:hint="eastAsia" w:ascii="仿宋" w:hAnsi="仿宋" w:eastAsia="仿宋" w:cs="仿宋"/>
          <w:color w:val="auto"/>
          <w:kern w:val="0"/>
          <w:sz w:val="32"/>
          <w:szCs w:val="32"/>
        </w:rPr>
        <w:t>人参与日常执法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2人借调到其他部门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pPr>
        <w:pStyle w:val="6"/>
        <w:widowControl/>
        <w:numPr>
          <w:ilvl w:val="0"/>
          <w:numId w:val="0"/>
        </w:numPr>
        <w:spacing w:line="580" w:lineRule="atLeas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政务</w:t>
      </w:r>
      <w:r>
        <w:rPr>
          <w:rFonts w:hint="eastAsia" w:ascii="仿宋" w:hAnsi="仿宋" w:eastAsia="仿宋" w:cs="仿宋"/>
          <w:b/>
          <w:color w:val="auto"/>
          <w:kern w:val="0"/>
          <w:sz w:val="32"/>
          <w:szCs w:val="32"/>
          <w:lang w:eastAsia="zh-CN"/>
        </w:rPr>
        <w:t>服务</w:t>
      </w:r>
      <w:r>
        <w:rPr>
          <w:rFonts w:hint="eastAsia" w:ascii="仿宋" w:hAnsi="仿宋" w:eastAsia="仿宋" w:cs="仿宋"/>
          <w:b/>
          <w:color w:val="auto"/>
          <w:kern w:val="0"/>
          <w:sz w:val="32"/>
          <w:szCs w:val="32"/>
        </w:rPr>
        <w:t>事项的办理情况</w:t>
      </w:r>
    </w:p>
    <w:p>
      <w:pPr>
        <w:widowControl/>
        <w:spacing w:line="58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按照有关要求，定期报卷，及时公开公示相关信息，积极推动政务服务公开事项的办理。</w:t>
      </w:r>
    </w:p>
    <w:p>
      <w:pPr>
        <w:spacing w:line="560" w:lineRule="exact"/>
        <w:jc w:val="left"/>
        <w:rPr>
          <w:rFonts w:ascii="仿宋" w:hAnsi="仿宋" w:eastAsia="仿宋" w:cs="仿宋"/>
          <w:b/>
          <w:color w:val="auto"/>
          <w:sz w:val="32"/>
          <w:szCs w:val="32"/>
        </w:rPr>
      </w:pP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w:t>
      </w:r>
      <w:r>
        <w:rPr>
          <w:rFonts w:ascii="仿宋" w:hAnsi="仿宋" w:eastAsia="仿宋" w:cs="仿宋"/>
          <w:b/>
          <w:color w:val="auto"/>
          <w:sz w:val="32"/>
          <w:szCs w:val="32"/>
        </w:rPr>
        <w:t>执法检查</w:t>
      </w:r>
      <w:r>
        <w:rPr>
          <w:rFonts w:hint="eastAsia" w:ascii="仿宋" w:hAnsi="仿宋" w:eastAsia="仿宋" w:cs="仿宋"/>
          <w:b/>
          <w:color w:val="auto"/>
          <w:sz w:val="32"/>
          <w:szCs w:val="32"/>
        </w:rPr>
        <w:t>计划执行情况</w:t>
      </w:r>
      <w:r>
        <w:rPr>
          <w:rFonts w:ascii="仿宋" w:hAnsi="仿宋" w:eastAsia="仿宋" w:cs="仿宋"/>
          <w:b/>
          <w:color w:val="auto"/>
          <w:sz w:val="32"/>
          <w:szCs w:val="32"/>
        </w:rPr>
        <w:t>：</w:t>
      </w:r>
    </w:p>
    <w:p>
      <w:pPr>
        <w:spacing w:line="560" w:lineRule="exact"/>
        <w:ind w:firstLine="640" w:firstLineChars="200"/>
        <w:rPr>
          <w:rFonts w:ascii="仿宋" w:hAnsi="仿宋" w:eastAsia="仿宋" w:cs="Times New Roman"/>
          <w:color w:val="auto"/>
          <w:sz w:val="32"/>
          <w:szCs w:val="32"/>
        </w:rPr>
      </w:pPr>
      <w:r>
        <w:rPr>
          <w:rFonts w:hint="eastAsia" w:ascii="仿宋" w:hAnsi="仿宋" w:eastAsia="仿宋" w:cs="Times New Roman"/>
          <w:bCs/>
          <w:color w:val="auto"/>
          <w:sz w:val="32"/>
          <w:szCs w:val="32"/>
        </w:rPr>
        <w:t>执法检查计划已按照计划全部完成</w:t>
      </w:r>
      <w:r>
        <w:rPr>
          <w:rFonts w:hint="eastAsia" w:ascii="仿宋" w:hAnsi="仿宋" w:eastAsia="仿宋" w:cs="Times New Roman"/>
          <w:color w:val="auto"/>
          <w:sz w:val="32"/>
          <w:szCs w:val="32"/>
        </w:rPr>
        <w:t>，主要工作完成情况如下：</w:t>
      </w:r>
    </w:p>
    <w:p>
      <w:pPr>
        <w:numPr>
          <w:ilvl w:val="0"/>
          <w:numId w:val="1"/>
        </w:num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垃圾分类工作</w:t>
      </w:r>
    </w:p>
    <w:p>
      <w:pPr>
        <w:spacing w:line="560" w:lineRule="exact"/>
        <w:ind w:left="105" w:leftChars="50" w:firstLine="480" w:firstLineChars="150"/>
        <w:rPr>
          <w:rFonts w:ascii="仿宋" w:hAnsi="仿宋" w:eastAsia="仿宋" w:cs="Times New Roman"/>
          <w:color w:val="auto"/>
          <w:sz w:val="32"/>
          <w:szCs w:val="32"/>
        </w:rPr>
      </w:pPr>
      <w:r>
        <w:rPr>
          <w:rFonts w:hint="eastAsia" w:ascii="仿宋" w:hAnsi="仿宋" w:eastAsia="仿宋" w:cs="Times New Roman"/>
          <w:color w:val="auto"/>
          <w:sz w:val="32"/>
          <w:szCs w:val="32"/>
        </w:rPr>
        <w:t>自《北京市生活垃圾管理条例》实施以来，街道综合行政执法队迅速成立垃圾分类专项工作小组，采用日常巡查和错时突查相结合的方式，对辖区内各商超市场、餐饮单位、居住小区、学校以及加油站等企事业单位垃圾分类工作落实情况进行多方位、全覆盖的检查。</w:t>
      </w:r>
    </w:p>
    <w:p>
      <w:pPr>
        <w:adjustRightInd w:val="0"/>
        <w:snapToGrid w:val="0"/>
        <w:spacing w:line="540" w:lineRule="exact"/>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二</w:t>
      </w:r>
      <w:r>
        <w:rPr>
          <w:rFonts w:hint="eastAsia" w:ascii="仿宋" w:hAnsi="仿宋" w:eastAsia="仿宋" w:cs="Times New Roman"/>
          <w:color w:val="auto"/>
          <w:sz w:val="32"/>
          <w:szCs w:val="32"/>
        </w:rPr>
        <w:t>）占道经营治理工作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坚定有序推进占道经营整治有效落实，治理点位保持持续良好。</w:t>
      </w:r>
    </w:p>
    <w:p>
      <w:pPr>
        <w:adjustRightInd w:val="0"/>
        <w:snapToGrid w:val="0"/>
        <w:spacing w:line="540" w:lineRule="exact"/>
        <w:ind w:firstLine="645"/>
        <w:jc w:val="left"/>
        <w:rPr>
          <w:rFonts w:ascii="仿宋" w:hAnsi="仿宋" w:eastAsia="仿宋" w:cs="Times New Roman"/>
          <w:color w:val="auto"/>
          <w:sz w:val="32"/>
          <w:szCs w:val="32"/>
        </w:rPr>
      </w:pP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三</w:t>
      </w:r>
      <w:r>
        <w:rPr>
          <w:rFonts w:hint="eastAsia" w:ascii="仿宋" w:hAnsi="仿宋" w:eastAsia="仿宋" w:cs="Times New Roman"/>
          <w:color w:val="auto"/>
          <w:sz w:val="32"/>
          <w:szCs w:val="32"/>
        </w:rPr>
        <w:t>）大气污染防治执法工作</w:t>
      </w:r>
    </w:p>
    <w:p>
      <w:pPr>
        <w:adjustRightInd w:val="0"/>
        <w:snapToGrid w:val="0"/>
        <w:spacing w:line="540" w:lineRule="exact"/>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针对大气污染防治、施工工地扬尘、建筑垃圾运输泄漏遗撒和擅自进行夜间施工等问题，进行全覆盖的执法检查。针对辖区内举报量高发的施工工地，执法队加强夜间巡视检查，做好群众和施工方的沟通协调工作，减少夜施举报量。</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四</w:t>
      </w:r>
      <w:r>
        <w:rPr>
          <w:rFonts w:hint="eastAsia" w:ascii="仿宋" w:hAnsi="仿宋" w:eastAsia="仿宋" w:cs="仿宋_GB2312"/>
          <w:color w:val="auto"/>
          <w:sz w:val="32"/>
          <w:szCs w:val="32"/>
        </w:rPr>
        <w:t>）燃气安全执法工作</w:t>
      </w:r>
    </w:p>
    <w:p>
      <w:pPr>
        <w:adjustRightInd w:val="0"/>
        <w:snapToGrid w:val="0"/>
        <w:spacing w:line="54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积极落实燃气安全检查执法责任，重点做好节假日及重大会议期间和人员密集场所餐饮公服用户的燃气安全检查工作；重点对违规倒灌液化石油气，违规生产、储存、经营液化石油气的违法行为进行了查处。</w:t>
      </w:r>
    </w:p>
    <w:p>
      <w:pPr>
        <w:numPr>
          <w:ilvl w:val="0"/>
          <w:numId w:val="0"/>
        </w:numPr>
        <w:adjustRightInd w:val="0"/>
        <w:snapToGrid w:val="0"/>
        <w:spacing w:line="540" w:lineRule="exac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行政处罚</w:t>
      </w:r>
      <w:r>
        <w:rPr>
          <w:rFonts w:hint="eastAsia" w:ascii="仿宋" w:hAnsi="仿宋" w:eastAsia="仿宋" w:cs="仿宋"/>
          <w:b/>
          <w:bCs/>
          <w:color w:val="auto"/>
          <w:sz w:val="32"/>
          <w:szCs w:val="32"/>
          <w:lang w:eastAsia="zh-CN"/>
        </w:rPr>
        <w:t>、行政强制等案件的办理情况：</w:t>
      </w:r>
    </w:p>
    <w:p>
      <w:pPr>
        <w:spacing w:line="560" w:lineRule="exac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Times New Roman"/>
          <w:color w:val="auto"/>
          <w:sz w:val="32"/>
          <w:szCs w:val="32"/>
        </w:rPr>
        <w:t>全年共立案处罚</w:t>
      </w:r>
      <w:r>
        <w:rPr>
          <w:rFonts w:hint="eastAsia" w:ascii="仿宋" w:hAnsi="仿宋" w:eastAsia="仿宋" w:cs="Times New Roman"/>
          <w:color w:val="auto"/>
          <w:sz w:val="32"/>
          <w:szCs w:val="32"/>
          <w:lang w:val="en-US" w:eastAsia="zh-CN"/>
        </w:rPr>
        <w:t>1510</w:t>
      </w:r>
      <w:r>
        <w:rPr>
          <w:rFonts w:hint="eastAsia" w:ascii="仿宋" w:hAnsi="仿宋" w:eastAsia="仿宋" w:cs="Times New Roman"/>
          <w:color w:val="auto"/>
          <w:sz w:val="32"/>
          <w:szCs w:val="32"/>
        </w:rPr>
        <w:t>起，罚款总计1316470.18元，其中简易处罚</w:t>
      </w:r>
      <w:r>
        <w:rPr>
          <w:rFonts w:hint="eastAsia" w:ascii="仿宋" w:hAnsi="仿宋" w:eastAsia="仿宋" w:cs="Times New Roman"/>
          <w:color w:val="auto"/>
          <w:sz w:val="32"/>
          <w:szCs w:val="32"/>
          <w:lang w:val="en-US" w:eastAsia="zh-CN"/>
        </w:rPr>
        <w:t>935</w:t>
      </w:r>
      <w:r>
        <w:rPr>
          <w:rFonts w:hint="eastAsia" w:ascii="仿宋" w:hAnsi="仿宋" w:eastAsia="仿宋" w:cs="Times New Roman"/>
          <w:color w:val="auto"/>
          <w:sz w:val="32"/>
          <w:szCs w:val="32"/>
        </w:rPr>
        <w:t>起，罚款金额</w:t>
      </w:r>
      <w:r>
        <w:rPr>
          <w:rFonts w:hint="eastAsia" w:ascii="仿宋" w:hAnsi="仿宋" w:eastAsia="仿宋" w:cs="Times New Roman"/>
          <w:color w:val="auto"/>
          <w:sz w:val="32"/>
          <w:szCs w:val="32"/>
          <w:lang w:val="en-US" w:eastAsia="zh-CN"/>
        </w:rPr>
        <w:t>25450</w:t>
      </w:r>
      <w:r>
        <w:rPr>
          <w:rFonts w:hint="eastAsia" w:ascii="仿宋" w:hAnsi="仿宋" w:eastAsia="仿宋" w:cs="Times New Roman"/>
          <w:color w:val="auto"/>
          <w:sz w:val="32"/>
          <w:szCs w:val="32"/>
        </w:rPr>
        <w:t>元；一般处罚</w:t>
      </w:r>
      <w:r>
        <w:rPr>
          <w:rFonts w:hint="eastAsia" w:ascii="仿宋" w:hAnsi="仿宋" w:eastAsia="仿宋" w:cs="Times New Roman"/>
          <w:color w:val="auto"/>
          <w:sz w:val="32"/>
          <w:szCs w:val="32"/>
          <w:lang w:val="en-US" w:eastAsia="zh-CN"/>
        </w:rPr>
        <w:t>575</w:t>
      </w:r>
      <w:r>
        <w:rPr>
          <w:rFonts w:hint="eastAsia" w:ascii="仿宋" w:hAnsi="仿宋" w:eastAsia="仿宋" w:cs="Times New Roman"/>
          <w:color w:val="auto"/>
          <w:sz w:val="32"/>
          <w:szCs w:val="32"/>
        </w:rPr>
        <w:t>起，罚款金额</w:t>
      </w:r>
      <w:r>
        <w:rPr>
          <w:rFonts w:hint="eastAsia" w:ascii="仿宋" w:hAnsi="仿宋" w:eastAsia="仿宋" w:cs="Times New Roman"/>
          <w:color w:val="auto"/>
          <w:sz w:val="32"/>
          <w:szCs w:val="32"/>
          <w:lang w:val="en-US" w:eastAsia="zh-CN"/>
        </w:rPr>
        <w:t>1291020.18</w:t>
      </w:r>
      <w:r>
        <w:rPr>
          <w:rFonts w:hint="eastAsia" w:ascii="仿宋" w:hAnsi="仿宋" w:eastAsia="仿宋" w:cs="Times New Roman"/>
          <w:color w:val="auto"/>
          <w:sz w:val="32"/>
          <w:szCs w:val="32"/>
        </w:rPr>
        <w:t>元。</w:t>
      </w:r>
    </w:p>
    <w:p>
      <w:pPr>
        <w:spacing w:line="560" w:lineRule="exact"/>
        <w:rPr>
          <w:rFonts w:ascii="仿宋" w:hAnsi="仿宋" w:eastAsia="仿宋" w:cs="Times New Roman"/>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Times New Roman"/>
          <w:b/>
          <w:bCs/>
          <w:color w:val="auto"/>
          <w:sz w:val="32"/>
          <w:szCs w:val="32"/>
        </w:rPr>
        <w:t>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2023年全年综合行政执法队共接到各类投诉、举报案件2207件，已全部办结。在深入推进夜间施工扰民、街头无照游商“每月一题”整治工作基础上，再接再厉，继续深化接诉即办工作，强化主动治理、未诉先办，对市民群众反映强烈问题开展全面整治，集中破解高频举报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2023年共接到反映无照经营问题12345热线举报400余件。从时间分布看，白天违法形态占比约70%，晚上违法形态占比约30%。从违法类型上看，店外经营占举报占总数的约20%，无照经营占总数的约80%。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eastAsia="zh-CN"/>
        </w:rPr>
      </w:pPr>
      <w:r>
        <w:rPr>
          <w:rFonts w:hint="eastAsia" w:ascii="仿宋" w:hAnsi="仿宋" w:eastAsia="仿宋" w:cs="Times New Roman"/>
          <w:color w:val="auto"/>
          <w:sz w:val="32"/>
          <w:szCs w:val="32"/>
          <w:lang w:val="en-US" w:eastAsia="zh-CN"/>
        </w:rPr>
        <w:t>针对</w:t>
      </w:r>
      <w:r>
        <w:rPr>
          <w:rFonts w:hint="default" w:ascii="仿宋" w:hAnsi="仿宋" w:eastAsia="仿宋" w:cs="Times New Roman"/>
          <w:color w:val="auto"/>
          <w:sz w:val="32"/>
          <w:szCs w:val="32"/>
          <w:lang w:val="en-US" w:eastAsia="zh-CN"/>
        </w:rPr>
        <w:t>无照占道经营现象</w:t>
      </w:r>
      <w:r>
        <w:rPr>
          <w:rFonts w:hint="eastAsia" w:ascii="仿宋" w:hAnsi="仿宋" w:eastAsia="仿宋" w:cs="Times New Roman"/>
          <w:color w:val="auto"/>
          <w:sz w:val="32"/>
          <w:szCs w:val="32"/>
          <w:lang w:val="en-US" w:eastAsia="zh-CN"/>
        </w:rPr>
        <w:t>举报量大</w:t>
      </w:r>
      <w:r>
        <w:rPr>
          <w:rFonts w:hint="default" w:ascii="仿宋" w:hAnsi="仿宋" w:eastAsia="仿宋" w:cs="Times New Roman"/>
          <w:color w:val="auto"/>
          <w:sz w:val="32"/>
          <w:szCs w:val="32"/>
          <w:lang w:val="en-US" w:eastAsia="zh-CN"/>
        </w:rPr>
        <w:t>的</w:t>
      </w:r>
      <w:r>
        <w:rPr>
          <w:rFonts w:hint="eastAsia" w:ascii="仿宋" w:hAnsi="仿宋" w:eastAsia="仿宋" w:cs="Times New Roman"/>
          <w:color w:val="auto"/>
          <w:sz w:val="32"/>
          <w:szCs w:val="32"/>
          <w:lang w:val="en-US" w:eastAsia="zh-CN"/>
        </w:rPr>
        <w:t>问题，执法队多措并举，形成高压态势严厉打击。采取不定时巡查检查和集中整治的措施，安排执法力量主要大街、重点点位周边加强巡查检查频次，采取不定时整治，对经营工具采取没收处理等措施，依法进行处罚。同时协调街道城指中心及相关科室，采取案件双派的工作模式，激发社区、村的属地责任意识，形成合力，共同做好举报人的沟通解释工作，降低群众举报量，提高群众的满意度。</w:t>
      </w:r>
    </w:p>
    <w:p>
      <w:pPr>
        <w:numPr>
          <w:ilvl w:val="0"/>
          <w:numId w:val="2"/>
        </w:numPr>
        <w:adjustRightInd w:val="0"/>
        <w:snapToGrid w:val="0"/>
        <w:spacing w:line="540" w:lineRule="exact"/>
        <w:ind w:leftChars="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行政执法机关认为需要公示的其他情况：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F21F1"/>
    <w:multiLevelType w:val="singleLevel"/>
    <w:tmpl w:val="B0CF21F1"/>
    <w:lvl w:ilvl="0" w:tentative="0">
      <w:start w:val="8"/>
      <w:numFmt w:val="chineseCounting"/>
      <w:suff w:val="nothing"/>
      <w:lvlText w:val="%1、"/>
      <w:lvlJc w:val="left"/>
      <w:rPr>
        <w:rFonts w:hint="eastAsia"/>
      </w:rPr>
    </w:lvl>
  </w:abstractNum>
  <w:abstractNum w:abstractNumId="1">
    <w:nsid w:val="60E9EC79"/>
    <w:multiLevelType w:val="singleLevel"/>
    <w:tmpl w:val="60E9EC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DI1YTExZTRiY2QzMTA4NmZlNzIzZmM0ZTc5MjgifQ=="/>
  </w:docVars>
  <w:rsids>
    <w:rsidRoot w:val="59A54B26"/>
    <w:rsid w:val="064262F7"/>
    <w:rsid w:val="35AF2746"/>
    <w:rsid w:val="4462499D"/>
    <w:rsid w:val="475653CB"/>
    <w:rsid w:val="59A5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Calibri" w:hAnsi="Calibri" w:eastAsia="方正小标宋简体" w:cs="Times New Roman"/>
      <w:sz w:val="44"/>
      <w:szCs w:val="22"/>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2022-01-10T06:54:00Z</dcterms:created>
  <dc:creator>ftqxtb</dc:creator>
  <cp:lastModifiedBy>王菲</cp:lastModifiedBy>
  <dcterms:modified xsi:type="dcterms:W3CDTF">2024-01-02T08:48:57Z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5734F799D2B9414DA2D49D11AB6C3023</vt:lpwstr>
  </property>
</Properties>
</file>