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00" w:lineRule="exact"/>
        <w:ind w:firstLine="1321" w:firstLineChars="3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和义街道</w:t>
      </w:r>
      <w:r>
        <w:t>202</w:t>
      </w:r>
      <w:r>
        <w:rPr>
          <w:rFonts w:hint="eastAsia"/>
          <w:lang w:val="en-US" w:eastAsia="zh-CN"/>
        </w:rPr>
        <w:t>3</w:t>
      </w:r>
      <w:r>
        <w:t>年度行政执法统计年报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，和义街道紧密围绕重点、中心工作目标任务，严格落实“有法可依，有法必依，执法必严，违法必究”的行政执法工作理念，认真安排部署行政执法各项工作任务，全面规范行政执法行为，切实推进了行政执法各项工作做实做深做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一、行政执法机关执法主体名称及数量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执法主体名称：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北京市丰台区人民政府和义街道办事处。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执法主体数量：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二、各执法主体的执法岗位及人员在岗情况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A类执法岗位编制：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21个，实际在岗18人，借调3人。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三、执法力量投入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除借调人员外，其余在岗执法人员全部投入一线执法。A类执法岗位已在执法平台全部进行关联，A类执法岗位编制比为85%，执法人员全部参与行政检查和行政处罚，参与执法率≥85%。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2023年，和义街道坚持“立足民生、主动服务”的理念，扎实落实多项举措提高政务服务质量。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一是强化基础服务暖民心。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年，为城乡居民、城镇职工提供报销药费、变更医院等医保业务3080人次，办理社保卡业务1744人次、城乡居民养老、无保障业务312人次、灵活就业社会保险业务1900人次、就、失业业务168人次，申领失业保险金85人，发放城镇登记失业困难人员补贴74人，提供帮办、代办暖心服务共计200人次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二是实现就业服务不打烊。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大力推行网上就业服务，组织开展了4场春风行动网络招聘会，2场线下招聘会，参会单位32家，提供岗位3156个，线上招聘会信息浏览量2万余人次，促进了高校毕业生等重点人群就业创业。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三是深化社会救助保民生。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辖区474名低保人员发放低保保障金7989744.81元；审核低保新申请19户、低收入新申请5户、特困新申请1户。积极开展养老联合体建设工作，完成养老机构家庭照护床位8张指标任务，基本养老签约459人，签约率达100%。做好残疾人帮扶和“两项补贴”发放工作，为辖区残疾人提供了1200余人次服务，发放补贴共计18万余元。对辖区居民开展健康管理服务，配合南苑卫生执法大队，打击非法行医3次。成立了“无工资拖欠”工作领导小组，对地区企业单位用工情况进行检查，全年共受理职工举报案件90余起，均有效化解，调解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五、行政执法检查计划执行情况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1、建立机制，狠抓城市综合治理。严防大气污染：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推进大气污染防治，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联合区生态环境局执法检查工地裸地、汽修餐饮等，整改丰台环保APP扬尘问题线索165件。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严打无照游商：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加强对辖区主要道路及重点点位的巡查与管控力度，</w:t>
      </w:r>
      <w:r>
        <w:rPr>
          <w:rFonts w:hint="eastAsia" w:ascii="仿宋" w:hAnsi="仿宋" w:eastAsia="仿宋" w:cs="仿宋"/>
          <w:sz w:val="32"/>
          <w:szCs w:val="32"/>
        </w:rPr>
        <w:t>严格落实人盯车巡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坚决打击无照游商、占道经营等违法行为。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严整门前三包：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以主要大街为重点，向背街小巷延伸，对门前三包单位进行摸排检查，对发现的违法违规行为依法查处，并跟踪复查整改情况。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严查垃圾分类：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聚焦“分类投放、分类收集、分类运输、分类处置”四个环节，对发现问题的单位及个人依法查处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严管施工工地：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加强扬尘类及夜施扰民等违法行为的查处力度，发现一起，立案一起，同时督促整改。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严惩违规运输车辆。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联合交通部门不定期开展违规运输车辆夜查行动，严格落实“逢车必检”，严厉打击违规运输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车辆、渣土车辆不苫盖、车辆不清洁等影响市容环境的违法行为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严治露天烧烤：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结合季节及节假日特点，对发现自家露天烧烤现象及时进行劝阻、清理，对经营性露天烧烤行为，依法进行查处。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严控违法建设：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依法拆除多处历史遗留违法建设，包含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和义西里三区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8号楼二层10户，私搭乱建棚子8处、鸽子窝4处，鱼池1处等。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严抓安全生产：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对燃气非居民用户台账进行全覆盖检查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，及时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消除安全隐患。</w:t>
      </w:r>
      <w:r>
        <w:rPr>
          <w:rStyle w:val="16"/>
          <w:rFonts w:hint="eastAsia" w:ascii="仿宋" w:hAnsi="仿宋" w:eastAsia="仿宋" w:cs="仿宋"/>
        </w:rPr>
        <w:t>加强有限空间管理，共摸排109家、2810处，发现、整改隐患14处</w:t>
      </w:r>
      <w:r>
        <w:rPr>
          <w:rStyle w:val="16"/>
          <w:rFonts w:hint="eastAsia" w:ascii="仿宋" w:hAnsi="仿宋" w:eastAsia="仿宋" w:cs="仿宋"/>
          <w:lang w:eastAsia="zh-CN"/>
        </w:rPr>
        <w:t>。</w:t>
      </w:r>
      <w:r>
        <w:rPr>
          <w:rStyle w:val="16"/>
          <w:rFonts w:hint="eastAsia" w:ascii="仿宋" w:hAnsi="仿宋" w:eastAsia="仿宋" w:cs="仿宋"/>
        </w:rPr>
        <w:t>拆除违规彩钢板建筑38处，6013.6㎡，拆除进度103%</w:t>
      </w:r>
      <w:r>
        <w:rPr>
          <w:rStyle w:val="16"/>
          <w:rFonts w:hint="eastAsia" w:ascii="仿宋" w:hAnsi="仿宋" w:eastAsia="仿宋" w:cs="仿宋"/>
          <w:lang w:eastAsia="zh-CN"/>
        </w:rPr>
        <w:t>。</w:t>
      </w:r>
      <w:r>
        <w:rPr>
          <w:rStyle w:val="16"/>
          <w:rFonts w:hint="eastAsia" w:ascii="仿宋" w:hAnsi="仿宋" w:eastAsia="仿宋" w:cs="仿宋"/>
        </w:rPr>
        <w:t>开展违规电动三四轮车综合治理工作</w:t>
      </w:r>
      <w:r>
        <w:rPr>
          <w:rStyle w:val="16"/>
          <w:rFonts w:hint="eastAsia" w:ascii="仿宋" w:hAnsi="仿宋" w:eastAsia="仿宋" w:cs="仿宋"/>
          <w:lang w:eastAsia="zh-CN"/>
        </w:rPr>
        <w:t>，</w:t>
      </w:r>
      <w:r>
        <w:rPr>
          <w:rStyle w:val="16"/>
          <w:rFonts w:hint="eastAsia" w:ascii="仿宋" w:hAnsi="仿宋" w:eastAsia="仿宋" w:cs="仿宋"/>
        </w:rPr>
        <w:t>共淘汰违规电三四</w:t>
      </w:r>
      <w:r>
        <w:rPr>
          <w:rStyle w:val="16"/>
          <w:rFonts w:hint="eastAsia" w:ascii="仿宋" w:hAnsi="仿宋" w:eastAsia="仿宋" w:cs="仿宋"/>
          <w:lang w:eastAsia="zh-CN"/>
        </w:rPr>
        <w:t>轮车</w:t>
      </w:r>
      <w:r>
        <w:rPr>
          <w:rStyle w:val="16"/>
          <w:rFonts w:hint="eastAsia" w:ascii="仿宋" w:hAnsi="仿宋" w:eastAsia="仿宋" w:cs="仿宋"/>
        </w:rPr>
        <w:t>1072辆，清理僵尸车52辆，清拖违规电三四</w:t>
      </w:r>
      <w:r>
        <w:rPr>
          <w:rStyle w:val="16"/>
          <w:rFonts w:hint="eastAsia" w:ascii="仿宋" w:hAnsi="仿宋" w:eastAsia="仿宋" w:cs="仿宋"/>
          <w:lang w:eastAsia="zh-CN"/>
        </w:rPr>
        <w:t>轮车</w:t>
      </w:r>
      <w:r>
        <w:rPr>
          <w:rStyle w:val="16"/>
          <w:rFonts w:hint="eastAsia" w:ascii="仿宋" w:hAnsi="仿宋" w:eastAsia="仿宋" w:cs="仿宋"/>
        </w:rPr>
        <w:t>279辆。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2、攻坚克难，高标准完成拆违治乱任务。</w:t>
      </w:r>
      <w:r>
        <w:rPr>
          <w:rFonts w:hint="eastAsia" w:ascii="仿宋" w:hAnsi="仿宋" w:eastAsia="仿宋" w:cs="仿宋"/>
          <w:kern w:val="0"/>
          <w:sz w:val="32"/>
          <w:szCs w:val="32"/>
        </w:rPr>
        <w:t>2023年和义街道拆违专项任务总面积为30514平方米，全年拆除并销账违法建设38处，涉及违法面积31841平方米，腾退土地8180.01平方米，超额完成全年任务指标。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平房区拆违治乱百日攻坚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行动，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共</w:t>
      </w:r>
      <w:r>
        <w:rPr>
          <w:rFonts w:hint="eastAsia" w:ascii="仿宋" w:hAnsi="仿宋" w:eastAsia="仿宋" w:cs="仿宋"/>
          <w:kern w:val="0"/>
          <w:sz w:val="32"/>
          <w:szCs w:val="32"/>
        </w:rPr>
        <w:t>联合执法920人次，累计检查平房区1268户，达到不落一户，共上账隐患481个，整改481个，整改进度为100%。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完成治乱任务21104平方米，整治乱点200余处，整治提升松林庄、嘉禾庄平房区环境；拆违腾退用地生态修复临时绿化19.73公顷，绿化硬化5处“金角银边”、2处“三道工程”，完成揭网见绿12处16.58公顷任务。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本年度，和义街道综合行政执法队共查处各类违法行为541起，其中不予处罚55起，个人生活垃圾警告1341起，作出行政处罚486起，罚款95.833万元。其中：施工现场问题15起，罚款20.55万元；生活垃圾类120起，罚款13.32万元；违规运输车辆91起，罚款29.1万元；无照游商和摆摊设点共76起，罚款1.58万元；门前三包类（包含乱堆物料、店外经济、牌匾、门前三包）共79起，罚款3.493万元；露天烧烤24起，罚款0.885万元；私装地锁17起，罚款0.85万元；非法小广告41起，罚款1.25万元；燃气问题45起，罚款0.82万元；吸烟问题8起，罚款0.07万元；违规喷漆问题1起，1万元；园林类4起，罚款0.065万元；建筑垃圾类20起，罚款22.85万元；行政强制案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七、投诉、举报案件的受理和分类处理情况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本年度，和义街道综合行政执法队共接到投诉、举报案件1887件，电话举报57件，涉及垃圾分类14件、燃气安全2件、施工扰民129件，和泄漏遗撒2件、无照经营、店外经营、占道经营、堆物堆料58件、露天烧烤大排档16件，户外广告牌匾、非法小广告等各项执法工作14件。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北京市丰台区人民政府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和义街道办事处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2024年1月2日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96383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9"/>
    <w:rsid w:val="00002274"/>
    <w:rsid w:val="00026740"/>
    <w:rsid w:val="000C37FF"/>
    <w:rsid w:val="00160451"/>
    <w:rsid w:val="001C0E83"/>
    <w:rsid w:val="002463B9"/>
    <w:rsid w:val="002E6155"/>
    <w:rsid w:val="002E7089"/>
    <w:rsid w:val="00302C12"/>
    <w:rsid w:val="00326608"/>
    <w:rsid w:val="00342C0D"/>
    <w:rsid w:val="004108E5"/>
    <w:rsid w:val="00416DB1"/>
    <w:rsid w:val="00450195"/>
    <w:rsid w:val="00475379"/>
    <w:rsid w:val="00526DE1"/>
    <w:rsid w:val="007A41E5"/>
    <w:rsid w:val="00803A84"/>
    <w:rsid w:val="00867A8E"/>
    <w:rsid w:val="00884094"/>
    <w:rsid w:val="008A4A58"/>
    <w:rsid w:val="008B5BAC"/>
    <w:rsid w:val="00922DB3"/>
    <w:rsid w:val="009B1364"/>
    <w:rsid w:val="009E5877"/>
    <w:rsid w:val="00B37CDC"/>
    <w:rsid w:val="00BC5A4E"/>
    <w:rsid w:val="00BD5677"/>
    <w:rsid w:val="00BF09CF"/>
    <w:rsid w:val="00BF33FA"/>
    <w:rsid w:val="00C004AA"/>
    <w:rsid w:val="00C215A1"/>
    <w:rsid w:val="00C8197D"/>
    <w:rsid w:val="00CC056D"/>
    <w:rsid w:val="00CF13AB"/>
    <w:rsid w:val="00D62328"/>
    <w:rsid w:val="00F571B7"/>
    <w:rsid w:val="00F97AFD"/>
    <w:rsid w:val="00FB354F"/>
    <w:rsid w:val="0FD55652"/>
    <w:rsid w:val="10B0047E"/>
    <w:rsid w:val="12F654DA"/>
    <w:rsid w:val="1465529B"/>
    <w:rsid w:val="1BC10DF5"/>
    <w:rsid w:val="1C3F03A6"/>
    <w:rsid w:val="1CA12A15"/>
    <w:rsid w:val="1DB53BB0"/>
    <w:rsid w:val="23872002"/>
    <w:rsid w:val="27635D04"/>
    <w:rsid w:val="28BC57DE"/>
    <w:rsid w:val="324F21AB"/>
    <w:rsid w:val="33A52667"/>
    <w:rsid w:val="35AF435C"/>
    <w:rsid w:val="376A5B3C"/>
    <w:rsid w:val="37BA6CCF"/>
    <w:rsid w:val="3EB103D3"/>
    <w:rsid w:val="3EF01044"/>
    <w:rsid w:val="3F5B7D75"/>
    <w:rsid w:val="427F00EB"/>
    <w:rsid w:val="44B96F0B"/>
    <w:rsid w:val="4553589A"/>
    <w:rsid w:val="47081202"/>
    <w:rsid w:val="4B3F2D63"/>
    <w:rsid w:val="4D7857B9"/>
    <w:rsid w:val="54E822F9"/>
    <w:rsid w:val="6573425F"/>
    <w:rsid w:val="65DE1FF9"/>
    <w:rsid w:val="69C87955"/>
    <w:rsid w:val="6ACE0CD3"/>
    <w:rsid w:val="6D773B55"/>
    <w:rsid w:val="73325734"/>
    <w:rsid w:val="76B30C0D"/>
    <w:rsid w:val="7BAF79D7"/>
    <w:rsid w:val="7CCF6CE0"/>
    <w:rsid w:val="7F4C2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toc 3"/>
    <w:basedOn w:val="1"/>
    <w:next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4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15">
    <w:name w:val="17"/>
    <w:basedOn w:val="11"/>
    <w:qFormat/>
    <w:uiPriority w:val="0"/>
    <w:rPr>
      <w:rFonts w:hint="default" w:ascii="Times New Roman" w:eastAsia="楷体_GB2312" w:cs="楷体_GB2312"/>
      <w:sz w:val="32"/>
      <w:szCs w:val="32"/>
    </w:rPr>
  </w:style>
  <w:style w:type="character" w:customStyle="1" w:styleId="16">
    <w:name w:val="fontstyle01"/>
    <w:basedOn w:val="11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238D-B738-4332-B8BC-77AA8C9F5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1177</Characters>
  <Lines>9</Lines>
  <Paragraphs>2</Paragraphs>
  <TotalTime>2</TotalTime>
  <ScaleCrop>false</ScaleCrop>
  <LinksUpToDate>false</LinksUpToDate>
  <CharactersWithSpaces>1381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2021-11-03T03:26:00Z</dcterms:created>
  <dc:creator>Kang Kai</dc:creator>
  <cp:lastModifiedBy>燕</cp:lastModifiedBy>
  <cp:lastPrinted>2021-11-02T11:00:00Z</cp:lastPrinted>
  <dcterms:modified xsi:type="dcterms:W3CDTF">2024-01-08T08:36:57Z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11A2FB2C4312491DBEDE2C8B7B708AAE</vt:lpwstr>
  </property>
</Properties>
</file>