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7EAF98">
      <w:pPr>
        <w:spacing w:before="0" w:after="0" w:line="329" w:lineRule="exact"/>
        <w:ind w:left="0" w:right="0" w:firstLine="0"/>
        <w:jc w:val="left"/>
        <w:rPr>
          <w:rFonts w:hint="eastAsia" w:ascii="UKJEOA+FangSong_GB2312" w:eastAsia="宋体"/>
          <w:color w:val="000000"/>
          <w:spacing w:val="0"/>
          <w:sz w:val="32"/>
          <w:lang w:eastAsia="zh-CN"/>
        </w:rPr>
      </w:pPr>
      <w:r>
        <w:pict>
          <v:shape id="_x00000" o:spid="_x0000_s1026" o:spt="75" type="#_x0000_t75" style="position:absolute;left:0pt;margin-left:178.05pt;margin-top:149.9pt;height:28.15pt;width:26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" o:spid="_x0000_s1027" o:spt="75" type="#_x0000_t75" style="position:absolute;left:0pt;margin-left:156pt;margin-top:184.95pt;height:28.15pt;width:311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2" o:spid="_x0000_s1028" o:spt="75" type="#_x0000_t75" style="position:absolute;left:0pt;margin-left:281.55pt;margin-top:268.5pt;height:44.95pt;width:7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281.55pt;margin-top:360.9pt;height:44.95pt;width:7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281.55pt;margin-top:453.3pt;height:44.95pt;width:7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5" o:spid="_x0000_s1031" o:spt="75" type="#_x0000_t75" style="position:absolute;left:0pt;margin-left:125.6pt;margin-top:554.6pt;height:22.7pt;width:341.8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126.45pt;margin-top:589.65pt;height:20.95pt;width:34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pict>
          <v:shape id="_x00007" o:spid="_x0000_s1033" o:spt="75" type="#_x0000_t75" style="position:absolute;left:0pt;margin-left:110.5pt;margin-top:624.6pt;height:20.95pt;width:356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pict>
          <v:shape id="_x00008" o:spid="_x0000_s1034" o:spt="75" type="#_x0000_t75" style="position:absolute;left:0pt;margin-left:110.5pt;margin-top:659.6pt;height:20.95pt;width:356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ascii="TNOJQH+FangSong_GB2312" w:hAnsi="TNOJQH+FangSong_GB2312" w:cs="TNOJQH+FangSong_GB2312"/>
          <w:color w:val="000000"/>
          <w:spacing w:val="2"/>
          <w:sz w:val="32"/>
        </w:rPr>
        <w:t>附件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hint="eastAsia" w:ascii="UKJEOA+FangSong_GB2312"/>
          <w:color w:val="000000"/>
          <w:spacing w:val="0"/>
          <w:sz w:val="32"/>
          <w:lang w:val="en-US" w:eastAsia="zh-CN"/>
        </w:rPr>
        <w:t>5</w:t>
      </w:r>
      <w:bookmarkStart w:id="0" w:name="_GoBack"/>
      <w:bookmarkEnd w:id="0"/>
    </w:p>
    <w:p w14:paraId="544C61A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6E327E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F751C6B">
      <w:pPr>
        <w:sectPr>
          <w:pgSz w:w="11900" w:h="16820"/>
          <w:pgMar w:top="1740" w:right="100" w:bottom="0" w:left="1589" w:header="720" w:footer="720" w:gutter="0"/>
          <w:pgNumType w:start="1"/>
          <w:cols w:space="720" w:num="1"/>
          <w:docGrid w:linePitch="1" w:charSpace="0"/>
        </w:sectPr>
      </w:pPr>
    </w:p>
    <w:p w14:paraId="0714256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64"/>
        <w:gridCol w:w="786"/>
        <w:gridCol w:w="454"/>
        <w:gridCol w:w="20"/>
        <w:gridCol w:w="4263"/>
        <w:gridCol w:w="20"/>
        <w:gridCol w:w="2180"/>
        <w:gridCol w:w="561"/>
      </w:tblGrid>
      <w:tr w14:paraId="6FB392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264" w:type="dxa"/>
            <w:noWrap w:val="0"/>
            <w:vAlign w:val="top"/>
          </w:tcPr>
          <w:p w14:paraId="3775BD43">
            <w:pPr>
              <w:spacing w:before="0" w:after="0" w:line="0" w:lineRule="exact"/>
              <w:ind w:left="0" w:right="0" w:firstLine="0"/>
              <w:jc w:val="left"/>
            </w:pPr>
            <w:r>
              <w:pict>
                <v:shape id="_x00009" o:spid="_x0000_s1035" o:spt="75" type="#_x0000_t75" style="position:absolute;left:0pt;margin-left:175.05pt;margin-top:-38.9pt;height:23.5pt;width:110.05pt;mso-position-horizontal-relative:page;mso-position-vertical-relative:page;z-index:-251657216;mso-width-relative:page;mso-height-relative:page;" filled="f" coordsize="21600,21600">
                  <v:path/>
                  <v:fill on="f" focussize="0,0"/>
                  <v:stroke/>
                  <v:imagedata r:id="rId14" o:title=""/>
                  <o:lock v:ext="edit" aspectratio="t"/>
                </v:shape>
              </w:pict>
            </w:r>
            <w:r>
              <w:pict>
                <v:shape id="_x000010" o:spid="_x0000_s1036" o:spt="75" type="#_x0000_t75" style="position:absolute;left:0pt;margin-left:3.9pt;margin-top:-4.8pt;height:129.7pt;width:434.55pt;mso-position-horizontal-relative:page;mso-position-vertical-relative:page;z-index:-251657216;mso-width-relative:page;mso-height-relative:page;" filled="f" coordsize="21600,21600">
                  <v:path/>
                  <v:fill on="f" focussize="0,0"/>
                  <v:stroke/>
                  <v:imagedata r:id="rId15" o:title=""/>
                  <o:lock v:ext="edit" aspectratio="t"/>
                </v:shape>
              </w:pict>
            </w:r>
            <w:r>
              <w:pict>
                <v:shape id="_x000011" o:spid="_x0000_s1037" o:spt="75" type="#_x0000_t75" style="position:absolute;left:0pt;margin-left:184.05pt;margin-top:135.6pt;height:23.5pt;width:92.05pt;mso-position-horizontal-relative:page;mso-position-vertical-relative:page;z-index:-251657216;mso-width-relative:page;mso-height-relative:page;" filled="f" coordsize="21600,21600">
                  <v:path/>
                  <v:fill on="f" focussize="0,0"/>
                  <v:stroke/>
                  <v:imagedata r:id="rId16" o:title=""/>
                  <o:lock v:ext="edit" aspectratio="t"/>
                </v:shape>
              </w:pict>
            </w:r>
          </w:p>
        </w:tc>
        <w:tc>
          <w:tcPr>
            <w:tcW w:w="5523" w:type="dxa"/>
            <w:gridSpan w:val="4"/>
            <w:noWrap w:val="0"/>
            <w:vAlign w:val="top"/>
          </w:tcPr>
          <w:p w14:paraId="28E28DA3">
            <w:pPr>
              <w:spacing w:before="14" w:after="0" w:line="281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  <w:r>
              <w:rPr>
                <w:rFonts w:ascii="TNOJQH+FangSong_GB2312" w:hAnsi="TNOJQH+FangSong_GB2312" w:cs="TNOJQH+FangSong_GB2312"/>
                <w:color w:val="000000"/>
                <w:spacing w:val="0"/>
                <w:sz w:val="28"/>
              </w:rPr>
              <w:t>姓</w:t>
            </w:r>
            <w:r>
              <w:rPr>
                <w:rFonts w:ascii="Times New Roman"/>
                <w:color w:val="000000"/>
                <w:spacing w:val="3"/>
                <w:sz w:val="28"/>
              </w:rPr>
              <w:t xml:space="preserve"> </w:t>
            </w:r>
            <w:r>
              <w:rPr>
                <w:rFonts w:ascii="Times New Roman"/>
                <w:color w:val="FFFFFF"/>
                <w:spacing w:val="0"/>
                <w:sz w:val="10"/>
              </w:rPr>
              <w:t>1</w:t>
            </w:r>
            <w:r>
              <w:rPr>
                <w:rFonts w:ascii="Times New Roman"/>
                <w:color w:val="FFFFFF"/>
                <w:spacing w:val="-3"/>
                <w:sz w:val="10"/>
              </w:rPr>
              <w:t xml:space="preserve"> </w:t>
            </w:r>
            <w:r>
              <w:rPr>
                <w:rFonts w:ascii="TNOJQH+FangSong_GB2312" w:hAnsi="TNOJQH+FangSong_GB2312" w:cs="TNOJQH+FangSong_GB2312"/>
                <w:color w:val="000000"/>
                <w:spacing w:val="0"/>
                <w:sz w:val="28"/>
              </w:rPr>
              <w:t>名</w:t>
            </w:r>
            <w:r>
              <w:rPr>
                <w:rFonts w:ascii="Times New Roman"/>
                <w:color w:val="000000"/>
                <w:spacing w:val="881"/>
                <w:sz w:val="28"/>
              </w:rPr>
              <w:t xml:space="preserve"> </w:t>
            </w:r>
            <w:r>
              <w:rPr>
                <w:rFonts w:ascii="TNOJQH+FangSong_GB2312" w:hAnsi="TNOJQH+FangSong_GB2312" w:cs="TNOJQH+FangSong_GB2312"/>
                <w:color w:val="FFFFFF"/>
                <w:spacing w:val="1"/>
                <w:sz w:val="28"/>
              </w:rPr>
              <w:t>高大上</w:t>
            </w:r>
            <w:r>
              <w:rPr>
                <w:rFonts w:ascii="Times New Roman"/>
                <w:color w:val="FFFFFF"/>
                <w:spacing w:val="1008"/>
                <w:sz w:val="28"/>
              </w:rPr>
              <w:t xml:space="preserve"> </w:t>
            </w:r>
            <w:r>
              <w:rPr>
                <w:rFonts w:ascii="TNOJQH+FangSong_GB2312" w:hAnsi="TNOJQH+FangSong_GB2312" w:cs="TNOJQH+FangSong_GB2312"/>
                <w:color w:val="000000"/>
                <w:spacing w:val="0"/>
                <w:sz w:val="28"/>
              </w:rPr>
              <w:t>身份证编号</w:t>
            </w:r>
          </w:p>
        </w:tc>
        <w:tc>
          <w:tcPr>
            <w:tcW w:w="20" w:type="dxa"/>
            <w:noWrap w:val="0"/>
            <w:vAlign w:val="top"/>
          </w:tcPr>
          <w:p w14:paraId="21DF6764">
            <w:pPr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</w:p>
        </w:tc>
        <w:tc>
          <w:tcPr>
            <w:tcW w:w="2741" w:type="dxa"/>
            <w:gridSpan w:val="2"/>
            <w:noWrap w:val="0"/>
            <w:vAlign w:val="top"/>
          </w:tcPr>
          <w:p w14:paraId="02739415">
            <w:pPr>
              <w:spacing w:before="0" w:after="0" w:line="311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  <w:r>
              <w:rPr>
                <w:rFonts w:ascii="Times New Roman"/>
                <w:color w:val="FFFFFF"/>
                <w:spacing w:val="0"/>
                <w:sz w:val="28"/>
              </w:rPr>
              <w:t>1111111111111111111</w:t>
            </w:r>
          </w:p>
        </w:tc>
      </w:tr>
      <w:tr w14:paraId="0EC8575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trHeight w:val="1039" w:hRule="atLeast"/>
        </w:trPr>
        <w:tc>
          <w:tcPr>
            <w:tcW w:w="264" w:type="dxa"/>
            <w:noWrap w:val="0"/>
            <w:vAlign w:val="top"/>
          </w:tcPr>
          <w:p w14:paraId="53B200F7">
            <w:pPr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</w:p>
        </w:tc>
        <w:tc>
          <w:tcPr>
            <w:tcW w:w="1240" w:type="dxa"/>
            <w:gridSpan w:val="2"/>
            <w:noWrap w:val="0"/>
            <w:vAlign w:val="top"/>
          </w:tcPr>
          <w:p w14:paraId="7C060244">
            <w:pPr>
              <w:spacing w:before="14" w:after="0" w:line="281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  <w:r>
              <w:rPr>
                <w:rFonts w:ascii="TNOJQH+FangSong_GB2312" w:hAnsi="TNOJQH+FangSong_GB2312" w:cs="TNOJQH+FangSong_GB2312"/>
                <w:color w:val="000000"/>
                <w:spacing w:val="0"/>
                <w:sz w:val="28"/>
              </w:rPr>
              <w:t>电</w:t>
            </w:r>
            <w:r>
              <w:rPr>
                <w:rFonts w:ascii="Times New Roman"/>
                <w:color w:val="000000"/>
                <w:spacing w:val="3"/>
                <w:sz w:val="28"/>
              </w:rPr>
              <w:t xml:space="preserve"> </w:t>
            </w:r>
            <w:r>
              <w:rPr>
                <w:rFonts w:ascii="Times New Roman"/>
                <w:color w:val="FFFFFF"/>
                <w:spacing w:val="0"/>
                <w:sz w:val="10"/>
              </w:rPr>
              <w:t>1</w:t>
            </w:r>
            <w:r>
              <w:rPr>
                <w:rFonts w:ascii="Times New Roman"/>
                <w:color w:val="FFFFFF"/>
                <w:spacing w:val="-3"/>
                <w:sz w:val="10"/>
              </w:rPr>
              <w:t xml:space="preserve"> </w:t>
            </w:r>
            <w:r>
              <w:rPr>
                <w:rFonts w:ascii="TNOJQH+FangSong_GB2312" w:hAnsi="TNOJQH+FangSong_GB2312" w:cs="TNOJQH+FangSong_GB2312"/>
                <w:color w:val="000000"/>
                <w:spacing w:val="0"/>
                <w:sz w:val="28"/>
              </w:rPr>
              <w:t>话</w:t>
            </w:r>
          </w:p>
        </w:tc>
        <w:tc>
          <w:tcPr>
            <w:tcW w:w="20" w:type="dxa"/>
            <w:noWrap w:val="0"/>
            <w:vAlign w:val="top"/>
          </w:tcPr>
          <w:p w14:paraId="4DF81961">
            <w:pPr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</w:p>
        </w:tc>
        <w:tc>
          <w:tcPr>
            <w:tcW w:w="6463" w:type="dxa"/>
            <w:gridSpan w:val="3"/>
            <w:noWrap w:val="0"/>
            <w:vAlign w:val="top"/>
          </w:tcPr>
          <w:p w14:paraId="5BFA23A5">
            <w:pPr>
              <w:spacing w:before="0" w:after="0" w:line="311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  <w:r>
              <w:rPr>
                <w:rFonts w:ascii="Times New Roman"/>
                <w:color w:val="FFFFFF"/>
                <w:spacing w:val="0"/>
                <w:sz w:val="28"/>
              </w:rPr>
              <w:t>010-11111111</w:t>
            </w:r>
            <w:r>
              <w:rPr>
                <w:rFonts w:ascii="Times New Roman"/>
                <w:color w:val="FFFFFF"/>
                <w:spacing w:val="612"/>
                <w:sz w:val="28"/>
              </w:rPr>
              <w:t xml:space="preserve"> </w:t>
            </w:r>
            <w:r>
              <w:rPr>
                <w:rFonts w:ascii="TNOJQH+FangSong_GB2312" w:hAnsi="TNOJQH+FangSong_GB2312" w:cs="TNOJQH+FangSong_GB2312"/>
                <w:color w:val="000000"/>
                <w:spacing w:val="0"/>
                <w:sz w:val="28"/>
              </w:rPr>
              <w:t>户籍所在地</w:t>
            </w:r>
            <w:r>
              <w:rPr>
                <w:rFonts w:ascii="Times New Roman"/>
                <w:color w:val="000000"/>
                <w:spacing w:val="1054"/>
                <w:sz w:val="28"/>
              </w:rPr>
              <w:t xml:space="preserve"> </w:t>
            </w:r>
            <w:r>
              <w:rPr>
                <w:rFonts w:ascii="Times New Roman"/>
                <w:color w:val="FFFFFF"/>
                <w:spacing w:val="0"/>
                <w:sz w:val="28"/>
              </w:rPr>
              <w:t>13999999999</w:t>
            </w:r>
          </w:p>
        </w:tc>
      </w:tr>
      <w:tr w14:paraId="2A200C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6"/>
          <w:trHeight w:val="281" w:hRule="atLeast"/>
        </w:trPr>
        <w:tc>
          <w:tcPr>
            <w:tcW w:w="264" w:type="dxa"/>
            <w:noWrap w:val="0"/>
            <w:vAlign w:val="top"/>
          </w:tcPr>
          <w:p w14:paraId="2950C760">
            <w:pPr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</w:p>
        </w:tc>
        <w:tc>
          <w:tcPr>
            <w:tcW w:w="786" w:type="dxa"/>
            <w:noWrap w:val="0"/>
            <w:vAlign w:val="top"/>
          </w:tcPr>
          <w:p w14:paraId="3EACA8A7">
            <w:pPr>
              <w:spacing w:before="0" w:after="0" w:line="281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  <w:r>
              <w:rPr>
                <w:rFonts w:ascii="TNOJQH+FangSong_GB2312" w:hAnsi="TNOJQH+FangSong_GB2312" w:cs="TNOJQH+FangSong_GB2312"/>
                <w:color w:val="000000"/>
                <w:spacing w:val="0"/>
                <w:sz w:val="28"/>
              </w:rPr>
              <w:t>备</w:t>
            </w:r>
            <w:r>
              <w:rPr>
                <w:rFonts w:ascii="Times New Roman"/>
                <w:color w:val="000000"/>
                <w:spacing w:val="3"/>
                <w:sz w:val="28"/>
              </w:rPr>
              <w:t xml:space="preserve"> </w:t>
            </w:r>
            <w:r>
              <w:rPr>
                <w:rFonts w:ascii="Times New Roman"/>
                <w:color w:val="FFFFFF"/>
                <w:spacing w:val="0"/>
                <w:sz w:val="10"/>
              </w:rPr>
              <w:t>1</w:t>
            </w:r>
            <w:r>
              <w:rPr>
                <w:rFonts w:ascii="Times New Roman"/>
                <w:color w:val="FFFFFF"/>
                <w:spacing w:val="-3"/>
                <w:sz w:val="10"/>
              </w:rPr>
              <w:t xml:space="preserve"> </w:t>
            </w:r>
            <w:r>
              <w:rPr>
                <w:rFonts w:ascii="TNOJQH+FangSong_GB2312" w:hAnsi="TNOJQH+FangSong_GB2312" w:cs="TNOJQH+FangSong_GB2312"/>
                <w:color w:val="000000"/>
                <w:spacing w:val="0"/>
                <w:sz w:val="28"/>
              </w:rPr>
              <w:t>注</w:t>
            </w:r>
          </w:p>
        </w:tc>
      </w:tr>
    </w:tbl>
    <w:p w14:paraId="04564ECF">
      <w:pPr>
        <w:spacing w:before="1751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一、本《承诺书》采用白色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A4</w:t>
      </w:r>
      <w:r>
        <w:rPr>
          <w:rFonts w:ascii="仿宋"/>
          <w:color w:val="000000"/>
          <w:spacing w:val="-6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纸双面打印，文字内容为黑</w:t>
      </w:r>
    </w:p>
    <w:p w14:paraId="5545EB4A">
      <w:pPr>
        <w:spacing w:before="295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色；签字、抄写部分应当使用蓝黑钢笔或签字笔，抄写部分字迹</w:t>
      </w:r>
    </w:p>
    <w:p w14:paraId="7C393CFB">
      <w:pPr>
        <w:spacing w:before="295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工整；盖章应当按照有关规定签盖红色或蓝色印章；《承诺书》</w:t>
      </w:r>
    </w:p>
    <w:p w14:paraId="6D300F08">
      <w:pPr>
        <w:spacing w:before="295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6"/>
          <w:sz w:val="32"/>
        </w:rPr>
        <w:t>载明内容应当清晰，不得涂改，《承诺书》复印件无效。</w:t>
      </w:r>
    </w:p>
    <w:p w14:paraId="51D6595F">
      <w:pPr>
        <w:spacing w:before="295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0"/>
          <w:sz w:val="32"/>
        </w:rPr>
        <w:t>二、工程建设期间，单位法定代表人、项目负责人发生变更，</w:t>
      </w:r>
    </w:p>
    <w:p w14:paraId="1DB7378C">
      <w:pPr>
        <w:spacing w:before="295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应按规定办理变更手序，继续签署《承诺书》，并按规定提交有</w:t>
      </w:r>
    </w:p>
    <w:p w14:paraId="261C65E3">
      <w:pPr>
        <w:spacing w:before="295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1"/>
          <w:sz w:val="32"/>
        </w:rPr>
        <w:t>关单位。质量终身责任范围按照变更日期及实际情况进行界定。</w:t>
      </w:r>
    </w:p>
    <w:p w14:paraId="5A552B75">
      <w:pPr>
        <w:spacing w:before="295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三、本《承诺书》应当分别提交工程质量监督机构、建设等</w:t>
      </w:r>
    </w:p>
    <w:p w14:paraId="3D8A7CFB">
      <w:pPr>
        <w:spacing w:before="295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5"/>
          <w:sz w:val="32"/>
        </w:rPr>
        <w:t>单位。建设工程竣工验收合格后，建设单位按规定将本《承诺书》</w:t>
      </w:r>
    </w:p>
    <w:p w14:paraId="0849012E">
      <w:pPr>
        <w:spacing w:before="295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移交城建档案管理部门，其他单位留存的《承诺书》由各单位按</w:t>
      </w:r>
    </w:p>
    <w:p w14:paraId="6197A01D">
      <w:pPr>
        <w:spacing w:before="295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有关规定进行管理。</w:t>
      </w:r>
    </w:p>
    <w:p w14:paraId="141D5493">
      <w:pPr>
        <w:spacing w:before="295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四、本《承诺书》应当由建设单位及时组织有关单位，集中</w:t>
      </w:r>
    </w:p>
    <w:p w14:paraId="45136870">
      <w:pPr>
        <w:spacing w:before="295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2"/>
          <w:sz w:val="32"/>
        </w:rPr>
        <w:t>张贴于工程项目部会议室等公共场所明显位置进行公示和备查。</w:t>
      </w:r>
    </w:p>
    <w:p w14:paraId="110BFFC9">
      <w:pPr>
        <w:spacing w:before="1725" w:after="0" w:line="310" w:lineRule="exact"/>
        <w:ind w:left="0" w:right="0" w:firstLine="0"/>
        <w:jc w:val="left"/>
        <w:rPr>
          <w:rFonts w:ascii="宋体"/>
          <w:color w:val="000000"/>
          <w:spacing w:val="0"/>
          <w:sz w:val="30"/>
        </w:rPr>
      </w:pPr>
      <w:r>
        <w:rPr>
          <w:rFonts w:ascii="宋体"/>
          <w:color w:val="000000"/>
          <w:spacing w:val="0"/>
          <w:sz w:val="30"/>
        </w:rPr>
        <w:t>-</w:t>
      </w:r>
      <w:r>
        <w:rPr>
          <w:rFonts w:ascii="宋体"/>
          <w:color w:val="000000"/>
          <w:spacing w:val="2"/>
          <w:sz w:val="30"/>
        </w:rPr>
        <w:t xml:space="preserve"> </w:t>
      </w:r>
      <w:r>
        <w:rPr>
          <w:rFonts w:ascii="宋体"/>
          <w:color w:val="000000"/>
          <w:spacing w:val="0"/>
          <w:sz w:val="30"/>
        </w:rPr>
        <w:t>1 -</w:t>
      </w:r>
    </w:p>
    <w:p w14:paraId="2C754FD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65CF25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43D527A0">
      <w:pPr>
        <w:sectPr>
          <w:pgSz w:w="11900" w:h="16820"/>
          <w:pgMar w:top="2468" w:right="100" w:bottom="0" w:left="1589" w:header="720" w:footer="720" w:gutter="0"/>
          <w:pgNumType w:start="1"/>
          <w:cols w:space="720" w:num="1"/>
          <w:docGrid w:linePitch="1" w:charSpace="0"/>
        </w:sectPr>
      </w:pPr>
    </w:p>
    <w:p w14:paraId="15E876A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BB119F5">
      <w:pPr>
        <w:spacing w:before="0" w:after="0" w:line="598" w:lineRule="exact"/>
        <w:ind w:left="3956" w:right="0" w:firstLine="0"/>
        <w:jc w:val="left"/>
        <w:rPr>
          <w:rFonts w:ascii="Arial Unicode MS"/>
          <w:color w:val="000000"/>
          <w:spacing w:val="0"/>
          <w:sz w:val="44"/>
        </w:rPr>
      </w:pPr>
      <w:r>
        <w:pict>
          <v:shape id="_x000012" o:spid="_x0000_s1038" o:spt="75" type="#_x0000_t75" style="position:absolute;left:0pt;margin-left:254.3pt;margin-top:76pt;height:28.15pt;width:11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pict>
          <v:shape id="_x000013" o:spid="_x0000_s1039" o:spt="75" type="#_x0000_t75" style="position:absolute;left:0pt;margin-left:144.8pt;margin-top:139.8pt;height:2.85pt;width:11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pict>
          <v:shape id="_x000014" o:spid="_x0000_s1040" o:spt="75" type="#_x0000_t75" style="position:absolute;left:0pt;margin-left:352.7pt;margin-top:139.8pt;height:2.85pt;width:154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pict>
          <v:shape id="_x000015" o:spid="_x0000_s1041" o:spt="75" type="#_x0000_t75" style="position:absolute;left:0pt;margin-left:98.5pt;margin-top:169.8pt;height:2.85pt;width:294.1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pict>
          <v:shape id="_x000016" o:spid="_x0000_s1042" o:spt="75" type="#_x0000_t75" style="position:absolute;left:0pt;margin-left:78.45pt;margin-top:199.8pt;height:2.85pt;width:98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1" o:title=""/>
            <o:lock v:ext="edit" aspectratio="t"/>
          </v:shape>
        </w:pict>
      </w:r>
      <w:r>
        <w:pict>
          <v:shape id="_x000017" o:spid="_x0000_s1043" o:spt="75" type="#_x0000_t75" style="position:absolute;left:0pt;margin-left:264.85pt;margin-top:199.8pt;height:2.85pt;width:257.9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rPr>
          <w:rFonts w:ascii="Arial Unicode MS"/>
          <w:color w:val="FFFFFF"/>
          <w:spacing w:val="0"/>
          <w:sz w:val="44"/>
        </w:rPr>
        <w:t>..</w:t>
      </w:r>
      <w:r>
        <w:rPr>
          <w:rFonts w:ascii="Arial Unicode MS"/>
          <w:color w:val="FFFFFF"/>
          <w:spacing w:val="317"/>
          <w:sz w:val="44"/>
        </w:rPr>
        <w:t xml:space="preserve"> </w:t>
      </w:r>
      <w:r>
        <w:rPr>
          <w:rFonts w:ascii="Arial Unicode MS"/>
          <w:color w:val="FFFFFF"/>
          <w:spacing w:val="0"/>
          <w:sz w:val="44"/>
        </w:rPr>
        <w:t>..</w:t>
      </w:r>
    </w:p>
    <w:p w14:paraId="6CBF7266">
      <w:pPr>
        <w:spacing w:before="437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1"/>
          <w:sz w:val="32"/>
        </w:rPr>
        <w:t>本人</w:t>
      </w:r>
      <w:r>
        <w:rPr>
          <w:rFonts w:ascii="仿宋"/>
          <w:color w:val="FFFFFF"/>
          <w:spacing w:val="0"/>
          <w:sz w:val="32"/>
        </w:rPr>
        <w:t>11111111111111</w:t>
      </w:r>
      <w:r>
        <w:rPr>
          <w:rFonts w:ascii="仿宋" w:hAnsi="仿宋" w:cs="仿宋"/>
          <w:color w:val="000000"/>
          <w:spacing w:val="0"/>
          <w:sz w:val="32"/>
        </w:rPr>
        <w:t>（身份证编号：</w:t>
      </w:r>
      <w:r>
        <w:rPr>
          <w:rFonts w:ascii="仿宋"/>
          <w:color w:val="FFFFFF"/>
          <w:spacing w:val="0"/>
          <w:sz w:val="32"/>
        </w:rPr>
        <w:t>1111111111111111111</w:t>
      </w:r>
      <w:r>
        <w:rPr>
          <w:rFonts w:ascii="仿宋" w:hAnsi="仿宋" w:cs="仿宋"/>
          <w:color w:val="000000"/>
          <w:spacing w:val="0"/>
          <w:sz w:val="32"/>
        </w:rPr>
        <w:t>）</w:t>
      </w:r>
    </w:p>
    <w:p w14:paraId="6DEAC3F9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受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FFFFFF"/>
          <w:spacing w:val="0"/>
          <w:sz w:val="32"/>
        </w:rPr>
        <w:t>111111111111111111111111111111111111</w:t>
      </w:r>
      <w:r>
        <w:rPr>
          <w:rFonts w:ascii="仿宋" w:hAnsi="仿宋" w:cs="仿宋"/>
          <w:color w:val="000000"/>
          <w:spacing w:val="-13"/>
          <w:sz w:val="32"/>
        </w:rPr>
        <w:t>单位（法定代表人：</w:t>
      </w:r>
    </w:p>
    <w:p w14:paraId="5167B88C">
      <w:pPr>
        <w:spacing w:before="271" w:after="0" w:line="329" w:lineRule="exact"/>
        <w:ind w:left="0" w:right="0" w:firstLine="0"/>
        <w:jc w:val="left"/>
        <w:rPr>
          <w:rFonts w:ascii="仿宋"/>
          <w:color w:val="000000"/>
          <w:spacing w:val="0"/>
          <w:sz w:val="32"/>
        </w:rPr>
      </w:pPr>
      <w:r>
        <w:rPr>
          <w:rFonts w:ascii="仿宋"/>
          <w:color w:val="FFFFFF"/>
          <w:spacing w:val="0"/>
          <w:sz w:val="32"/>
        </w:rPr>
        <w:t>111111111111</w:t>
      </w:r>
      <w:r>
        <w:rPr>
          <w:rFonts w:ascii="仿宋" w:hAnsi="仿宋" w:cs="仿宋"/>
          <w:color w:val="000000"/>
          <w:spacing w:val="-33"/>
          <w:sz w:val="32"/>
        </w:rPr>
        <w:t>）授权，担任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仿宋"/>
          <w:color w:val="FFFFFF"/>
          <w:spacing w:val="0"/>
          <w:sz w:val="32"/>
        </w:rPr>
        <w:t>11111111111111111111111111111111</w:t>
      </w:r>
    </w:p>
    <w:p w14:paraId="29C7571C">
      <w:pPr>
        <w:spacing w:before="24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（工程名称）的建设单位项目负责人，对该工程项目的建设工作</w:t>
      </w:r>
    </w:p>
    <w:p w14:paraId="77560FA2">
      <w:pPr>
        <w:spacing w:before="23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实施组织管理，并依法对该工程项目在设计使用年限内的工程质</w:t>
      </w:r>
    </w:p>
    <w:p w14:paraId="02FA6D50">
      <w:pPr>
        <w:spacing w:before="232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量承担相应终身责任。本人将严格遵守职业道德，并代表建设单</w:t>
      </w:r>
    </w:p>
    <w:p w14:paraId="0666E1D6"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位和我本人作出如下郑重承诺：</w:t>
      </w:r>
    </w:p>
    <w:p w14:paraId="23E41754">
      <w:pPr>
        <w:spacing w:before="230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6"/>
          <w:sz w:val="32"/>
        </w:rPr>
        <w:t>一、严格按照《中华人民共和国建筑法》、《中华人民共和国</w:t>
      </w:r>
    </w:p>
    <w:p w14:paraId="64412CAB">
      <w:pPr>
        <w:spacing w:before="232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5"/>
          <w:sz w:val="32"/>
        </w:rPr>
        <w:t>城乡规划法》、《建设工程质量管理条例》等国家和北京市有关建</w:t>
      </w:r>
    </w:p>
    <w:p w14:paraId="09C98012"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设工程的法律法规、标准规范、文件规定和工程设计文件、合同</w:t>
      </w:r>
    </w:p>
    <w:p w14:paraId="274CDF59"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约定，认真履行建设单位项目负责人的职责和义务。保证不违反</w:t>
      </w:r>
    </w:p>
    <w:p w14:paraId="3C98755E">
      <w:pPr>
        <w:spacing w:before="232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法律法规、标准规范，不以任何理由要求勘察、设计、施工、监</w:t>
      </w:r>
    </w:p>
    <w:p w14:paraId="1EF6ECE3"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理等单位降低建设工程质量。</w:t>
      </w:r>
    </w:p>
    <w:p w14:paraId="2CC35448">
      <w:pPr>
        <w:spacing w:before="230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二、本单位按有关规定通过招投标等合法方式将建设工程</w:t>
      </w:r>
    </w:p>
    <w:p w14:paraId="2884B5C6">
      <w:pPr>
        <w:spacing w:before="232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发包或委托给具有相应资质等级的勘察、设计、施工、监理、检</w:t>
      </w:r>
    </w:p>
    <w:p w14:paraId="18C8B8E7"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测、监测和施工图设计文件审查等单位。保证不违法发包，不使</w:t>
      </w:r>
    </w:p>
    <w:p w14:paraId="6B9BF5FC">
      <w:pPr>
        <w:spacing w:before="23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用不具备相应资质要求的单位，不迫使承包方或者受委托方以低</w:t>
      </w:r>
    </w:p>
    <w:p w14:paraId="5797D1EF">
      <w:pPr>
        <w:spacing w:before="232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于成本的价格竞标。</w:t>
      </w:r>
    </w:p>
    <w:p w14:paraId="451368F8">
      <w:pPr>
        <w:spacing w:before="230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三、签订勘察、设计、施工、监理等合同时，保证使用国家</w:t>
      </w:r>
    </w:p>
    <w:p w14:paraId="3188CE04"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制定的标准文本或者国家及本市建设行政主管部门制定的合同</w:t>
      </w:r>
    </w:p>
    <w:p w14:paraId="52FE4DE1">
      <w:pPr>
        <w:spacing w:before="232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示范文本，签订后，严格执行。</w:t>
      </w:r>
    </w:p>
    <w:p w14:paraId="5480C790">
      <w:pPr>
        <w:spacing w:before="0" w:after="0" w:line="56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561"/>
          <w:sz w:val="32"/>
        </w:rPr>
        <w:t xml:space="preserve"> </w:t>
      </w:r>
      <w:r>
        <w:rPr>
          <w:rFonts w:ascii="仿宋" w:hAnsi="仿宋" w:cs="仿宋"/>
          <w:color w:val="000000"/>
          <w:spacing w:val="-4"/>
          <w:sz w:val="32"/>
        </w:rPr>
        <w:t>四、及时办理建设工程施工图设计文件审查、合同备案、施</w:t>
      </w:r>
      <w:r>
        <w:rPr>
          <w:rFonts w:ascii="仿宋" w:hAnsi="仿宋" w:cs="仿宋"/>
          <w:color w:val="000000"/>
          <w:spacing w:val="-4"/>
          <w:sz w:val="32"/>
        </w:rPr>
        <w:cr/>
      </w:r>
      <w:r>
        <w:rPr>
          <w:rFonts w:ascii="仿宋" w:hAnsi="仿宋" w:cs="仿宋"/>
          <w:color w:val="000000"/>
          <w:spacing w:val="1"/>
          <w:sz w:val="32"/>
        </w:rPr>
        <w:t>工许可、质量监督、竣工备案等手续，组织审查施工组织设计、</w:t>
      </w:r>
    </w:p>
    <w:p w14:paraId="6FA37FA2">
      <w:pPr>
        <w:spacing w:before="335" w:after="0" w:line="310" w:lineRule="exact"/>
        <w:ind w:left="8094" w:right="0" w:firstLine="0"/>
        <w:jc w:val="left"/>
        <w:rPr>
          <w:rFonts w:ascii="宋体"/>
          <w:color w:val="000000"/>
          <w:spacing w:val="0"/>
          <w:sz w:val="30"/>
        </w:rPr>
      </w:pPr>
      <w:r>
        <w:rPr>
          <w:rFonts w:ascii="宋体"/>
          <w:color w:val="000000"/>
          <w:spacing w:val="0"/>
          <w:sz w:val="30"/>
        </w:rPr>
        <w:t>-</w:t>
      </w:r>
      <w:r>
        <w:rPr>
          <w:rFonts w:ascii="宋体"/>
          <w:color w:val="000000"/>
          <w:spacing w:val="2"/>
          <w:sz w:val="30"/>
        </w:rPr>
        <w:t xml:space="preserve"> </w:t>
      </w:r>
      <w:r>
        <w:rPr>
          <w:rFonts w:ascii="宋体"/>
          <w:color w:val="000000"/>
          <w:spacing w:val="0"/>
          <w:sz w:val="30"/>
        </w:rPr>
        <w:t>2 -</w:t>
      </w:r>
    </w:p>
    <w:p w14:paraId="75F7287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A49C1B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69E63C2B">
      <w:pPr>
        <w:sectPr>
          <w:pgSz w:w="11900" w:h="16820"/>
          <w:pgMar w:top="1466" w:right="100" w:bottom="0" w:left="1589" w:header="720" w:footer="720" w:gutter="0"/>
          <w:pgNumType w:start="1"/>
          <w:cols w:space="720" w:num="1"/>
          <w:docGrid w:linePitch="1" w:charSpace="0"/>
        </w:sectPr>
      </w:pPr>
    </w:p>
    <w:p w14:paraId="0925E24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B3F4DBB">
      <w:pPr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pict>
          <v:shape id="_x000018" o:spid="_x0000_s1044" o:spt="75" type="#_x0000_t75" style="position:absolute;left:0pt;margin-left:101.9pt;margin-top:448.9pt;height:22.55pt;width:426.8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19" o:spid="_x0000_s1045" o:spt="75" type="#_x0000_t75" style="position:absolute;left:0pt;margin-left:73.65pt;margin-top:500.9pt;height:22.55pt;width:455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20" o:spid="_x0000_s1046" o:spt="75" type="#_x0000_t75" style="position:absolute;left:0pt;margin-left:73.65pt;margin-top:552.9pt;height:22.55pt;width:455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21" o:spid="_x0000_s1047" o:spt="75" type="#_x0000_t75" style="position:absolute;left:0pt;margin-left:73.65pt;margin-top:604.9pt;height:22.55pt;width:455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22" o:spid="_x0000_s1048" o:spt="75" type="#_x0000_t75" style="position:absolute;left:0pt;margin-left:73.65pt;margin-top:656.9pt;height:22.55pt;width:455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ascii="仿宋" w:hAnsi="仿宋" w:cs="仿宋"/>
          <w:color w:val="000000"/>
          <w:spacing w:val="-4"/>
          <w:sz w:val="32"/>
        </w:rPr>
        <w:t>开复工申请、工程变更等文件。保证不任意压缩合理工期，不违</w:t>
      </w:r>
    </w:p>
    <w:p w14:paraId="640E55C2"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反基本建设程序。</w:t>
      </w:r>
    </w:p>
    <w:p w14:paraId="0277F4C0">
      <w:pPr>
        <w:spacing w:before="232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五、按照有关规定、标准、设计文件组织开展工程建设。保</w:t>
      </w:r>
    </w:p>
    <w:p w14:paraId="07F1AC80"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证不擅自修改工程设计，不降低建设工程质量标准，不明示或暗</w:t>
      </w:r>
    </w:p>
    <w:p w14:paraId="628E38D3"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示施工单位使用不合格的建筑材料、建筑构配件和设备，不指定</w:t>
      </w:r>
    </w:p>
    <w:p w14:paraId="2621A6E4">
      <w:pPr>
        <w:spacing w:before="232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或者采购预拌混凝土、混凝土预制构件、钢筋、钢结构构件等涉</w:t>
      </w:r>
    </w:p>
    <w:p w14:paraId="41F9FD6B">
      <w:pPr>
        <w:spacing w:before="23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及建筑主体或者承重结构的建筑材料。</w:t>
      </w:r>
    </w:p>
    <w:p w14:paraId="65780058">
      <w:pPr>
        <w:spacing w:before="230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六、认真履行单位工程质量竣工验收、工程竣工验收等职责，</w:t>
      </w:r>
    </w:p>
    <w:p w14:paraId="6DFC07A3">
      <w:pPr>
        <w:spacing w:before="232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0"/>
          <w:sz w:val="32"/>
        </w:rPr>
        <w:t>工程竣工验收合格后，按规定及时办理竣工验收、工程备案手续。</w:t>
      </w:r>
    </w:p>
    <w:p w14:paraId="12C2EE75"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未经组织竣工验收或者验收不合格，保证不擅自交付使用。</w:t>
      </w:r>
    </w:p>
    <w:p w14:paraId="62EF3213">
      <w:pPr>
        <w:spacing w:before="230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2"/>
          <w:sz w:val="32"/>
        </w:rPr>
        <w:t>七、愿意接受政府建设主管部门和有关单位的检查、考核、</w:t>
      </w:r>
    </w:p>
    <w:p w14:paraId="2308FF6D">
      <w:pPr>
        <w:spacing w:before="232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0"/>
          <w:sz w:val="32"/>
        </w:rPr>
        <w:t>指导。保证对存在的问题和隐患按要求整改，并按规定接受处理。</w:t>
      </w:r>
    </w:p>
    <w:p w14:paraId="746EAC5A">
      <w:pPr>
        <w:spacing w:before="437" w:after="0" w:line="329" w:lineRule="exact"/>
        <w:ind w:left="64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0"/>
          <w:sz w:val="32"/>
        </w:rPr>
        <w:t>本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人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已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阅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读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并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清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楚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知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晓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承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诺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内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容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，</w:t>
      </w:r>
    </w:p>
    <w:p w14:paraId="7069FE53">
      <w:pPr>
        <w:spacing w:before="192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NOJQH+FangSong_GB2312" w:hAnsi="TNOJQH+FangSong_GB2312" w:cs="TNOJQH+FangSong_GB2312"/>
          <w:color w:val="FFFFFF"/>
          <w:spacing w:val="0"/>
          <w:sz w:val="32"/>
        </w:rPr>
        <w:t>本</w:t>
      </w:r>
      <w:r>
        <w:rPr>
          <w:rFonts w:ascii="Times New Roman"/>
          <w:color w:val="FFFFFF"/>
          <w:spacing w:val="164"/>
          <w:sz w:val="32"/>
        </w:rPr>
        <w:t xml:space="preserve"> </w:t>
      </w:r>
      <w:r>
        <w:rPr>
          <w:rFonts w:ascii="TNOJQH+FangSong_GB2312" w:hAnsi="TNOJQH+FangSong_GB2312" w:cs="TNOJQH+FangSong_GB2312"/>
          <w:color w:val="FFFFFF"/>
          <w:spacing w:val="0"/>
          <w:sz w:val="32"/>
        </w:rPr>
        <w:t>人</w:t>
      </w:r>
      <w:r>
        <w:rPr>
          <w:rFonts w:ascii="Times New Roman"/>
          <w:color w:val="FFFFFF"/>
          <w:spacing w:val="164"/>
          <w:sz w:val="32"/>
        </w:rPr>
        <w:t xml:space="preserve"> </w:t>
      </w:r>
      <w:r>
        <w:rPr>
          <w:rFonts w:ascii="TNOJQH+FangSong_GB2312" w:hAnsi="TNOJQH+FangSong_GB2312" w:cs="TNOJQH+FangSong_GB2312"/>
          <w:color w:val="FFFFFF"/>
          <w:spacing w:val="0"/>
          <w:sz w:val="32"/>
        </w:rPr>
        <w:t>已</w:t>
      </w:r>
      <w:r>
        <w:rPr>
          <w:rFonts w:ascii="Times New Roman"/>
          <w:color w:val="FFFFFF"/>
          <w:spacing w:val="164"/>
          <w:sz w:val="32"/>
        </w:rPr>
        <w:t xml:space="preserve"> </w:t>
      </w:r>
      <w:r>
        <w:rPr>
          <w:rFonts w:ascii="TNOJQH+FangSong_GB2312" w:hAnsi="TNOJQH+FangSong_GB2312" w:cs="TNOJQH+FangSong_GB2312"/>
          <w:color w:val="FFFFFF"/>
          <w:spacing w:val="0"/>
          <w:sz w:val="32"/>
        </w:rPr>
        <w:t>阅</w:t>
      </w:r>
      <w:r>
        <w:rPr>
          <w:rFonts w:ascii="Times New Roman"/>
          <w:color w:val="FFFFFF"/>
          <w:spacing w:val="161"/>
          <w:sz w:val="32"/>
        </w:rPr>
        <w:t xml:space="preserve"> </w:t>
      </w:r>
      <w:r>
        <w:rPr>
          <w:rFonts w:ascii="TNOJQH+FangSong_GB2312" w:hAnsi="TNOJQH+FangSong_GB2312" w:cs="TNOJQH+FangSong_GB2312"/>
          <w:color w:val="FFFFFF"/>
          <w:spacing w:val="0"/>
          <w:sz w:val="32"/>
        </w:rPr>
        <w:t>读</w:t>
      </w:r>
      <w:r>
        <w:rPr>
          <w:rFonts w:ascii="Times New Roman"/>
          <w:color w:val="FFFFFF"/>
          <w:spacing w:val="164"/>
          <w:sz w:val="32"/>
        </w:rPr>
        <w:t xml:space="preserve"> </w:t>
      </w:r>
      <w:r>
        <w:rPr>
          <w:rFonts w:ascii="TNOJQH+FangSong_GB2312" w:hAnsi="TNOJQH+FangSong_GB2312" w:cs="TNOJQH+FangSong_GB2312"/>
          <w:color w:val="FFFFFF"/>
          <w:spacing w:val="0"/>
          <w:sz w:val="32"/>
        </w:rPr>
        <w:t>并</w:t>
      </w:r>
      <w:r>
        <w:rPr>
          <w:rFonts w:ascii="Times New Roman"/>
          <w:color w:val="FFFFFF"/>
          <w:spacing w:val="164"/>
          <w:sz w:val="32"/>
        </w:rPr>
        <w:t xml:space="preserve"> </w:t>
      </w:r>
      <w:r>
        <w:rPr>
          <w:rFonts w:ascii="TNOJQH+FangSong_GB2312" w:hAnsi="TNOJQH+FangSong_GB2312" w:cs="TNOJQH+FangSong_GB2312"/>
          <w:color w:val="FFFFFF"/>
          <w:spacing w:val="0"/>
          <w:sz w:val="32"/>
        </w:rPr>
        <w:t>清</w:t>
      </w:r>
      <w:r>
        <w:rPr>
          <w:rFonts w:ascii="Times New Roman"/>
          <w:color w:val="FFFFFF"/>
          <w:spacing w:val="164"/>
          <w:sz w:val="32"/>
        </w:rPr>
        <w:t xml:space="preserve"> </w:t>
      </w:r>
      <w:r>
        <w:rPr>
          <w:rFonts w:ascii="TNOJQH+FangSong_GB2312" w:hAnsi="TNOJQH+FangSong_GB2312" w:cs="TNOJQH+FangSong_GB2312"/>
          <w:color w:val="FFFFFF"/>
          <w:spacing w:val="0"/>
          <w:sz w:val="32"/>
        </w:rPr>
        <w:t>楚</w:t>
      </w:r>
      <w:r>
        <w:rPr>
          <w:rFonts w:ascii="Times New Roman"/>
          <w:color w:val="FFFFFF"/>
          <w:spacing w:val="161"/>
          <w:sz w:val="32"/>
        </w:rPr>
        <w:t xml:space="preserve"> </w:t>
      </w:r>
      <w:r>
        <w:rPr>
          <w:rFonts w:ascii="TNOJQH+FangSong_GB2312" w:hAnsi="TNOJQH+FangSong_GB2312" w:cs="TNOJQH+FangSong_GB2312"/>
          <w:color w:val="FFFFFF"/>
          <w:spacing w:val="0"/>
          <w:sz w:val="32"/>
        </w:rPr>
        <w:t>知</w:t>
      </w:r>
      <w:r>
        <w:rPr>
          <w:rFonts w:ascii="Times New Roman"/>
          <w:color w:val="FFFFFF"/>
          <w:spacing w:val="164"/>
          <w:sz w:val="32"/>
        </w:rPr>
        <w:t xml:space="preserve"> </w:t>
      </w:r>
      <w:r>
        <w:rPr>
          <w:rFonts w:ascii="TNOJQH+FangSong_GB2312" w:hAnsi="TNOJQH+FangSong_GB2312" w:cs="TNOJQH+FangSong_GB2312"/>
          <w:color w:val="FFFFFF"/>
          <w:spacing w:val="0"/>
          <w:sz w:val="32"/>
        </w:rPr>
        <w:t>晓</w:t>
      </w:r>
      <w:r>
        <w:rPr>
          <w:rFonts w:ascii="Times New Roman"/>
          <w:color w:val="FFFFFF"/>
          <w:spacing w:val="164"/>
          <w:sz w:val="32"/>
        </w:rPr>
        <w:t xml:space="preserve"> </w:t>
      </w:r>
      <w:r>
        <w:rPr>
          <w:rFonts w:ascii="TNOJQH+FangSong_GB2312" w:hAnsi="TNOJQH+FangSong_GB2312" w:cs="TNOJQH+FangSong_GB2312"/>
          <w:color w:val="FFFFFF"/>
          <w:spacing w:val="0"/>
          <w:sz w:val="32"/>
        </w:rPr>
        <w:t>承</w:t>
      </w:r>
      <w:r>
        <w:rPr>
          <w:rFonts w:ascii="Times New Roman"/>
          <w:color w:val="FFFFFF"/>
          <w:spacing w:val="164"/>
          <w:sz w:val="32"/>
        </w:rPr>
        <w:t xml:space="preserve"> </w:t>
      </w:r>
      <w:r>
        <w:rPr>
          <w:rFonts w:ascii="TNOJQH+FangSong_GB2312" w:hAnsi="TNOJQH+FangSong_GB2312" w:cs="TNOJQH+FangSong_GB2312"/>
          <w:color w:val="FFFFFF"/>
          <w:spacing w:val="0"/>
          <w:sz w:val="32"/>
        </w:rPr>
        <w:t>诺</w:t>
      </w:r>
      <w:r>
        <w:rPr>
          <w:rFonts w:ascii="Times New Roman"/>
          <w:color w:val="FFFFFF"/>
          <w:spacing w:val="161"/>
          <w:sz w:val="32"/>
        </w:rPr>
        <w:t xml:space="preserve"> </w:t>
      </w:r>
      <w:r>
        <w:rPr>
          <w:rFonts w:ascii="TNOJQH+FangSong_GB2312" w:hAnsi="TNOJQH+FangSong_GB2312" w:cs="TNOJQH+FangSong_GB2312"/>
          <w:color w:val="FFFFFF"/>
          <w:spacing w:val="0"/>
          <w:sz w:val="32"/>
        </w:rPr>
        <w:t>内</w:t>
      </w:r>
      <w:r>
        <w:rPr>
          <w:rFonts w:ascii="Times New Roman"/>
          <w:color w:val="FFFFFF"/>
          <w:spacing w:val="161"/>
          <w:sz w:val="32"/>
        </w:rPr>
        <w:t xml:space="preserve"> </w:t>
      </w:r>
      <w:r>
        <w:rPr>
          <w:rFonts w:ascii="TNOJQH+FangSong_GB2312" w:hAnsi="TNOJQH+FangSong_GB2312" w:cs="TNOJQH+FangSong_GB2312"/>
          <w:color w:val="FFFFFF"/>
          <w:spacing w:val="0"/>
          <w:sz w:val="32"/>
        </w:rPr>
        <w:t>容</w:t>
      </w:r>
      <w:r>
        <w:rPr>
          <w:rFonts w:ascii="Times New Roman"/>
          <w:color w:val="FFFFFF"/>
          <w:spacing w:val="161"/>
          <w:sz w:val="32"/>
        </w:rPr>
        <w:t xml:space="preserve"> </w:t>
      </w:r>
      <w:r>
        <w:rPr>
          <w:rFonts w:ascii="TNOJQH+FangSong_GB2312" w:hAnsi="TNOJQH+FangSong_GB2312" w:cs="TNOJQH+FangSong_GB2312"/>
          <w:color w:val="FFFFFF"/>
          <w:spacing w:val="0"/>
          <w:sz w:val="32"/>
        </w:rPr>
        <w:t>，</w:t>
      </w:r>
    </w:p>
    <w:p w14:paraId="31A83553">
      <w:pPr>
        <w:spacing w:before="189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0"/>
          <w:sz w:val="32"/>
        </w:rPr>
        <w:t>承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诺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书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作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为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工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程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档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案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永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久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保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存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。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如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因</w:t>
      </w:r>
    </w:p>
    <w:p w14:paraId="40474DCA">
      <w:pPr>
        <w:spacing w:before="712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0"/>
          <w:sz w:val="32"/>
        </w:rPr>
        <w:t>本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人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过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失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、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故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意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造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成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严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重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工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程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质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量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问</w:t>
      </w:r>
    </w:p>
    <w:p w14:paraId="07F25EDB">
      <w:pPr>
        <w:spacing w:before="19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NOJQH+FangSong_GB2312" w:hAnsi="TNOJQH+FangSong_GB2312" w:cs="TNOJQH+FangSong_GB2312"/>
          <w:color w:val="FFFFFF"/>
          <w:spacing w:val="0"/>
          <w:sz w:val="32"/>
        </w:rPr>
        <w:t>本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TNOJQH+FangSong_GB2312" w:hAnsi="TNOJQH+FangSong_GB2312" w:cs="TNOJQH+FangSong_GB2312"/>
          <w:color w:val="FFFFFF"/>
          <w:spacing w:val="0"/>
          <w:sz w:val="32"/>
        </w:rPr>
        <w:t>人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TNOJQH+FangSong_GB2312" w:hAnsi="TNOJQH+FangSong_GB2312" w:cs="TNOJQH+FangSong_GB2312"/>
          <w:color w:val="FFFFFF"/>
          <w:spacing w:val="0"/>
          <w:sz w:val="32"/>
        </w:rPr>
        <w:t>已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TNOJQH+FangSong_GB2312" w:hAnsi="TNOJQH+FangSong_GB2312" w:cs="TNOJQH+FangSong_GB2312"/>
          <w:color w:val="FFFFFF"/>
          <w:spacing w:val="0"/>
          <w:sz w:val="32"/>
        </w:rPr>
        <w:t>阅</w:t>
      </w:r>
      <w:r>
        <w:rPr>
          <w:rFonts w:ascii="Times New Roman"/>
          <w:color w:val="FFFFFF"/>
          <w:spacing w:val="207"/>
          <w:sz w:val="32"/>
        </w:rPr>
        <w:t xml:space="preserve"> </w:t>
      </w:r>
      <w:r>
        <w:rPr>
          <w:rFonts w:ascii="TNOJQH+FangSong_GB2312" w:hAnsi="TNOJQH+FangSong_GB2312" w:cs="TNOJQH+FangSong_GB2312"/>
          <w:color w:val="FFFFFF"/>
          <w:spacing w:val="0"/>
          <w:sz w:val="32"/>
        </w:rPr>
        <w:t>读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TNOJQH+FangSong_GB2312" w:hAnsi="TNOJQH+FangSong_GB2312" w:cs="TNOJQH+FangSong_GB2312"/>
          <w:color w:val="FFFFFF"/>
          <w:spacing w:val="0"/>
          <w:sz w:val="32"/>
        </w:rPr>
        <w:t>并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TNOJQH+FangSong_GB2312" w:hAnsi="TNOJQH+FangSong_GB2312" w:cs="TNOJQH+FangSong_GB2312"/>
          <w:color w:val="FFFFFF"/>
          <w:spacing w:val="0"/>
          <w:sz w:val="32"/>
        </w:rPr>
        <w:t>清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TNOJQH+FangSong_GB2312" w:hAnsi="TNOJQH+FangSong_GB2312" w:cs="TNOJQH+FangSong_GB2312"/>
          <w:color w:val="FFFFFF"/>
          <w:spacing w:val="0"/>
          <w:sz w:val="32"/>
        </w:rPr>
        <w:t>楚</w:t>
      </w:r>
      <w:r>
        <w:rPr>
          <w:rFonts w:ascii="Times New Roman"/>
          <w:color w:val="FFFFFF"/>
          <w:spacing w:val="207"/>
          <w:sz w:val="32"/>
        </w:rPr>
        <w:t xml:space="preserve"> </w:t>
      </w:r>
      <w:r>
        <w:rPr>
          <w:rFonts w:ascii="TNOJQH+FangSong_GB2312" w:hAnsi="TNOJQH+FangSong_GB2312" w:cs="TNOJQH+FangSong_GB2312"/>
          <w:color w:val="FFFFFF"/>
          <w:spacing w:val="0"/>
          <w:sz w:val="32"/>
        </w:rPr>
        <w:t>知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TNOJQH+FangSong_GB2312" w:hAnsi="TNOJQH+FangSong_GB2312" w:cs="TNOJQH+FangSong_GB2312"/>
          <w:color w:val="FFFFFF"/>
          <w:spacing w:val="0"/>
          <w:sz w:val="32"/>
        </w:rPr>
        <w:t>晓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TNOJQH+FangSong_GB2312" w:hAnsi="TNOJQH+FangSong_GB2312" w:cs="TNOJQH+FangSong_GB2312"/>
          <w:color w:val="FFFFFF"/>
          <w:spacing w:val="0"/>
          <w:sz w:val="32"/>
        </w:rPr>
        <w:t>承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TNOJQH+FangSong_GB2312" w:hAnsi="TNOJQH+FangSong_GB2312" w:cs="TNOJQH+FangSong_GB2312"/>
          <w:color w:val="FFFFFF"/>
          <w:spacing w:val="0"/>
          <w:sz w:val="32"/>
        </w:rPr>
        <w:t>诺</w:t>
      </w:r>
      <w:r>
        <w:rPr>
          <w:rFonts w:ascii="Times New Roman"/>
          <w:color w:val="FFFFFF"/>
          <w:spacing w:val="207"/>
          <w:sz w:val="32"/>
        </w:rPr>
        <w:t xml:space="preserve"> </w:t>
      </w:r>
      <w:r>
        <w:rPr>
          <w:rFonts w:ascii="TNOJQH+FangSong_GB2312" w:hAnsi="TNOJQH+FangSong_GB2312" w:cs="TNOJQH+FangSong_GB2312"/>
          <w:color w:val="FFFFFF"/>
          <w:spacing w:val="0"/>
          <w:sz w:val="32"/>
        </w:rPr>
        <w:t>内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TNOJQH+FangSong_GB2312" w:hAnsi="TNOJQH+FangSong_GB2312" w:cs="TNOJQH+FangSong_GB2312"/>
          <w:color w:val="FFFFFF"/>
          <w:spacing w:val="0"/>
          <w:sz w:val="32"/>
        </w:rPr>
        <w:t>容</w:t>
      </w:r>
      <w:r>
        <w:rPr>
          <w:rFonts w:ascii="Times New Roman"/>
          <w:color w:val="FFFFFF"/>
          <w:spacing w:val="207"/>
          <w:sz w:val="32"/>
        </w:rPr>
        <w:t xml:space="preserve"> </w:t>
      </w:r>
      <w:r>
        <w:rPr>
          <w:rFonts w:ascii="TNOJQH+FangSong_GB2312" w:hAnsi="TNOJQH+FangSong_GB2312" w:cs="TNOJQH+FangSong_GB2312"/>
          <w:color w:val="FFFFFF"/>
          <w:spacing w:val="0"/>
          <w:sz w:val="32"/>
        </w:rPr>
        <w:t>，</w:t>
      </w:r>
    </w:p>
    <w:p w14:paraId="06355115">
      <w:pPr>
        <w:spacing w:before="192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0"/>
          <w:sz w:val="32"/>
        </w:rPr>
        <w:t>题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或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者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工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程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质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量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事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故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，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愿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意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依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法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承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担</w:t>
      </w:r>
    </w:p>
    <w:p w14:paraId="76FF2E2C">
      <w:pPr>
        <w:spacing w:before="192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NOJQH+FangSong_GB2312" w:hAnsi="TNOJQH+FangSong_GB2312" w:cs="TNOJQH+FangSong_GB2312"/>
          <w:color w:val="FFFFFF"/>
          <w:spacing w:val="0"/>
          <w:sz w:val="32"/>
        </w:rPr>
        <w:t>本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TNOJQH+FangSong_GB2312" w:hAnsi="TNOJQH+FangSong_GB2312" w:cs="TNOJQH+FangSong_GB2312"/>
          <w:color w:val="FFFFFF"/>
          <w:spacing w:val="0"/>
          <w:sz w:val="32"/>
        </w:rPr>
        <w:t>人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TNOJQH+FangSong_GB2312" w:hAnsi="TNOJQH+FangSong_GB2312" w:cs="TNOJQH+FangSong_GB2312"/>
          <w:color w:val="FFFFFF"/>
          <w:spacing w:val="0"/>
          <w:sz w:val="32"/>
        </w:rPr>
        <w:t>已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TNOJQH+FangSong_GB2312" w:hAnsi="TNOJQH+FangSong_GB2312" w:cs="TNOJQH+FangSong_GB2312"/>
          <w:color w:val="FFFFFF"/>
          <w:spacing w:val="0"/>
          <w:sz w:val="32"/>
        </w:rPr>
        <w:t>阅</w:t>
      </w:r>
      <w:r>
        <w:rPr>
          <w:rFonts w:ascii="Times New Roman"/>
          <w:color w:val="FFFFFF"/>
          <w:spacing w:val="207"/>
          <w:sz w:val="32"/>
        </w:rPr>
        <w:t xml:space="preserve"> </w:t>
      </w:r>
      <w:r>
        <w:rPr>
          <w:rFonts w:ascii="TNOJQH+FangSong_GB2312" w:hAnsi="TNOJQH+FangSong_GB2312" w:cs="TNOJQH+FangSong_GB2312"/>
          <w:color w:val="FFFFFF"/>
          <w:spacing w:val="0"/>
          <w:sz w:val="32"/>
        </w:rPr>
        <w:t>读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TNOJQH+FangSong_GB2312" w:hAnsi="TNOJQH+FangSong_GB2312" w:cs="TNOJQH+FangSong_GB2312"/>
          <w:color w:val="FFFFFF"/>
          <w:spacing w:val="0"/>
          <w:sz w:val="32"/>
        </w:rPr>
        <w:t>并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TNOJQH+FangSong_GB2312" w:hAnsi="TNOJQH+FangSong_GB2312" w:cs="TNOJQH+FangSong_GB2312"/>
          <w:color w:val="FFFFFF"/>
          <w:spacing w:val="0"/>
          <w:sz w:val="32"/>
        </w:rPr>
        <w:t>清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TNOJQH+FangSong_GB2312" w:hAnsi="TNOJQH+FangSong_GB2312" w:cs="TNOJQH+FangSong_GB2312"/>
          <w:color w:val="FFFFFF"/>
          <w:spacing w:val="0"/>
          <w:sz w:val="32"/>
        </w:rPr>
        <w:t>楚</w:t>
      </w:r>
      <w:r>
        <w:rPr>
          <w:rFonts w:ascii="Times New Roman"/>
          <w:color w:val="FFFFFF"/>
          <w:spacing w:val="207"/>
          <w:sz w:val="32"/>
        </w:rPr>
        <w:t xml:space="preserve"> </w:t>
      </w:r>
      <w:r>
        <w:rPr>
          <w:rFonts w:ascii="TNOJQH+FangSong_GB2312" w:hAnsi="TNOJQH+FangSong_GB2312" w:cs="TNOJQH+FangSong_GB2312"/>
          <w:color w:val="FFFFFF"/>
          <w:spacing w:val="0"/>
          <w:sz w:val="32"/>
        </w:rPr>
        <w:t>知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TNOJQH+FangSong_GB2312" w:hAnsi="TNOJQH+FangSong_GB2312" w:cs="TNOJQH+FangSong_GB2312"/>
          <w:color w:val="FFFFFF"/>
          <w:spacing w:val="0"/>
          <w:sz w:val="32"/>
        </w:rPr>
        <w:t>晓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TNOJQH+FangSong_GB2312" w:hAnsi="TNOJQH+FangSong_GB2312" w:cs="TNOJQH+FangSong_GB2312"/>
          <w:color w:val="FFFFFF"/>
          <w:spacing w:val="0"/>
          <w:sz w:val="32"/>
        </w:rPr>
        <w:t>承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TNOJQH+FangSong_GB2312" w:hAnsi="TNOJQH+FangSong_GB2312" w:cs="TNOJQH+FangSong_GB2312"/>
          <w:color w:val="FFFFFF"/>
          <w:spacing w:val="0"/>
          <w:sz w:val="32"/>
        </w:rPr>
        <w:t>诺</w:t>
      </w:r>
      <w:r>
        <w:rPr>
          <w:rFonts w:ascii="Times New Roman"/>
          <w:color w:val="FFFFFF"/>
          <w:spacing w:val="207"/>
          <w:sz w:val="32"/>
        </w:rPr>
        <w:t xml:space="preserve"> </w:t>
      </w:r>
      <w:r>
        <w:rPr>
          <w:rFonts w:ascii="TNOJQH+FangSong_GB2312" w:hAnsi="TNOJQH+FangSong_GB2312" w:cs="TNOJQH+FangSong_GB2312"/>
          <w:color w:val="FFFFFF"/>
          <w:spacing w:val="0"/>
          <w:sz w:val="32"/>
        </w:rPr>
        <w:t>内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TNOJQH+FangSong_GB2312" w:hAnsi="TNOJQH+FangSong_GB2312" w:cs="TNOJQH+FangSong_GB2312"/>
          <w:color w:val="FFFFFF"/>
          <w:spacing w:val="0"/>
          <w:sz w:val="32"/>
        </w:rPr>
        <w:t>容</w:t>
      </w:r>
      <w:r>
        <w:rPr>
          <w:rFonts w:ascii="Times New Roman"/>
          <w:color w:val="FFFFFF"/>
          <w:spacing w:val="207"/>
          <w:sz w:val="32"/>
        </w:rPr>
        <w:t xml:space="preserve"> </w:t>
      </w:r>
      <w:r>
        <w:rPr>
          <w:rFonts w:ascii="TNOJQH+FangSong_GB2312" w:hAnsi="TNOJQH+FangSong_GB2312" w:cs="TNOJQH+FangSong_GB2312"/>
          <w:color w:val="FFFFFF"/>
          <w:spacing w:val="0"/>
          <w:sz w:val="32"/>
        </w:rPr>
        <w:t>，</w:t>
      </w:r>
    </w:p>
    <w:p w14:paraId="618D1D49">
      <w:pPr>
        <w:spacing w:before="189" w:after="162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0"/>
          <w:sz w:val="32"/>
        </w:rPr>
        <w:t>相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应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质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量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终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身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责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任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及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其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他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法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律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责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任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。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89"/>
        <w:gridCol w:w="20"/>
        <w:gridCol w:w="8311"/>
      </w:tblGrid>
      <w:tr w14:paraId="5D999C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589" w:type="dxa"/>
            <w:noWrap w:val="0"/>
            <w:vAlign w:val="top"/>
          </w:tcPr>
          <w:p w14:paraId="2DC118CE">
            <w:pPr>
              <w:spacing w:before="0" w:after="0" w:line="31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2"/>
              </w:rPr>
            </w:pPr>
            <w:r>
              <w:rPr>
                <w:rFonts w:ascii="TNOJQH+FangSong_GB2312" w:hAnsi="TNOJQH+FangSong_GB2312" w:cs="TNOJQH+FangSong_GB2312"/>
                <w:color w:val="FFFFFF"/>
                <w:spacing w:val="0"/>
                <w:sz w:val="32"/>
              </w:rPr>
              <w:t>本</w:t>
            </w:r>
          </w:p>
          <w:p w14:paraId="22E93BE2">
            <w:pPr>
              <w:spacing w:before="0" w:after="0" w:line="30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0"/>
              </w:rPr>
            </w:pPr>
            <w:r>
              <w:rPr>
                <w:rFonts w:ascii="TNOJQH+FangSong_GB2312" w:hAnsi="TNOJQH+FangSong_GB2312" w:cs="TNOJQH+FangSong_GB2312"/>
                <w:color w:val="FFFFFF"/>
                <w:spacing w:val="0"/>
                <w:sz w:val="30"/>
              </w:rPr>
              <w:t>愿</w:t>
            </w:r>
          </w:p>
        </w:tc>
        <w:tc>
          <w:tcPr>
            <w:tcW w:w="20" w:type="dxa"/>
            <w:noWrap w:val="0"/>
            <w:vAlign w:val="top"/>
          </w:tcPr>
          <w:p w14:paraId="69EED94D">
            <w:pPr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0"/>
              </w:rPr>
            </w:pPr>
          </w:p>
        </w:tc>
        <w:tc>
          <w:tcPr>
            <w:tcW w:w="8311" w:type="dxa"/>
            <w:noWrap w:val="0"/>
            <w:vAlign w:val="top"/>
          </w:tcPr>
          <w:p w14:paraId="516EE365">
            <w:pPr>
              <w:spacing w:before="0" w:after="0" w:line="31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2"/>
              </w:rPr>
            </w:pPr>
            <w:r>
              <w:rPr>
                <w:rFonts w:ascii="TNOJQH+FangSong_GB2312" w:hAnsi="TNOJQH+FangSong_GB2312" w:cs="TNOJQH+FangSong_GB2312"/>
                <w:color w:val="FFFFFF"/>
                <w:spacing w:val="0"/>
                <w:sz w:val="32"/>
              </w:rPr>
              <w:t>人</w:t>
            </w:r>
            <w:r>
              <w:rPr>
                <w:rFonts w:ascii="Times New Roman"/>
                <w:color w:val="FFFFFF"/>
                <w:spacing w:val="209"/>
                <w:sz w:val="32"/>
              </w:rPr>
              <w:t xml:space="preserve"> </w:t>
            </w:r>
            <w:r>
              <w:rPr>
                <w:rFonts w:ascii="TNOJQH+FangSong_GB2312" w:hAnsi="TNOJQH+FangSong_GB2312" w:cs="TNOJQH+FangSong_GB2312"/>
                <w:color w:val="FFFFFF"/>
                <w:spacing w:val="0"/>
                <w:sz w:val="32"/>
              </w:rPr>
              <w:t>已</w:t>
            </w:r>
            <w:r>
              <w:rPr>
                <w:rFonts w:ascii="Times New Roman"/>
                <w:color w:val="FFFFFF"/>
                <w:spacing w:val="209"/>
                <w:sz w:val="32"/>
              </w:rPr>
              <w:t xml:space="preserve"> </w:t>
            </w:r>
            <w:r>
              <w:rPr>
                <w:rFonts w:ascii="TNOJQH+FangSong_GB2312" w:hAnsi="TNOJQH+FangSong_GB2312" w:cs="TNOJQH+FangSong_GB2312"/>
                <w:color w:val="FFFFFF"/>
                <w:spacing w:val="0"/>
                <w:sz w:val="32"/>
              </w:rPr>
              <w:t>阅</w:t>
            </w:r>
            <w:r>
              <w:rPr>
                <w:rFonts w:ascii="Times New Roman"/>
                <w:color w:val="FFFFFF"/>
                <w:spacing w:val="207"/>
                <w:sz w:val="32"/>
              </w:rPr>
              <w:t xml:space="preserve"> </w:t>
            </w:r>
            <w:r>
              <w:rPr>
                <w:rFonts w:ascii="TNOJQH+FangSong_GB2312" w:hAnsi="TNOJQH+FangSong_GB2312" w:cs="TNOJQH+FangSong_GB2312"/>
                <w:color w:val="FFFFFF"/>
                <w:spacing w:val="0"/>
                <w:sz w:val="32"/>
              </w:rPr>
              <w:t>读</w:t>
            </w:r>
            <w:r>
              <w:rPr>
                <w:rFonts w:ascii="Times New Roman"/>
                <w:color w:val="FFFFFF"/>
                <w:spacing w:val="209"/>
                <w:sz w:val="32"/>
              </w:rPr>
              <w:t xml:space="preserve"> </w:t>
            </w:r>
            <w:r>
              <w:rPr>
                <w:rFonts w:ascii="TNOJQH+FangSong_GB2312" w:hAnsi="TNOJQH+FangSong_GB2312" w:cs="TNOJQH+FangSong_GB2312"/>
                <w:color w:val="FFFFFF"/>
                <w:spacing w:val="0"/>
                <w:sz w:val="32"/>
              </w:rPr>
              <w:t>并</w:t>
            </w:r>
            <w:r>
              <w:rPr>
                <w:rFonts w:ascii="Times New Roman"/>
                <w:color w:val="FFFFFF"/>
                <w:spacing w:val="209"/>
                <w:sz w:val="32"/>
              </w:rPr>
              <w:t xml:space="preserve"> </w:t>
            </w:r>
            <w:r>
              <w:rPr>
                <w:rFonts w:ascii="TNOJQH+FangSong_GB2312" w:hAnsi="TNOJQH+FangSong_GB2312" w:cs="TNOJQH+FangSong_GB2312"/>
                <w:color w:val="FFFFFF"/>
                <w:spacing w:val="0"/>
                <w:sz w:val="32"/>
              </w:rPr>
              <w:t>清</w:t>
            </w:r>
            <w:r>
              <w:rPr>
                <w:rFonts w:ascii="Times New Roman"/>
                <w:color w:val="FFFFFF"/>
                <w:spacing w:val="209"/>
                <w:sz w:val="32"/>
              </w:rPr>
              <w:t xml:space="preserve"> </w:t>
            </w:r>
            <w:r>
              <w:rPr>
                <w:rFonts w:ascii="TNOJQH+FangSong_GB2312" w:hAnsi="TNOJQH+FangSong_GB2312" w:cs="TNOJQH+FangSong_GB2312"/>
                <w:color w:val="FFFFFF"/>
                <w:spacing w:val="0"/>
                <w:sz w:val="32"/>
              </w:rPr>
              <w:t>楚</w:t>
            </w:r>
            <w:r>
              <w:rPr>
                <w:rFonts w:ascii="Times New Roman"/>
                <w:color w:val="FFFFFF"/>
                <w:spacing w:val="207"/>
                <w:sz w:val="32"/>
              </w:rPr>
              <w:t xml:space="preserve"> </w:t>
            </w:r>
            <w:r>
              <w:rPr>
                <w:rFonts w:ascii="TNOJQH+FangSong_GB2312" w:hAnsi="TNOJQH+FangSong_GB2312" w:cs="TNOJQH+FangSong_GB2312"/>
                <w:color w:val="FFFFFF"/>
                <w:spacing w:val="0"/>
                <w:sz w:val="32"/>
              </w:rPr>
              <w:t>知</w:t>
            </w:r>
            <w:r>
              <w:rPr>
                <w:rFonts w:ascii="Times New Roman"/>
                <w:color w:val="FFFFFF"/>
                <w:spacing w:val="209"/>
                <w:sz w:val="32"/>
              </w:rPr>
              <w:t xml:space="preserve"> </w:t>
            </w:r>
            <w:r>
              <w:rPr>
                <w:rFonts w:ascii="TNOJQH+FangSong_GB2312" w:hAnsi="TNOJQH+FangSong_GB2312" w:cs="TNOJQH+FangSong_GB2312"/>
                <w:color w:val="FFFFFF"/>
                <w:spacing w:val="0"/>
                <w:sz w:val="32"/>
              </w:rPr>
              <w:t>晓</w:t>
            </w:r>
            <w:r>
              <w:rPr>
                <w:rFonts w:ascii="Times New Roman"/>
                <w:color w:val="FFFFFF"/>
                <w:spacing w:val="209"/>
                <w:sz w:val="32"/>
              </w:rPr>
              <w:t xml:space="preserve"> </w:t>
            </w:r>
            <w:r>
              <w:rPr>
                <w:rFonts w:ascii="TNOJQH+FangSong_GB2312" w:hAnsi="TNOJQH+FangSong_GB2312" w:cs="TNOJQH+FangSong_GB2312"/>
                <w:color w:val="FFFFFF"/>
                <w:spacing w:val="0"/>
                <w:sz w:val="32"/>
              </w:rPr>
              <w:t>承</w:t>
            </w:r>
            <w:r>
              <w:rPr>
                <w:rFonts w:ascii="Times New Roman"/>
                <w:color w:val="FFFFFF"/>
                <w:spacing w:val="209"/>
                <w:sz w:val="32"/>
              </w:rPr>
              <w:t xml:space="preserve"> </w:t>
            </w:r>
            <w:r>
              <w:rPr>
                <w:rFonts w:ascii="TNOJQH+FangSong_GB2312" w:hAnsi="TNOJQH+FangSong_GB2312" w:cs="TNOJQH+FangSong_GB2312"/>
                <w:color w:val="FFFFFF"/>
                <w:spacing w:val="0"/>
                <w:sz w:val="32"/>
              </w:rPr>
              <w:t>诺</w:t>
            </w:r>
            <w:r>
              <w:rPr>
                <w:rFonts w:ascii="Times New Roman"/>
                <w:color w:val="FFFFFF"/>
                <w:spacing w:val="207"/>
                <w:sz w:val="32"/>
              </w:rPr>
              <w:t xml:space="preserve"> </w:t>
            </w:r>
            <w:r>
              <w:rPr>
                <w:rFonts w:ascii="TNOJQH+FangSong_GB2312" w:hAnsi="TNOJQH+FangSong_GB2312" w:cs="TNOJQH+FangSong_GB2312"/>
                <w:color w:val="FFFFFF"/>
                <w:spacing w:val="0"/>
                <w:sz w:val="32"/>
              </w:rPr>
              <w:t>内</w:t>
            </w:r>
            <w:r>
              <w:rPr>
                <w:rFonts w:ascii="Times New Roman"/>
                <w:color w:val="FFFFFF"/>
                <w:spacing w:val="209"/>
                <w:sz w:val="32"/>
              </w:rPr>
              <w:t xml:space="preserve"> </w:t>
            </w:r>
            <w:r>
              <w:rPr>
                <w:rFonts w:ascii="TNOJQH+FangSong_GB2312" w:hAnsi="TNOJQH+FangSong_GB2312" w:cs="TNOJQH+FangSong_GB2312"/>
                <w:color w:val="FFFFFF"/>
                <w:spacing w:val="0"/>
                <w:sz w:val="32"/>
              </w:rPr>
              <w:t>容</w:t>
            </w:r>
            <w:r>
              <w:rPr>
                <w:rFonts w:ascii="Times New Roman"/>
                <w:color w:val="FFFFFF"/>
                <w:spacing w:val="207"/>
                <w:sz w:val="32"/>
              </w:rPr>
              <w:t xml:space="preserve"> </w:t>
            </w:r>
            <w:r>
              <w:rPr>
                <w:rFonts w:ascii="TNOJQH+FangSong_GB2312" w:hAnsi="TNOJQH+FangSong_GB2312" w:cs="TNOJQH+FangSong_GB2312"/>
                <w:color w:val="FFFFFF"/>
                <w:spacing w:val="0"/>
                <w:sz w:val="32"/>
              </w:rPr>
              <w:t>，</w:t>
            </w:r>
          </w:p>
        </w:tc>
      </w:tr>
    </w:tbl>
    <w:p w14:paraId="2A7F4339">
      <w:pPr>
        <w:spacing w:before="163" w:after="0" w:line="310" w:lineRule="exact"/>
        <w:ind w:left="60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仿宋" w:hAnsi="仿宋" w:cs="仿宋"/>
          <w:color w:val="000000"/>
          <w:spacing w:val="4"/>
          <w:sz w:val="30"/>
        </w:rPr>
        <w:t>承诺人（签字）</w:t>
      </w:r>
      <w:r>
        <w:rPr>
          <w:rFonts w:ascii="仿宋"/>
          <w:color w:val="FFFFFF"/>
          <w:spacing w:val="4"/>
          <w:sz w:val="30"/>
        </w:rPr>
        <w:t>___</w:t>
      </w:r>
      <w:r>
        <w:rPr>
          <w:rFonts w:ascii="仿宋" w:hAnsi="仿宋" w:cs="仿宋"/>
          <w:color w:val="000000"/>
          <w:spacing w:val="5"/>
          <w:sz w:val="30"/>
        </w:rPr>
        <w:t>法定代表人（签字）</w:t>
      </w:r>
      <w:r>
        <w:rPr>
          <w:rFonts w:ascii="仿宋"/>
          <w:color w:val="FFFFFF"/>
          <w:spacing w:val="4"/>
          <w:sz w:val="30"/>
        </w:rPr>
        <w:t>____</w:t>
      </w:r>
      <w:r>
        <w:rPr>
          <w:rFonts w:ascii="仿宋" w:hAnsi="仿宋" w:cs="仿宋"/>
          <w:color w:val="000000"/>
          <w:spacing w:val="5"/>
          <w:sz w:val="30"/>
        </w:rPr>
        <w:t>单位盖章（公章）</w:t>
      </w:r>
    </w:p>
    <w:p w14:paraId="2DAB17F9">
      <w:pPr>
        <w:spacing w:before="754" w:after="0" w:line="310" w:lineRule="exact"/>
        <w:ind w:left="6745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NOJQH+FangSong_GB2312" w:hAnsi="TNOJQH+FangSong_GB2312" w:cs="TNOJQH+FangSong_GB2312"/>
          <w:color w:val="000000"/>
          <w:spacing w:val="0"/>
          <w:sz w:val="30"/>
        </w:rPr>
        <w:t>年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UKJEOA+FangSong_GB2312"/>
          <w:color w:val="FFFFFF"/>
          <w:spacing w:val="1"/>
          <w:sz w:val="30"/>
        </w:rPr>
        <w:t>111</w:t>
      </w:r>
      <w:r>
        <w:rPr>
          <w:rFonts w:ascii="TNOJQH+FangSong_GB2312" w:hAnsi="TNOJQH+FangSong_GB2312" w:cs="TNOJQH+FangSong_GB2312"/>
          <w:color w:val="000000"/>
          <w:spacing w:val="0"/>
          <w:sz w:val="30"/>
        </w:rPr>
        <w:t>月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UKJEOA+FangSong_GB2312"/>
          <w:color w:val="FFFFFF"/>
          <w:spacing w:val="1"/>
          <w:sz w:val="30"/>
        </w:rPr>
        <w:t>111</w:t>
      </w:r>
      <w:r>
        <w:rPr>
          <w:rFonts w:ascii="TNOJQH+FangSong_GB2312" w:hAnsi="TNOJQH+FangSong_GB2312" w:cs="TNOJQH+FangSong_GB2312"/>
          <w:color w:val="000000"/>
          <w:spacing w:val="0"/>
          <w:sz w:val="30"/>
        </w:rPr>
        <w:t>日</w:t>
      </w:r>
    </w:p>
    <w:p w14:paraId="478493C8">
      <w:pPr>
        <w:spacing w:before="187" w:after="0" w:line="310" w:lineRule="exact"/>
        <w:ind w:left="0" w:right="0" w:firstLine="0"/>
        <w:jc w:val="left"/>
        <w:rPr>
          <w:rFonts w:ascii="宋体"/>
          <w:color w:val="000000"/>
          <w:spacing w:val="0"/>
          <w:sz w:val="30"/>
        </w:rPr>
      </w:pPr>
      <w:r>
        <w:rPr>
          <w:rFonts w:ascii="宋体"/>
          <w:color w:val="000000"/>
          <w:spacing w:val="0"/>
          <w:sz w:val="30"/>
        </w:rPr>
        <w:t>-</w:t>
      </w:r>
      <w:r>
        <w:rPr>
          <w:rFonts w:ascii="宋体"/>
          <w:color w:val="000000"/>
          <w:spacing w:val="2"/>
          <w:sz w:val="30"/>
        </w:rPr>
        <w:t xml:space="preserve"> </w:t>
      </w:r>
      <w:r>
        <w:rPr>
          <w:rFonts w:ascii="宋体"/>
          <w:color w:val="000000"/>
          <w:spacing w:val="0"/>
          <w:sz w:val="30"/>
        </w:rPr>
        <w:t>3 -</w:t>
      </w:r>
    </w:p>
    <w:sectPr>
      <w:pgSz w:w="11900" w:h="16820"/>
      <w:pgMar w:top="1630" w:right="100" w:bottom="0" w:left="1589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DF4A62A0-C7F2-439A-BAF1-5B2A1E01E84F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18D76824-93F3-4102-8445-1C479F1B70C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9D97ECC-575C-477A-95F8-93308C86571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56C86646-D72A-43F2-B58C-0E7375E4385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9823A73A-D6BF-4D0B-B03D-7C902D8EBE2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EB26982-1E17-4F27-8CA6-CDCD54CAD96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A99CAE52-0AD9-4B5E-98FE-F4F511D2632B}"/>
  </w:font>
  <w:font w:name="UKJEOA+FangSong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DB5301B5-06EC-4814-8EAC-DE1EEC781029}"/>
  </w:font>
  <w:font w:name="TNOJQH+FangSong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16234ABF-89F4-47C1-B74C-09F2BF7AB557}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  <w:embedRegular r:id="rId10" w:fontKey="{9531EECD-A6D8-474D-A8C8-9DDD095C7D5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1" w:fontKey="{B67B819F-9158-489A-B6CC-AD74FCBB9052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  <w:embedRegular r:id="rId12" w:fontKey="{7139FF8E-A40D-48F7-AE81-9EBEF52D044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3" w:fontKey="{61CAD700-0B8F-42BA-8C61-31BD4367D8C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5980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4</Pages>
  <Words>1366</Words>
  <Characters>1525</Characters>
  <Lines>1</Lines>
  <Paragraphs>73</Paragraphs>
  <TotalTime>3</TotalTime>
  <ScaleCrop>false</ScaleCrop>
  <LinksUpToDate>false</LinksUpToDate>
  <CharactersWithSpaces>1679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2025-09-19T16:21:00Z</dcterms:created>
  <dc:creator>dell</dc:creator>
  <cp:lastModifiedBy>dell</cp:lastModifiedBy>
  <dcterms:modified xsi:type="dcterms:W3CDTF">2025-09-19T08:22:29Z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eyJoZGlkIjoiMWVmYzhjYTkxOTgxZTE4YjE0NzI4M2NmNDBhZmViMjUifQ==</vt:lpwstr>
  </property>
  <property fmtid="{D5CDD505-2E9C-101B-9397-08002B2CF9AE}" pid="3" name="KSOProductBuildVer">
    <vt:lpwstr>2052-12.1.0.22529</vt:lpwstr>
  </property>
  <property fmtid="{D5CDD505-2E9C-101B-9397-08002B2CF9AE}" pid="4" name="ICV">
    <vt:lpwstr>08FCCB4E43BD4697BA92F011DD4DD9B9_12</vt:lpwstr>
  </property>
</Properties>
</file>