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黑体" w:hAnsi="黑体" w:eastAsia="黑体"/>
          <w:sz w:val="32"/>
          <w:szCs w:val="32"/>
        </w:rPr>
      </w:pPr>
      <w:bookmarkStart w:id="0" w:name="_GoBack"/>
      <w:bookmarkEnd w:id="0"/>
      <w:r>
        <w:rPr>
          <w:rFonts w:hint="eastAsia" w:ascii="黑体" w:hAnsi="黑体" w:eastAsia="黑体"/>
          <w:sz w:val="32"/>
          <w:szCs w:val="32"/>
        </w:rPr>
        <w:t>目 录</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第一部分 2022年度部门预算情况说明</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一、部门情况</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二、收入预算说明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三、支出预算说明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四、部门"三公"经费财政拨款预算说明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五、其他情况说明</w:t>
      </w:r>
    </w:p>
    <w:p>
      <w:pPr>
        <w:widowControl/>
        <w:numPr>
          <w:ilvl w:val="0"/>
          <w:numId w:val="1"/>
        </w:numPr>
        <w:spacing w:line="560" w:lineRule="exact"/>
        <w:ind w:left="640" w:firstLine="0" w:firstLineChars="0"/>
        <w:jc w:val="left"/>
        <w:rPr>
          <w:rFonts w:hint="eastAsia" w:ascii="仿宋_GB2312" w:hAnsi="仿宋" w:eastAsia="仿宋_GB2312"/>
          <w:sz w:val="32"/>
          <w:szCs w:val="32"/>
        </w:rPr>
      </w:pPr>
      <w:r>
        <w:rPr>
          <w:rFonts w:hint="eastAsia" w:ascii="仿宋_GB2312" w:hAnsi="仿宋" w:eastAsia="仿宋_GB2312"/>
          <w:sz w:val="32"/>
          <w:szCs w:val="32"/>
        </w:rPr>
        <w:t>部门政府采购预算说明</w:t>
      </w:r>
    </w:p>
    <w:p>
      <w:pPr>
        <w:widowControl/>
        <w:numPr>
          <w:ilvl w:val="0"/>
          <w:numId w:val="2"/>
        </w:numPr>
        <w:spacing w:line="560" w:lineRule="exact"/>
        <w:ind w:left="640" w:firstLine="0" w:firstLineChars="0"/>
        <w:jc w:val="left"/>
        <w:rPr>
          <w:rFonts w:hint="eastAsia" w:ascii="仿宋_GB2312" w:hAnsi="仿宋" w:eastAsia="仿宋_GB2312"/>
          <w:sz w:val="32"/>
          <w:szCs w:val="32"/>
        </w:rPr>
      </w:pPr>
      <w:r>
        <w:rPr>
          <w:rFonts w:hint="eastAsia" w:ascii="仿宋_GB2312" w:hAnsi="仿宋" w:eastAsia="仿宋_GB2312"/>
          <w:sz w:val="32"/>
          <w:szCs w:val="32"/>
        </w:rPr>
        <w:t>政府购买服务预算说明</w:t>
      </w:r>
    </w:p>
    <w:p>
      <w:pPr>
        <w:widowControl/>
        <w:numPr>
          <w:ilvl w:val="0"/>
          <w:numId w:val="3"/>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机关运行经费情况说明</w:t>
      </w:r>
    </w:p>
    <w:p>
      <w:pPr>
        <w:widowControl/>
        <w:numPr>
          <w:ilvl w:val="0"/>
          <w:numId w:val="4"/>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项目支出绩效目标情况说明</w:t>
      </w:r>
    </w:p>
    <w:p>
      <w:pPr>
        <w:widowControl/>
        <w:numPr>
          <w:ilvl w:val="0"/>
          <w:numId w:val="5"/>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重点行政事业性收费情况说明</w:t>
      </w:r>
    </w:p>
    <w:p>
      <w:pPr>
        <w:widowControl/>
        <w:numPr>
          <w:ilvl w:val="0"/>
          <w:numId w:val="6"/>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国有资本经营预算财政拨款情况说明</w:t>
      </w:r>
    </w:p>
    <w:p>
      <w:pPr>
        <w:widowControl/>
        <w:numPr>
          <w:ilvl w:val="0"/>
          <w:numId w:val="7"/>
        </w:numPr>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固定资产占有使用情况说明</w:t>
      </w:r>
    </w:p>
    <w:p>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（八）其他事项说明</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六、名词解释</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第二部</w:t>
      </w:r>
      <w:r>
        <w:rPr>
          <w:rFonts w:hint="eastAsia" w:ascii="仿宋_GB2312" w:hAnsi="仿宋" w:eastAsia="仿宋_GB2312"/>
          <w:sz w:val="32"/>
          <w:szCs w:val="32"/>
          <w:lang w:eastAsia="zh-CN"/>
        </w:rPr>
        <w:t>分</w:t>
      </w:r>
      <w:r>
        <w:rPr>
          <w:rFonts w:hint="eastAsia" w:ascii="仿宋_GB2312" w:hAnsi="仿宋" w:eastAsia="仿宋_GB2312"/>
          <w:sz w:val="32"/>
          <w:szCs w:val="32"/>
        </w:rPr>
        <w:t xml:space="preserve">  2022年部门预算报表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一、收支总表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二、收入总表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三、支出总表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四、项目支出表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五、政府采购预算明细表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六、财拨总表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七、一般公共预算财政拨款支出表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八、一般公共预算财政拨款基本支出表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九、政府性基金预算财政拨款支出表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十、国有资本经营预算财政拨款支出表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十一、三公经费支出表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十二、政府购买服务预算财政拨款明细表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十三、项目支出绩效表</w:t>
      </w:r>
    </w:p>
    <w:p>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十四、部门整体支出绩效目标申报表</w:t>
      </w:r>
    </w:p>
    <w:p>
      <w:pPr>
        <w:widowControl/>
        <w:spacing w:line="560" w:lineRule="exact"/>
        <w:jc w:val="center"/>
        <w:rPr>
          <w:rFonts w:ascii="方正小标宋简体" w:hAnsi="方正小标宋简体" w:eastAsia="方正小标宋简体" w:cs="方正小标宋简体"/>
          <w:sz w:val="44"/>
          <w:szCs w:val="44"/>
        </w:rPr>
      </w:pPr>
    </w:p>
    <w:p>
      <w:pPr>
        <w:numPr>
          <w:ilvl w:val="0"/>
          <w:numId w:val="8"/>
        </w:numPr>
        <w:spacing w:line="560" w:lineRule="exact"/>
        <w:jc w:val="center"/>
        <w:rPr>
          <w:rFonts w:hint="eastAsia" w:ascii="仿宋_GB2312" w:hAnsi="宋体" w:eastAsia="仿宋_GB2312" w:cs="宋体"/>
          <w:b/>
          <w:bCs/>
          <w:color w:val="000000"/>
          <w:spacing w:val="15"/>
          <w:kern w:val="0"/>
          <w:sz w:val="32"/>
          <w:szCs w:val="32"/>
        </w:rPr>
      </w:pPr>
      <w:r>
        <w:rPr>
          <w:rFonts w:hint="eastAsia" w:ascii="仿宋_GB2312" w:hAnsi="宋体" w:eastAsia="仿宋_GB2312" w:cs="宋体"/>
          <w:b/>
          <w:bCs/>
          <w:color w:val="000000"/>
          <w:spacing w:val="15"/>
          <w:kern w:val="0"/>
          <w:sz w:val="32"/>
          <w:szCs w:val="32"/>
        </w:rPr>
        <w:t>2022年部门预算情况说明</w:t>
      </w:r>
    </w:p>
    <w:p>
      <w:pPr>
        <w:numPr>
          <w:ilvl w:val="0"/>
          <w:numId w:val="0"/>
        </w:numPr>
        <w:spacing w:line="560" w:lineRule="exact"/>
        <w:jc w:val="both"/>
        <w:rPr>
          <w:rFonts w:hint="eastAsia" w:ascii="仿宋_GB2312" w:hAnsi="宋体" w:eastAsia="仿宋_GB2312" w:cs="宋体"/>
          <w:b/>
          <w:bCs/>
          <w:color w:val="000000"/>
          <w:spacing w:val="15"/>
          <w:kern w:val="0"/>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一、部门情况</w:t>
      </w:r>
    </w:p>
    <w:p>
      <w:pPr>
        <w:spacing w:line="560" w:lineRule="exact"/>
        <w:ind w:firstLine="640" w:firstLineChars="200"/>
        <w:rPr>
          <w:rFonts w:ascii="黑体" w:hAnsi="黑体" w:eastAsia="黑体" w:cs="黑体"/>
          <w:sz w:val="32"/>
          <w:szCs w:val="32"/>
        </w:rPr>
      </w:pPr>
      <w:r>
        <w:rPr>
          <w:rFonts w:hint="eastAsia" w:ascii="楷体_GB2312" w:hAnsi="楷体_GB2312" w:eastAsia="楷体_GB2312" w:cs="楷体_GB2312"/>
          <w:sz w:val="32"/>
          <w:szCs w:val="32"/>
        </w:rPr>
        <w:t>（一）部门机构设置、职责</w:t>
      </w:r>
      <w:r>
        <w:rPr>
          <w:rFonts w:ascii="黑体" w:hAnsi="黑体" w:eastAsia="黑体" w:cs="黑体"/>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北京市丰台</w:t>
      </w:r>
      <w:r>
        <w:rPr>
          <w:rFonts w:ascii="仿宋_GB2312" w:hAnsi="仿宋_GB2312" w:eastAsia="仿宋_GB2312" w:cs="仿宋_GB2312"/>
          <w:sz w:val="32"/>
          <w:szCs w:val="32"/>
        </w:rPr>
        <w:t>区园林绿化局丰台绿化队贯彻落实党中央关于园林绿化工作的方针政策、决策部署和上级部门有关工作要求，在履行职责过程中坚持和加强党对园林绿化工作的集中统一领导。丰台绿化队职能主要为：1.完成我队辖区内的绿化养护监督管理巡查工作；2.保障绿化养护工作的平稳运行及数据统计工作；3.指挥及应对我辖区内绿化养护工作中发生的突发事件。养护绿地辖区内网格案件，政府督办案件，接诉即办案件的处理和回复，保障绿化工作有序进行。4.完成行政主管部门交办的其他工作。</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（二）人员构成情况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丰台绿化队</w:t>
      </w:r>
      <w:r>
        <w:rPr>
          <w:rFonts w:hint="eastAsia" w:ascii="仿宋_GB2312" w:hAnsi="仿宋" w:eastAsia="仿宋_GB2312"/>
          <w:color w:val="000000"/>
          <w:sz w:val="32"/>
          <w:szCs w:val="32"/>
        </w:rPr>
        <w:t>是北京市丰台区园林绿化局所属事业单位，</w:t>
      </w:r>
      <w:r>
        <w:rPr>
          <w:rFonts w:hint="eastAsia" w:ascii="仿宋_GB2312" w:hAnsi="仿宋" w:eastAsia="仿宋_GB2312"/>
          <w:color w:val="000000"/>
          <w:sz w:val="32"/>
          <w:szCs w:val="32"/>
          <w:lang w:eastAsia="zh-CN"/>
        </w:rPr>
        <w:t>共有</w:t>
      </w:r>
      <w:r>
        <w:rPr>
          <w:rFonts w:ascii="仿宋_GB2312" w:hAnsi="仿宋_GB2312" w:eastAsia="仿宋_GB2312" w:cs="仿宋_GB2312"/>
          <w:sz w:val="32"/>
          <w:szCs w:val="32"/>
        </w:rPr>
        <w:t>事业编制</w:t>
      </w:r>
      <w:r>
        <w:rPr>
          <w:rFonts w:hint="eastAsia" w:ascii="仿宋_GB2312" w:hAnsi="仿宋_GB2312" w:eastAsia="仿宋_GB2312" w:cs="仿宋_GB2312"/>
          <w:sz w:val="32"/>
          <w:szCs w:val="32"/>
        </w:rPr>
        <w:t>85</w:t>
      </w:r>
      <w:r>
        <w:rPr>
          <w:rFonts w:ascii="仿宋_GB2312" w:hAnsi="仿宋_GB2312" w:eastAsia="仿宋_GB2312" w:cs="仿宋_GB2312"/>
          <w:sz w:val="32"/>
          <w:szCs w:val="32"/>
        </w:rPr>
        <w:t>人，实际</w:t>
      </w:r>
      <w:r>
        <w:rPr>
          <w:rFonts w:hint="eastAsia" w:ascii="仿宋_GB2312" w:hAnsi="仿宋_GB2312" w:eastAsia="仿宋_GB2312" w:cs="仿宋_GB2312"/>
          <w:sz w:val="32"/>
          <w:szCs w:val="32"/>
        </w:rPr>
        <w:t>70</w:t>
      </w:r>
      <w:r>
        <w:rPr>
          <w:rFonts w:ascii="仿宋_GB2312" w:hAnsi="仿宋_GB2312" w:eastAsia="仿宋_GB2312" w:cs="仿宋_GB2312"/>
          <w:sz w:val="32"/>
          <w:szCs w:val="32"/>
        </w:rPr>
        <w:t>人。离退休人员</w:t>
      </w:r>
      <w:r>
        <w:rPr>
          <w:rFonts w:hint="eastAsia" w:ascii="仿宋_GB2312" w:hAnsi="仿宋_GB2312" w:eastAsia="仿宋_GB2312" w:cs="仿宋_GB2312"/>
          <w:sz w:val="32"/>
          <w:szCs w:val="32"/>
        </w:rPr>
        <w:t>121</w:t>
      </w:r>
      <w:r>
        <w:rPr>
          <w:rFonts w:ascii="仿宋_GB2312" w:hAnsi="仿宋_GB2312" w:eastAsia="仿宋_GB2312" w:cs="仿宋_GB2312"/>
          <w:sz w:val="32"/>
          <w:szCs w:val="32"/>
        </w:rPr>
        <w:t>人，其中：退休</w:t>
      </w:r>
      <w:r>
        <w:rPr>
          <w:rFonts w:hint="eastAsia" w:ascii="仿宋_GB2312" w:hAnsi="仿宋_GB2312" w:eastAsia="仿宋_GB2312" w:cs="仿宋_GB2312"/>
          <w:sz w:val="32"/>
          <w:szCs w:val="32"/>
        </w:rPr>
        <w:t>121</w:t>
      </w:r>
      <w:r>
        <w:rPr>
          <w:rFonts w:ascii="仿宋_GB2312" w:hAnsi="仿宋_GB2312" w:eastAsia="仿宋_GB2312" w:cs="仿宋_GB2312"/>
          <w:sz w:val="32"/>
          <w:szCs w:val="32"/>
        </w:rPr>
        <w:t>人。</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（三）本预算年度的主要工作任务本预算年度的主要工作任务</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为管理区域内园林绿地美化城市环境提供服务。城市园林绿地系统规划、园林绿地建设、管理与维护，实行绿化常态管理，落实养护管理责任，明确了权利,开展绿化施肥、浇灌、修剪整形、除虫打药、清除杂草等养护管理，对绿地卫生保洁、杂草杂物、整枝修身、病虫防治、树术补缺等进行重点管护，有效地维护城市园林绿化的成果，努力打造整洁、优美、舒适的城市环境。</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二、收入预算说明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2022年收入预算</w:t>
      </w:r>
      <w:r>
        <w:rPr>
          <w:rFonts w:hint="eastAsia" w:ascii="仿宋_GB2312" w:hAnsi="仿宋_GB2312" w:eastAsia="仿宋_GB2312" w:cs="仿宋_GB2312"/>
          <w:sz w:val="32"/>
          <w:szCs w:val="32"/>
        </w:rPr>
        <w:t>2421.68</w:t>
      </w:r>
      <w:r>
        <w:rPr>
          <w:rFonts w:ascii="仿宋_GB2312" w:hAnsi="仿宋_GB2312" w:eastAsia="仿宋_GB2312" w:cs="仿宋_GB2312"/>
          <w:sz w:val="32"/>
          <w:szCs w:val="32"/>
        </w:rPr>
        <w:t>万元，比2021年</w:t>
      </w:r>
      <w:r>
        <w:rPr>
          <w:rFonts w:hint="eastAsia" w:ascii="仿宋_GB2312" w:hAnsi="仿宋_GB2312" w:eastAsia="仿宋_GB2312" w:cs="仿宋_GB2312"/>
          <w:sz w:val="32"/>
          <w:szCs w:val="32"/>
        </w:rPr>
        <w:t>2668.76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减少247.08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减少9.27</w:t>
      </w:r>
      <w:r>
        <w:rPr>
          <w:rFonts w:ascii="仿宋_GB2312" w:hAnsi="仿宋_GB2312" w:eastAsia="仿宋_GB2312" w:cs="仿宋_GB2312"/>
          <w:sz w:val="32"/>
          <w:szCs w:val="32"/>
        </w:rPr>
        <w:t>%。其中：本年财政拨款收入</w:t>
      </w:r>
      <w:r>
        <w:rPr>
          <w:rFonts w:hint="eastAsia" w:ascii="仿宋_GB2312" w:hAnsi="仿宋_GB2312" w:eastAsia="仿宋_GB2312" w:cs="仿宋_GB2312"/>
          <w:sz w:val="32"/>
          <w:szCs w:val="32"/>
        </w:rPr>
        <w:t>2421.68</w:t>
      </w:r>
      <w:r>
        <w:rPr>
          <w:rFonts w:ascii="仿宋_GB2312" w:hAnsi="仿宋_GB2312" w:eastAsia="仿宋_GB2312" w:cs="仿宋_GB2312"/>
          <w:sz w:val="32"/>
          <w:szCs w:val="32"/>
        </w:rPr>
        <w:t>万元,比2021年</w:t>
      </w:r>
      <w:r>
        <w:rPr>
          <w:rFonts w:hint="eastAsia" w:ascii="仿宋_GB2312" w:hAnsi="仿宋_GB2312" w:eastAsia="仿宋_GB2312" w:cs="仿宋_GB2312"/>
          <w:sz w:val="32"/>
          <w:szCs w:val="32"/>
        </w:rPr>
        <w:t>2668.76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减少247.08</w:t>
      </w:r>
      <w:r>
        <w:rPr>
          <w:rFonts w:ascii="仿宋_GB2312" w:hAnsi="仿宋_GB2312" w:eastAsia="仿宋_GB2312" w:cs="仿宋_GB2312"/>
          <w:sz w:val="32"/>
          <w:szCs w:val="32"/>
        </w:rPr>
        <w:t>万元；本年其他资金收入</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万元,与2021年持平；上年结转结余资金</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万元,与2021年持平。</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三、支出预算说明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（一）基本支出预算</w:t>
      </w:r>
      <w:r>
        <w:rPr>
          <w:rFonts w:hint="eastAsia" w:ascii="仿宋_GB2312" w:hAnsi="仿宋_GB2312" w:eastAsia="仿宋_GB2312" w:cs="仿宋_GB2312"/>
          <w:sz w:val="32"/>
          <w:szCs w:val="32"/>
        </w:rPr>
        <w:t>2363.86</w:t>
      </w:r>
      <w:r>
        <w:rPr>
          <w:rFonts w:ascii="仿宋_GB2312" w:hAnsi="仿宋_GB2312" w:eastAsia="仿宋_GB2312" w:cs="仿宋_GB2312"/>
          <w:sz w:val="32"/>
          <w:szCs w:val="32"/>
        </w:rPr>
        <w:t>万元，占总支出预算</w:t>
      </w:r>
      <w:r>
        <w:rPr>
          <w:rFonts w:hint="eastAsia" w:ascii="仿宋_GB2312" w:hAnsi="仿宋_GB2312" w:eastAsia="仿宋_GB2312" w:cs="仿宋_GB2312"/>
          <w:sz w:val="32"/>
          <w:szCs w:val="32"/>
        </w:rPr>
        <w:t>97.61</w:t>
      </w:r>
      <w:r>
        <w:rPr>
          <w:rFonts w:ascii="仿宋_GB2312" w:hAnsi="仿宋_GB2312" w:eastAsia="仿宋_GB2312" w:cs="仿宋_GB2312"/>
          <w:sz w:val="32"/>
          <w:szCs w:val="32"/>
        </w:rPr>
        <w:t>%，比2021年</w:t>
      </w:r>
      <w:r>
        <w:rPr>
          <w:rFonts w:hint="eastAsia" w:ascii="仿宋_GB2312" w:hAnsi="仿宋_GB2312" w:eastAsia="仿宋_GB2312" w:cs="仿宋_GB2312"/>
          <w:sz w:val="32"/>
          <w:szCs w:val="32"/>
        </w:rPr>
        <w:t>2642.48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减少278.62</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减少10.54</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黑体" w:hAnsi="黑体" w:eastAsia="黑体" w:cs="黑体"/>
          <w:sz w:val="32"/>
          <w:szCs w:val="32"/>
        </w:rPr>
        <w:t>（二）</w:t>
      </w:r>
      <w:r>
        <w:rPr>
          <w:rFonts w:ascii="仿宋_GB2312" w:hAnsi="仿宋_GB2312" w:eastAsia="仿宋_GB2312" w:cs="仿宋_GB2312"/>
          <w:sz w:val="32"/>
          <w:szCs w:val="32"/>
        </w:rPr>
        <w:t>项目支出预算</w:t>
      </w:r>
      <w:r>
        <w:rPr>
          <w:rFonts w:hint="eastAsia" w:ascii="仿宋_GB2312" w:hAnsi="仿宋_GB2312" w:eastAsia="仿宋_GB2312" w:cs="仿宋_GB2312"/>
          <w:sz w:val="32"/>
          <w:szCs w:val="32"/>
        </w:rPr>
        <w:t>57.8</w:t>
      </w:r>
      <w:r>
        <w:rPr>
          <w:rFonts w:ascii="仿宋_GB2312" w:hAnsi="仿宋_GB2312" w:eastAsia="仿宋_GB2312" w:cs="仿宋_GB2312"/>
          <w:sz w:val="32"/>
          <w:szCs w:val="32"/>
        </w:rPr>
        <w:t>万元，比2021年</w:t>
      </w:r>
      <w:r>
        <w:rPr>
          <w:rFonts w:hint="eastAsia" w:ascii="仿宋_GB2312" w:hAnsi="仿宋_GB2312" w:eastAsia="仿宋_GB2312" w:cs="仿宋_GB2312"/>
          <w:sz w:val="32"/>
          <w:szCs w:val="32"/>
        </w:rPr>
        <w:t>26.28</w:t>
      </w:r>
      <w:r>
        <w:rPr>
          <w:rFonts w:ascii="仿宋_GB2312" w:hAnsi="仿宋_GB2312" w:eastAsia="仿宋_GB2312" w:cs="仿宋_GB2312"/>
          <w:sz w:val="32"/>
          <w:szCs w:val="32"/>
        </w:rPr>
        <w:t>万元增加</w:t>
      </w:r>
      <w:r>
        <w:rPr>
          <w:rFonts w:hint="eastAsia" w:ascii="仿宋_GB2312" w:hAnsi="仿宋_GB2312" w:eastAsia="仿宋_GB2312" w:cs="仿宋_GB2312"/>
          <w:sz w:val="32"/>
          <w:szCs w:val="32"/>
        </w:rPr>
        <w:t>31.52</w:t>
      </w:r>
      <w:r>
        <w:rPr>
          <w:rFonts w:ascii="仿宋_GB2312" w:hAnsi="仿宋_GB2312" w:eastAsia="仿宋_GB2312" w:cs="仿宋_GB2312"/>
          <w:sz w:val="32"/>
          <w:szCs w:val="32"/>
        </w:rPr>
        <w:t>万元，增长</w:t>
      </w:r>
      <w:r>
        <w:rPr>
          <w:rFonts w:hint="eastAsia" w:ascii="仿宋_GB2312" w:hAnsi="仿宋_GB2312" w:eastAsia="仿宋_GB2312" w:cs="仿宋_GB2312"/>
          <w:sz w:val="32"/>
          <w:szCs w:val="32"/>
        </w:rPr>
        <w:t>120</w:t>
      </w:r>
      <w:r>
        <w:rPr>
          <w:rFonts w:ascii="仿宋_GB2312" w:hAnsi="仿宋_GB2312" w:eastAsia="仿宋_GB2312" w:cs="仿宋_GB2312"/>
          <w:sz w:val="32"/>
          <w:szCs w:val="32"/>
        </w:rPr>
        <w:t>%，增加原因</w:t>
      </w:r>
      <w:r>
        <w:rPr>
          <w:rFonts w:hint="eastAsia" w:ascii="仿宋_GB2312" w:hAnsi="仿宋_GB2312" w:eastAsia="仿宋_GB2312" w:cs="仿宋_GB2312"/>
          <w:sz w:val="32"/>
          <w:szCs w:val="32"/>
        </w:rPr>
        <w:t>为机构运转经费标准有所增加，新增创建国家卫生区病媒生物防治工作项目</w:t>
      </w:r>
      <w:r>
        <w:rPr>
          <w:rFonts w:ascii="仿宋_GB2312" w:hAnsi="仿宋_GB2312" w:eastAsia="仿宋_GB2312" w:cs="仿宋_GB2312"/>
          <w:sz w:val="32"/>
          <w:szCs w:val="32"/>
        </w:rPr>
        <w:t>。部门预算项目主要为</w:t>
      </w:r>
      <w:r>
        <w:rPr>
          <w:rFonts w:hint="eastAsia" w:ascii="仿宋_GB2312" w:hAnsi="仿宋_GB2312" w:eastAsia="仿宋_GB2312" w:cs="仿宋_GB2312"/>
          <w:sz w:val="32"/>
          <w:szCs w:val="32"/>
        </w:rPr>
        <w:t>创建国家卫生区病媒生物防治工作项目、机构运转费</w:t>
      </w:r>
      <w:r>
        <w:rPr>
          <w:rFonts w:ascii="仿宋_GB2312" w:hAnsi="仿宋_GB2312" w:eastAsia="仿宋_GB2312" w:cs="仿宋_GB2312"/>
          <w:sz w:val="32"/>
          <w:szCs w:val="32"/>
        </w:rPr>
        <w:t>等。</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（三）事业单位经营支出</w:t>
      </w:r>
      <w:r>
        <w:rPr>
          <w:rFonts w:hint="eastAsia" w:ascii="楷体_GB2312" w:hAnsi="楷体_GB2312" w:eastAsia="楷体_GB2312" w:cs="楷体_GB2312"/>
          <w:sz w:val="32"/>
          <w:szCs w:val="32"/>
        </w:rPr>
        <w:t>0</w:t>
      </w:r>
      <w:r>
        <w:rPr>
          <w:rFonts w:ascii="楷体_GB2312" w:hAnsi="楷体_GB2312" w:eastAsia="楷体_GB2312" w:cs="楷体_GB2312"/>
          <w:sz w:val="32"/>
          <w:szCs w:val="32"/>
        </w:rPr>
        <w:t>万元</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（四）上缴上级支出</w:t>
      </w:r>
      <w:r>
        <w:rPr>
          <w:rFonts w:hint="eastAsia" w:ascii="楷体_GB2312" w:hAnsi="楷体_GB2312" w:eastAsia="楷体_GB2312" w:cs="楷体_GB2312"/>
          <w:sz w:val="32"/>
          <w:szCs w:val="32"/>
        </w:rPr>
        <w:t>0</w:t>
      </w:r>
      <w:r>
        <w:rPr>
          <w:rFonts w:ascii="楷体_GB2312" w:hAnsi="楷体_GB2312" w:eastAsia="楷体_GB2312" w:cs="楷体_GB2312"/>
          <w:sz w:val="32"/>
          <w:szCs w:val="32"/>
        </w:rPr>
        <w:t>万元。</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（五）对附属单位补助支出</w:t>
      </w:r>
      <w:r>
        <w:rPr>
          <w:rFonts w:hint="eastAsia" w:ascii="楷体_GB2312" w:hAnsi="楷体_GB2312" w:eastAsia="楷体_GB2312" w:cs="楷体_GB2312"/>
          <w:sz w:val="32"/>
          <w:szCs w:val="32"/>
        </w:rPr>
        <w:t>0</w:t>
      </w:r>
      <w:r>
        <w:rPr>
          <w:rFonts w:ascii="楷体_GB2312" w:hAnsi="楷体_GB2312" w:eastAsia="楷体_GB2312" w:cs="楷体_GB2312"/>
          <w:sz w:val="32"/>
          <w:szCs w:val="32"/>
        </w:rPr>
        <w:t>万元。</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四、部门"三公"经费财政拨款预算说明</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（一）"三公经费"的单位范围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丰台绿化队</w:t>
      </w:r>
      <w:r>
        <w:rPr>
          <w:rFonts w:hint="eastAsia" w:ascii="仿宋_GB2312" w:eastAsia="仿宋_GB2312"/>
          <w:sz w:val="32"/>
          <w:szCs w:val="32"/>
          <w:lang w:eastAsia="zh-CN"/>
        </w:rPr>
        <w:t>“三公”经费</w:t>
      </w:r>
      <w:r>
        <w:rPr>
          <w:rFonts w:hint="eastAsia" w:ascii="仿宋_GB2312" w:eastAsia="仿宋_GB2312"/>
          <w:sz w:val="32"/>
          <w:szCs w:val="32"/>
        </w:rPr>
        <w:t>支出包括：1、因公出国（境）费用；2、公务接待费；3、公务用车购置和运行维护费。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"三公经费"财政拨款情况说明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2022年"三公经费"财政拨款预算</w:t>
      </w:r>
      <w:r>
        <w:rPr>
          <w:rFonts w:hint="eastAsia" w:ascii="仿宋_GB2312" w:hAnsi="仿宋_GB2312" w:eastAsia="仿宋_GB2312" w:cs="仿宋_GB2312"/>
          <w:sz w:val="32"/>
          <w:szCs w:val="32"/>
        </w:rPr>
        <w:t>7.2</w:t>
      </w:r>
      <w:r>
        <w:rPr>
          <w:rFonts w:ascii="仿宋_GB2312" w:hAnsi="仿宋_GB2312" w:eastAsia="仿宋_GB2312" w:cs="仿宋_GB2312"/>
          <w:sz w:val="32"/>
          <w:szCs w:val="32"/>
        </w:rPr>
        <w:t>万元，比2021年预算数</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0.54</w:t>
      </w:r>
      <w:r>
        <w:rPr>
          <w:rFonts w:hint="eastAsia" w:ascii="仿宋_GB2312" w:hAnsi="仿宋_GB2312" w:eastAsia="仿宋_GB2312" w:cs="仿宋_GB2312"/>
          <w:sz w:val="32"/>
          <w:szCs w:val="32"/>
          <w:lang w:eastAsia="zh-CN"/>
        </w:rPr>
        <w:t>万元</w:t>
      </w:r>
      <w:r>
        <w:rPr>
          <w:rFonts w:ascii="仿宋_GB2312" w:hAnsi="仿宋_GB2312" w:eastAsia="仿宋_GB2312" w:cs="仿宋_GB2312"/>
          <w:sz w:val="32"/>
          <w:szCs w:val="32"/>
        </w:rPr>
        <w:t>。主要原因：</w:t>
      </w:r>
      <w:r>
        <w:rPr>
          <w:rFonts w:hint="eastAsia" w:ascii="仿宋_GB2312" w:hAnsi="仿宋_GB2312" w:eastAsia="仿宋_GB2312" w:cs="仿宋_GB2312"/>
          <w:sz w:val="32"/>
          <w:szCs w:val="32"/>
        </w:rPr>
        <w:t>本年度无公务接待费</w:t>
      </w:r>
      <w:r>
        <w:rPr>
          <w:rFonts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1.因公出国（境）费用。2022年预算数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万元，与2021年持平；</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2.公务接待费。2022年预算数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万元，比2021年预算数</w:t>
      </w:r>
      <w:r>
        <w:rPr>
          <w:rFonts w:hint="eastAsia" w:ascii="仿宋_GB2312" w:hAnsi="仿宋_GB2312" w:eastAsia="仿宋_GB2312" w:cs="仿宋_GB2312"/>
          <w:sz w:val="32"/>
          <w:szCs w:val="32"/>
        </w:rPr>
        <w:t>0.54减少100%</w:t>
      </w:r>
      <w:r>
        <w:rPr>
          <w:rFonts w:ascii="仿宋_GB2312" w:hAnsi="仿宋_GB2312" w:eastAsia="仿宋_GB2312" w:cs="仿宋_GB2312"/>
          <w:sz w:val="32"/>
          <w:szCs w:val="32"/>
        </w:rPr>
        <w:t>。主要原因：</w:t>
      </w:r>
      <w:r>
        <w:rPr>
          <w:rFonts w:hint="eastAsia" w:ascii="仿宋_GB2312" w:hAnsi="仿宋_GB2312" w:eastAsia="仿宋_GB2312" w:cs="仿宋_GB2312"/>
          <w:sz w:val="32"/>
          <w:szCs w:val="32"/>
        </w:rPr>
        <w:t>本年度无公务接待费</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3.公务用车购置和运行维护费。2022年预算数</w:t>
      </w:r>
      <w:r>
        <w:rPr>
          <w:rFonts w:hint="eastAsia" w:ascii="仿宋_GB2312" w:hAnsi="仿宋_GB2312" w:eastAsia="仿宋_GB2312" w:cs="仿宋_GB2312"/>
          <w:sz w:val="32"/>
          <w:szCs w:val="32"/>
        </w:rPr>
        <w:t>7.2</w:t>
      </w:r>
      <w:r>
        <w:rPr>
          <w:rFonts w:ascii="仿宋_GB2312" w:hAnsi="仿宋_GB2312" w:eastAsia="仿宋_GB2312" w:cs="仿宋_GB2312"/>
          <w:sz w:val="32"/>
          <w:szCs w:val="32"/>
        </w:rPr>
        <w:t>万元，其中，公务用车购置费2022年预算数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万元，与2021年持平；公务用车运行维护费2022年预算数</w:t>
      </w:r>
      <w:r>
        <w:rPr>
          <w:rFonts w:hint="eastAsia" w:ascii="仿宋_GB2312" w:hAnsi="仿宋_GB2312" w:eastAsia="仿宋_GB2312" w:cs="仿宋_GB2312"/>
          <w:sz w:val="32"/>
          <w:szCs w:val="32"/>
        </w:rPr>
        <w:t>7.2</w:t>
      </w:r>
      <w:r>
        <w:rPr>
          <w:rFonts w:ascii="仿宋_GB2312" w:hAnsi="仿宋_GB2312" w:eastAsia="仿宋_GB2312" w:cs="仿宋_GB2312"/>
          <w:sz w:val="32"/>
          <w:szCs w:val="32"/>
        </w:rPr>
        <w:t>万元与2021年持平。</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五、其他情况说明</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（一）部门政府采购预算说明</w:t>
      </w:r>
    </w:p>
    <w:p>
      <w:pPr>
        <w:spacing w:line="56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丰台绿化队</w:t>
      </w:r>
      <w:r>
        <w:rPr>
          <w:rFonts w:ascii="仿宋_GB2312" w:hAnsi="仿宋_GB2312" w:eastAsia="仿宋_GB2312" w:cs="仿宋_GB2312"/>
          <w:sz w:val="32"/>
          <w:szCs w:val="32"/>
        </w:rPr>
        <w:t>政府采购预算总额</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（二）政府购买服务预算说明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丰台绿化队</w:t>
      </w:r>
      <w:r>
        <w:rPr>
          <w:rFonts w:ascii="仿宋_GB2312" w:hAnsi="仿宋_GB2312" w:eastAsia="仿宋_GB2312" w:cs="仿宋_GB2312"/>
          <w:sz w:val="32"/>
          <w:szCs w:val="32"/>
        </w:rPr>
        <w:t>政府购买服务预算总额</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（三）机关运行经费情况说明</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我单位为公益一类事业单位，不涉及机关运行经费，故没有此项财政拨款预算安排。</w:t>
      </w:r>
    </w:p>
    <w:p>
      <w:pPr>
        <w:spacing w:line="560" w:lineRule="exact"/>
        <w:ind w:firstLine="640" w:firstLineChars="200"/>
        <w:rPr>
          <w:rFonts w:ascii="黑体" w:hAnsi="黑体" w:eastAsia="黑体" w:cs="黑体"/>
          <w:sz w:val="32"/>
          <w:szCs w:val="32"/>
        </w:rPr>
      </w:pPr>
      <w:r>
        <w:rPr>
          <w:rFonts w:ascii="楷体_GB2312" w:hAnsi="楷体_GB2312" w:eastAsia="楷体_GB2312" w:cs="楷体_GB2312"/>
          <w:sz w:val="32"/>
          <w:szCs w:val="32"/>
        </w:rPr>
        <w:t xml:space="preserve">（四）项目支出绩效目标情况说明 </w:t>
      </w:r>
      <w:r>
        <w:rPr>
          <w:rFonts w:ascii="黑体" w:hAnsi="黑体" w:eastAsia="黑体" w:cs="黑体"/>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丰台绿化队</w:t>
      </w:r>
      <w:r>
        <w:rPr>
          <w:rFonts w:ascii="仿宋_GB2312" w:hAnsi="仿宋_GB2312" w:eastAsia="仿宋_GB2312" w:cs="仿宋_GB2312"/>
          <w:sz w:val="32"/>
          <w:szCs w:val="32"/>
        </w:rPr>
        <w:t>填报绩效目标的预算项目</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个，占全部预算项目</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个的</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%。填报绩效目标的项目支出预算</w:t>
      </w:r>
      <w:r>
        <w:rPr>
          <w:rFonts w:hint="eastAsia" w:ascii="仿宋_GB2312" w:hAnsi="仿宋_GB2312" w:eastAsia="仿宋_GB2312" w:cs="仿宋_GB2312"/>
          <w:sz w:val="32"/>
          <w:szCs w:val="32"/>
        </w:rPr>
        <w:t>57.8</w:t>
      </w:r>
      <w:r>
        <w:rPr>
          <w:rFonts w:ascii="仿宋_GB2312" w:hAnsi="仿宋_GB2312" w:eastAsia="仿宋_GB2312" w:cs="仿宋_GB2312"/>
          <w:sz w:val="32"/>
          <w:szCs w:val="32"/>
        </w:rPr>
        <w:t>万元，占本部门全部项目支出预算的</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（五）重点行政事业性收费情况说明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2022年本</w:t>
      </w:r>
      <w:r>
        <w:rPr>
          <w:rFonts w:hint="eastAsia" w:ascii="仿宋_GB2312" w:hAnsi="仿宋_GB2312" w:eastAsia="仿宋_GB2312" w:cs="仿宋_GB2312"/>
          <w:sz w:val="32"/>
          <w:szCs w:val="32"/>
          <w:highlight w:val="none"/>
          <w:lang w:val="en-US" w:eastAsia="zh-CN"/>
        </w:rPr>
        <w:t>单位</w:t>
      </w:r>
      <w:r>
        <w:rPr>
          <w:rFonts w:hint="default" w:ascii="仿宋_GB2312" w:hAnsi="仿宋_GB2312" w:eastAsia="仿宋_GB2312" w:cs="仿宋_GB2312"/>
          <w:sz w:val="32"/>
          <w:szCs w:val="32"/>
          <w:highlight w:val="none"/>
          <w:lang w:val="en-US" w:eastAsia="zh-CN"/>
        </w:rPr>
        <w:t>无重点行政事业性收费</w:t>
      </w:r>
      <w:r>
        <w:rPr>
          <w:rFonts w:hint="eastAsia" w:ascii="仿宋_GB2312" w:hAnsi="仿宋_GB2312" w:eastAsia="仿宋_GB2312" w:cs="仿宋_GB2312"/>
          <w:sz w:val="32"/>
          <w:szCs w:val="32"/>
          <w:highlight w:val="none"/>
          <w:lang w:val="en-US" w:eastAsia="zh-CN"/>
        </w:rPr>
        <w:t>。</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（六）国有资本经营预算财政拨款情况说明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本部门2022年无国有资本经营预算财政拨款安排的预算。</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（七）国有资产占有使用情况说明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截止2021年底，本部门固定资产总额</w:t>
      </w:r>
      <w:r>
        <w:rPr>
          <w:rFonts w:hint="eastAsia" w:ascii="仿宋_GB2312" w:hAnsi="仿宋_GB2312" w:eastAsia="仿宋_GB2312" w:cs="仿宋_GB2312"/>
          <w:sz w:val="32"/>
          <w:szCs w:val="32"/>
        </w:rPr>
        <w:t>778.64</w:t>
      </w:r>
      <w:r>
        <w:rPr>
          <w:rFonts w:ascii="仿宋_GB2312" w:hAnsi="仿宋_GB2312" w:eastAsia="仿宋_GB2312" w:cs="仿宋_GB2312"/>
          <w:sz w:val="32"/>
          <w:szCs w:val="32"/>
        </w:rPr>
        <w:t>万元，其中：车辆</w:t>
      </w:r>
      <w:r>
        <w:rPr>
          <w:rFonts w:hint="eastAsia" w:ascii="仿宋_GB2312" w:hAnsi="仿宋_GB2312" w:eastAsia="仿宋_GB2312" w:cs="仿宋_GB2312"/>
          <w:sz w:val="32"/>
          <w:szCs w:val="32"/>
        </w:rPr>
        <w:t>11</w:t>
      </w:r>
      <w:r>
        <w:rPr>
          <w:rFonts w:ascii="仿宋_GB2312" w:hAnsi="仿宋_GB2312" w:eastAsia="仿宋_GB2312" w:cs="仿宋_GB2312"/>
          <w:sz w:val="32"/>
          <w:szCs w:val="32"/>
        </w:rPr>
        <w:t>台，</w:t>
      </w:r>
      <w:r>
        <w:rPr>
          <w:rFonts w:hint="eastAsia" w:ascii="仿宋_GB2312" w:hAnsi="仿宋_GB2312" w:eastAsia="仿宋_GB2312" w:cs="仿宋_GB2312"/>
          <w:sz w:val="32"/>
          <w:szCs w:val="32"/>
        </w:rPr>
        <w:t>186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w:t>
      </w:r>
      <w:r>
        <w:rPr>
          <w:rFonts w:ascii="仿宋_GB2312" w:hAnsi="仿宋_GB2312" w:eastAsia="仿宋_GB2312" w:cs="仿宋_GB2312"/>
          <w:sz w:val="32"/>
          <w:szCs w:val="32"/>
        </w:rPr>
        <w:t>万元；单位价值50万元以上的通用设备</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台（套）、</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万元，单位价值100万元以上的专用设备</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台（套）、</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numPr>
          <w:ilvl w:val="0"/>
          <w:numId w:val="9"/>
        </w:numPr>
        <w:spacing w:line="560" w:lineRule="exact"/>
        <w:ind w:left="800" w:leftChars="0" w:firstLine="0" w:firstLineChars="0"/>
        <w:rPr>
          <w:rFonts w:ascii="黑体" w:hAnsi="黑体" w:eastAsia="黑体" w:cs="黑体"/>
          <w:sz w:val="32"/>
          <w:szCs w:val="32"/>
        </w:rPr>
      </w:pPr>
      <w:r>
        <w:rPr>
          <w:rFonts w:ascii="黑体" w:hAnsi="黑体" w:eastAsia="黑体" w:cs="黑体"/>
          <w:sz w:val="32"/>
          <w:szCs w:val="32"/>
        </w:rPr>
        <w:t>其他事项说明</w:t>
      </w:r>
    </w:p>
    <w:p>
      <w:pPr>
        <w:numPr>
          <w:ilvl w:val="0"/>
          <w:numId w:val="0"/>
        </w:numPr>
        <w:spacing w:line="560" w:lineRule="exact"/>
        <w:ind w:firstLine="700" w:firstLineChars="200"/>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2022年财政未安排本单位政府性基金支出，所以政府性基金预算支出情况表为零。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名词解释</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一般公共预算：对以税收为主体的财政收入，安排用于保障和改善民生、推动经济社会发展、维护国家安全、维持国家机构正常运转等方面的收支预算。</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预算绩效管理：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highlight w:val="none"/>
        </w:rPr>
        <w:t>“三公”经费：指因公出国（境）费、公务用车购置及运行维护费和公务接待费。其中，因公出国（境）费反映单位公务出国（境）的国际旅费、国外城市间交通费、住宿费、伙食费</w:t>
      </w:r>
      <w:r>
        <w:rPr>
          <w:rFonts w:hint="eastAsia" w:ascii="仿宋_GB2312" w:hAnsi="宋体" w:eastAsia="仿宋_GB2312" w:cs="宋体"/>
          <w:color w:val="000000"/>
          <w:spacing w:val="15"/>
          <w:kern w:val="0"/>
          <w:sz w:val="32"/>
          <w:szCs w:val="32"/>
        </w:rPr>
        <w:t>、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560" w:lineRule="exact"/>
        <w:ind w:firstLine="700" w:firstLineChars="200"/>
        <w:rPr>
          <w:rFonts w:hint="eastAsia" w:ascii="仿宋_GB2312" w:hAnsi="宋体" w:eastAsia="仿宋_GB2312" w:cs="宋体"/>
          <w:color w:val="000000"/>
          <w:spacing w:val="15"/>
          <w:kern w:val="0"/>
          <w:sz w:val="32"/>
          <w:szCs w:val="32"/>
        </w:rPr>
      </w:pPr>
    </w:p>
    <w:p>
      <w:pPr>
        <w:widowControl/>
        <w:numPr>
          <w:ilvl w:val="0"/>
          <w:numId w:val="10"/>
        </w:numPr>
        <w:adjustRightInd w:val="0"/>
        <w:spacing w:line="560" w:lineRule="exact"/>
        <w:ind w:firstLine="703" w:firstLineChars="200"/>
        <w:jc w:val="center"/>
        <w:rPr>
          <w:rFonts w:hint="eastAsia" w:ascii="仿宋_GB2312" w:hAnsi="宋体" w:eastAsia="仿宋_GB2312" w:cs="宋体"/>
          <w:b/>
          <w:bCs/>
          <w:color w:val="000000"/>
          <w:spacing w:val="15"/>
          <w:kern w:val="0"/>
          <w:sz w:val="32"/>
          <w:szCs w:val="32"/>
        </w:rPr>
      </w:pPr>
      <w:r>
        <w:rPr>
          <w:rFonts w:hint="eastAsia" w:ascii="仿宋_GB2312" w:hAnsi="宋体" w:eastAsia="仿宋_GB2312" w:cs="宋体"/>
          <w:b/>
          <w:bCs/>
          <w:color w:val="000000"/>
          <w:spacing w:val="15"/>
          <w:kern w:val="0"/>
          <w:sz w:val="32"/>
          <w:szCs w:val="32"/>
        </w:rPr>
        <w:t>2022年部门预算报表</w:t>
      </w:r>
    </w:p>
    <w:p>
      <w:pPr>
        <w:widowControl/>
        <w:adjustRightInd w:val="0"/>
        <w:spacing w:line="560" w:lineRule="exact"/>
        <w:jc w:val="left"/>
        <w:rPr>
          <w:rFonts w:hint="eastAsia" w:ascii="仿宋_GB2312" w:hAnsi="宋体" w:eastAsia="仿宋_GB2312" w:cs="宋体"/>
          <w:b/>
          <w:bCs/>
          <w:color w:val="000000"/>
          <w:spacing w:val="15"/>
          <w:kern w:val="0"/>
          <w:sz w:val="32"/>
          <w:szCs w:val="32"/>
        </w:rPr>
      </w:pPr>
    </w:p>
    <w:p>
      <w:pPr>
        <w:widowControl/>
        <w:adjustRightIn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详见附件：北京市丰台区园林绿化局丰台绿化队2022年部门预算报表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一、收支总表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二、收入总表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三、支出总表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四、项目支出表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五、政府采购预算明细表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六、财拨总表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七、一般公共预算财政拨款支出表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八、一般公共预算财政拨款基本支出表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九、政府性基金预算财政拨款支出表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十、国有资本经营预算财政拨款支出表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十一、三公经费支出表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十二、政府购买服务预算财政拨款明细表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十三、项目支出绩效表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十四、部门整体支出绩效目标申报表</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w:t>
      </w:r>
    </w:p>
    <w:p>
      <w:pPr>
        <w:widowControl/>
        <w:adjustRightInd w:val="0"/>
        <w:spacing w:line="560" w:lineRule="exact"/>
        <w:jc w:val="left"/>
        <w:rPr>
          <w:rFonts w:ascii="楷体_GB2312" w:hAnsi="楷体_GB2312" w:eastAsia="楷体_GB2312" w:cs="楷体_GB2312"/>
          <w:sz w:val="32"/>
          <w:szCs w:val="32"/>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Arial Unicode MS"/>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1AFB7"/>
    <w:multiLevelType w:val="singleLevel"/>
    <w:tmpl w:val="B5D1AFB7"/>
    <w:lvl w:ilvl="0" w:tentative="0">
      <w:start w:val="6"/>
      <w:numFmt w:val="chineseCounting"/>
      <w:suff w:val="nothing"/>
      <w:lvlText w:val="（%1）"/>
      <w:lvlJc w:val="left"/>
      <w:rPr>
        <w:rFonts w:hint="eastAsia"/>
      </w:rPr>
    </w:lvl>
  </w:abstractNum>
  <w:abstractNum w:abstractNumId="1">
    <w:nsid w:val="DBCD4573"/>
    <w:multiLevelType w:val="singleLevel"/>
    <w:tmpl w:val="DBCD4573"/>
    <w:lvl w:ilvl="0" w:tentative="0">
      <w:start w:val="5"/>
      <w:numFmt w:val="chineseCounting"/>
      <w:suff w:val="nothing"/>
      <w:lvlText w:val="（%1）"/>
      <w:lvlJc w:val="left"/>
      <w:rPr>
        <w:rFonts w:hint="eastAsia"/>
      </w:rPr>
    </w:lvl>
  </w:abstractNum>
  <w:abstractNum w:abstractNumId="2">
    <w:nsid w:val="E19E167F"/>
    <w:multiLevelType w:val="singleLevel"/>
    <w:tmpl w:val="E19E167F"/>
    <w:lvl w:ilvl="0" w:tentative="0">
      <w:start w:val="7"/>
      <w:numFmt w:val="chineseCounting"/>
      <w:suff w:val="nothing"/>
      <w:lvlText w:val="（%1）"/>
      <w:lvlJc w:val="left"/>
      <w:rPr>
        <w:rFonts w:hint="eastAsia"/>
      </w:rPr>
    </w:lvl>
  </w:abstractNum>
  <w:abstractNum w:abstractNumId="3">
    <w:nsid w:val="EFEF099B"/>
    <w:multiLevelType w:val="singleLevel"/>
    <w:tmpl w:val="EFEF099B"/>
    <w:lvl w:ilvl="0" w:tentative="0">
      <w:start w:val="1"/>
      <w:numFmt w:val="chineseCounting"/>
      <w:suff w:val="space"/>
      <w:lvlText w:val="第%1部分"/>
      <w:lvlJc w:val="left"/>
      <w:rPr>
        <w:rFonts w:hint="eastAsia"/>
      </w:rPr>
    </w:lvl>
  </w:abstractNum>
  <w:abstractNum w:abstractNumId="4">
    <w:nsid w:val="FC3118FD"/>
    <w:multiLevelType w:val="singleLevel"/>
    <w:tmpl w:val="FC3118FD"/>
    <w:lvl w:ilvl="0" w:tentative="0">
      <w:start w:val="2"/>
      <w:numFmt w:val="chineseCounting"/>
      <w:suff w:val="nothing"/>
      <w:lvlText w:val="（%1）"/>
      <w:lvlJc w:val="left"/>
      <w:pPr>
        <w:ind w:left="640" w:firstLine="0"/>
      </w:pPr>
      <w:rPr>
        <w:rFonts w:hint="eastAsia"/>
      </w:rPr>
    </w:lvl>
  </w:abstractNum>
  <w:abstractNum w:abstractNumId="5">
    <w:nsid w:val="FCFF430D"/>
    <w:multiLevelType w:val="singleLevel"/>
    <w:tmpl w:val="FCFF430D"/>
    <w:lvl w:ilvl="0" w:tentative="0">
      <w:start w:val="8"/>
      <w:numFmt w:val="chineseCounting"/>
      <w:lvlText w:val="(%1)"/>
      <w:lvlJc w:val="left"/>
      <w:pPr>
        <w:tabs>
          <w:tab w:val="left" w:pos="312"/>
        </w:tabs>
        <w:ind w:left="800" w:leftChars="0" w:firstLine="0" w:firstLineChars="0"/>
      </w:pPr>
      <w:rPr>
        <w:rFonts w:hint="eastAsia"/>
      </w:rPr>
    </w:lvl>
  </w:abstractNum>
  <w:abstractNum w:abstractNumId="6">
    <w:nsid w:val="072184D4"/>
    <w:multiLevelType w:val="singleLevel"/>
    <w:tmpl w:val="072184D4"/>
    <w:lvl w:ilvl="0" w:tentative="0">
      <w:start w:val="2"/>
      <w:numFmt w:val="chineseCounting"/>
      <w:suff w:val="space"/>
      <w:lvlText w:val="第%1部分"/>
      <w:lvlJc w:val="left"/>
      <w:rPr>
        <w:rFonts w:hint="eastAsia"/>
      </w:rPr>
    </w:lvl>
  </w:abstractNum>
  <w:abstractNum w:abstractNumId="7">
    <w:nsid w:val="5D8E4409"/>
    <w:multiLevelType w:val="singleLevel"/>
    <w:tmpl w:val="5D8E4409"/>
    <w:lvl w:ilvl="0" w:tentative="0">
      <w:start w:val="3"/>
      <w:numFmt w:val="chineseCounting"/>
      <w:suff w:val="nothing"/>
      <w:lvlText w:val="（%1）"/>
      <w:lvlJc w:val="left"/>
      <w:rPr>
        <w:rFonts w:hint="eastAsia"/>
      </w:rPr>
    </w:lvl>
  </w:abstractNum>
  <w:abstractNum w:abstractNumId="8">
    <w:nsid w:val="65F3A2E6"/>
    <w:multiLevelType w:val="singleLevel"/>
    <w:tmpl w:val="65F3A2E6"/>
    <w:lvl w:ilvl="0" w:tentative="0">
      <w:start w:val="1"/>
      <w:numFmt w:val="chineseCounting"/>
      <w:suff w:val="nothing"/>
      <w:lvlText w:val="（%1）"/>
      <w:lvlJc w:val="left"/>
      <w:pPr>
        <w:ind w:left="640" w:firstLine="0"/>
      </w:pPr>
      <w:rPr>
        <w:rFonts w:hint="eastAsia"/>
      </w:rPr>
    </w:lvl>
  </w:abstractNum>
  <w:abstractNum w:abstractNumId="9">
    <w:nsid w:val="78E51494"/>
    <w:multiLevelType w:val="singleLevel"/>
    <w:tmpl w:val="78E51494"/>
    <w:lvl w:ilvl="0" w:tentative="0">
      <w:start w:val="4"/>
      <w:numFmt w:val="chineseCounting"/>
      <w:suff w:val="nothing"/>
      <w:lvlText w:val="（%1）"/>
      <w:lvlJc w:val="left"/>
      <w:rPr>
        <w:rFonts w:hint="eastAsia"/>
      </w:rPr>
    </w:lvl>
  </w:abstractNum>
  <w:num w:numId="1">
    <w:abstractNumId w:val="8"/>
  </w:num>
  <w:num w:numId="2">
    <w:abstractNumId w:val="4"/>
  </w:num>
  <w:num w:numId="3">
    <w:abstractNumId w:val="7"/>
  </w:num>
  <w:num w:numId="4">
    <w:abstractNumId w:val="9"/>
  </w:num>
  <w:num w:numId="5">
    <w:abstractNumId w:val="1"/>
  </w:num>
  <w:num w:numId="6">
    <w:abstractNumId w:val="0"/>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8C2C11"/>
    <w:rsid w:val="00053276"/>
    <w:rsid w:val="00117751"/>
    <w:rsid w:val="00117B6C"/>
    <w:rsid w:val="001768A2"/>
    <w:rsid w:val="00181CFF"/>
    <w:rsid w:val="001E3DF5"/>
    <w:rsid w:val="00222728"/>
    <w:rsid w:val="00236F9A"/>
    <w:rsid w:val="003E1525"/>
    <w:rsid w:val="005A26AA"/>
    <w:rsid w:val="005E56C1"/>
    <w:rsid w:val="0063651C"/>
    <w:rsid w:val="00651619"/>
    <w:rsid w:val="006A45AB"/>
    <w:rsid w:val="008A190C"/>
    <w:rsid w:val="008A3339"/>
    <w:rsid w:val="008C2C11"/>
    <w:rsid w:val="00A41DBD"/>
    <w:rsid w:val="00BA5821"/>
    <w:rsid w:val="00BB649E"/>
    <w:rsid w:val="00C67A39"/>
    <w:rsid w:val="00C75E34"/>
    <w:rsid w:val="00C86ECC"/>
    <w:rsid w:val="00CE5344"/>
    <w:rsid w:val="00E15A09"/>
    <w:rsid w:val="00F8690E"/>
    <w:rsid w:val="06CA1566"/>
    <w:rsid w:val="06DE7D56"/>
    <w:rsid w:val="0F6B4355"/>
    <w:rsid w:val="191C7D18"/>
    <w:rsid w:val="1A194442"/>
    <w:rsid w:val="1AD32ABC"/>
    <w:rsid w:val="1CBD7D2E"/>
    <w:rsid w:val="1CFF68F4"/>
    <w:rsid w:val="20A03A46"/>
    <w:rsid w:val="21A32B83"/>
    <w:rsid w:val="24110F49"/>
    <w:rsid w:val="249D5B37"/>
    <w:rsid w:val="256640F4"/>
    <w:rsid w:val="27BF16B4"/>
    <w:rsid w:val="28546FC0"/>
    <w:rsid w:val="2AAC6377"/>
    <w:rsid w:val="2D97542A"/>
    <w:rsid w:val="2FE7105C"/>
    <w:rsid w:val="32C21411"/>
    <w:rsid w:val="35776221"/>
    <w:rsid w:val="373D475A"/>
    <w:rsid w:val="373F3050"/>
    <w:rsid w:val="3F0E700F"/>
    <w:rsid w:val="403C6604"/>
    <w:rsid w:val="4128254D"/>
    <w:rsid w:val="452408D9"/>
    <w:rsid w:val="47153A80"/>
    <w:rsid w:val="4A4273F5"/>
    <w:rsid w:val="4D7A636B"/>
    <w:rsid w:val="4E8423A4"/>
    <w:rsid w:val="4E8B1238"/>
    <w:rsid w:val="4FF4461E"/>
    <w:rsid w:val="501854BA"/>
    <w:rsid w:val="51241935"/>
    <w:rsid w:val="53147A40"/>
    <w:rsid w:val="54283BBD"/>
    <w:rsid w:val="5574205B"/>
    <w:rsid w:val="563C5B6F"/>
    <w:rsid w:val="58827E72"/>
    <w:rsid w:val="58F1632E"/>
    <w:rsid w:val="5E4C5812"/>
    <w:rsid w:val="5F5F4E5B"/>
    <w:rsid w:val="61CA1F99"/>
    <w:rsid w:val="62BB0239"/>
    <w:rsid w:val="636E7C04"/>
    <w:rsid w:val="665E4AEA"/>
    <w:rsid w:val="69901F0B"/>
    <w:rsid w:val="6C1A1E04"/>
    <w:rsid w:val="6D9D309E"/>
    <w:rsid w:val="6F172A4A"/>
    <w:rsid w:val="6FFF0435"/>
    <w:rsid w:val="709C6698"/>
    <w:rsid w:val="72E519EE"/>
    <w:rsid w:val="73FD2592"/>
    <w:rsid w:val="7775298B"/>
    <w:rsid w:val="7A2E40B5"/>
    <w:rsid w:val="7FEBAC30"/>
    <w:rsid w:val="7FFB17A7"/>
    <w:rsid w:val="FF3FE826"/>
    <w:rsid w:val="FFF69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i/>
      <w:iCs/>
      <w:sz w:val="24"/>
    </w:rPr>
  </w:style>
  <w:style w:type="paragraph" w:styleId="3">
    <w:name w:val="Body Text"/>
    <w:basedOn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List"/>
    <w:basedOn w:val="3"/>
    <w:qFormat/>
    <w:uiPriority w:val="0"/>
  </w:style>
  <w:style w:type="paragraph" w:styleId="7">
    <w:name w:val="Normal (Web)"/>
    <w:basedOn w:val="1"/>
    <w:unhideWhenUsed/>
    <w:qFormat/>
    <w:uiPriority w:val="99"/>
    <w:pPr>
      <w:widowControl/>
      <w:suppressAutoHyphens w:val="0"/>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默认段落字体1"/>
    <w:qFormat/>
    <w:uiPriority w:val="0"/>
  </w:style>
  <w:style w:type="paragraph" w:customStyle="1" w:styleId="12">
    <w:name w:val="Index"/>
    <w:basedOn w:val="1"/>
    <w:qFormat/>
    <w:uiPriority w:val="0"/>
    <w:pPr>
      <w:suppressLineNumbers/>
    </w:pPr>
  </w:style>
  <w:style w:type="paragraph" w:customStyle="1" w:styleId="13">
    <w:name w:val="Heading"/>
    <w:basedOn w:val="1"/>
    <w:next w:val="3"/>
    <w:qFormat/>
    <w:uiPriority w:val="0"/>
    <w:pPr>
      <w:keepNext/>
      <w:spacing w:before="240" w:after="120"/>
    </w:pPr>
    <w:rPr>
      <w:rFonts w:ascii="Liberation Sans" w:hAnsi="Liberation Sans" w:eastAsia="Noto Sans CJK SC Regular" w:cs="Noto Sans CJK SC Regular"/>
      <w:sz w:val="28"/>
      <w:szCs w:val="28"/>
    </w:rPr>
  </w:style>
  <w:style w:type="character" w:customStyle="1" w:styleId="14">
    <w:name w:val="页眉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441</Words>
  <Characters>2519</Characters>
  <Lines>20</Lines>
  <Paragraphs>5</Paragraphs>
  <TotalTime>1</TotalTime>
  <ScaleCrop>false</ScaleCrop>
  <LinksUpToDate>false</LinksUpToDate>
  <CharactersWithSpaces>2955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2022-01-12T04:07:00Z</dcterms:created>
  <dc:creator>user</dc:creator>
  <cp:lastModifiedBy>CCC</cp:lastModifiedBy>
  <cp:lastPrinted>2021-12-28T02:28:00Z</cp:lastPrinted>
  <dcterms:modified xsi:type="dcterms:W3CDTF">2025-03-12T02:26:41Z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E526E45A6CD74A7BA21D791750A3B485</vt:lpwstr>
  </property>
</Properties>
</file>