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黑体" w:hAnsi="黑体" w:eastAsia="黑体"/>
          <w:sz w:val="32"/>
          <w:szCs w:val="32"/>
        </w:rPr>
      </w:pPr>
      <w:bookmarkStart w:id="0" w:name="_GoBack"/>
      <w:bookmarkEnd w:id="0"/>
      <w:r>
        <w:rPr>
          <w:rFonts w:hint="eastAsia" w:ascii="黑体" w:hAnsi="黑体" w:eastAsia="黑体"/>
          <w:sz w:val="32"/>
          <w:szCs w:val="32"/>
        </w:rPr>
        <w:t>目 录</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第一部分 2022年度部门预算情况说明</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一、部门情况</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二、收入预算说明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三、支出预算说明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四、部门"三公"经费财政拨款预算说明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五、其他情况说明</w:t>
      </w:r>
    </w:p>
    <w:p>
      <w:pPr>
        <w:widowControl/>
        <w:numPr>
          <w:ilvl w:val="0"/>
          <w:numId w:val="1"/>
        </w:numPr>
        <w:spacing w:line="560" w:lineRule="exact"/>
        <w:ind w:left="640" w:firstLine="0" w:firstLineChars="0"/>
        <w:jc w:val="left"/>
        <w:rPr>
          <w:rFonts w:hint="eastAsia" w:ascii="仿宋_GB2312" w:hAnsi="仿宋" w:eastAsia="仿宋_GB2312"/>
          <w:sz w:val="32"/>
          <w:szCs w:val="32"/>
        </w:rPr>
      </w:pPr>
      <w:r>
        <w:rPr>
          <w:rFonts w:hint="eastAsia" w:ascii="仿宋_GB2312" w:hAnsi="仿宋" w:eastAsia="仿宋_GB2312"/>
          <w:sz w:val="32"/>
          <w:szCs w:val="32"/>
        </w:rPr>
        <w:t>部门政府采购预算说明</w:t>
      </w:r>
    </w:p>
    <w:p>
      <w:pPr>
        <w:widowControl/>
        <w:numPr>
          <w:ilvl w:val="0"/>
          <w:numId w:val="2"/>
        </w:numPr>
        <w:spacing w:line="560" w:lineRule="exact"/>
        <w:ind w:left="640" w:firstLine="0" w:firstLineChars="0"/>
        <w:jc w:val="left"/>
        <w:rPr>
          <w:rFonts w:hint="eastAsia" w:ascii="仿宋_GB2312" w:hAnsi="仿宋" w:eastAsia="仿宋_GB2312"/>
          <w:sz w:val="32"/>
          <w:szCs w:val="32"/>
        </w:rPr>
      </w:pPr>
      <w:r>
        <w:rPr>
          <w:rFonts w:hint="eastAsia" w:ascii="仿宋_GB2312" w:hAnsi="仿宋" w:eastAsia="仿宋_GB2312"/>
          <w:sz w:val="32"/>
          <w:szCs w:val="32"/>
        </w:rPr>
        <w:t>政府购买服务预算说明</w:t>
      </w:r>
    </w:p>
    <w:p>
      <w:pPr>
        <w:widowControl/>
        <w:numPr>
          <w:ilvl w:val="0"/>
          <w:numId w:val="3"/>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机关运行经费情况说明</w:t>
      </w:r>
    </w:p>
    <w:p>
      <w:pPr>
        <w:widowControl/>
        <w:numPr>
          <w:ilvl w:val="0"/>
          <w:numId w:val="4"/>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项目支出绩效目标情况说明</w:t>
      </w:r>
    </w:p>
    <w:p>
      <w:pPr>
        <w:widowControl/>
        <w:numPr>
          <w:ilvl w:val="0"/>
          <w:numId w:val="5"/>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重点行政事业性收费情况说明</w:t>
      </w:r>
    </w:p>
    <w:p>
      <w:pPr>
        <w:widowControl/>
        <w:numPr>
          <w:ilvl w:val="0"/>
          <w:numId w:val="6"/>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国有资本经营预算财政拨款情况说明</w:t>
      </w:r>
    </w:p>
    <w:p>
      <w:pPr>
        <w:widowControl/>
        <w:numPr>
          <w:ilvl w:val="0"/>
          <w:numId w:val="7"/>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固定资产占有使用情况说明</w:t>
      </w:r>
    </w:p>
    <w:p>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（八）其他事项说明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六、名词解释</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第二部</w:t>
      </w:r>
      <w:r>
        <w:rPr>
          <w:rFonts w:hint="eastAsia" w:ascii="仿宋_GB2312" w:hAnsi="仿宋" w:eastAsia="仿宋_GB2312"/>
          <w:sz w:val="32"/>
          <w:szCs w:val="32"/>
          <w:lang w:eastAsia="zh-CN"/>
        </w:rPr>
        <w:t>分</w:t>
      </w:r>
      <w:r>
        <w:rPr>
          <w:rFonts w:hint="eastAsia" w:ascii="仿宋_GB2312" w:hAnsi="仿宋" w:eastAsia="仿宋_GB2312"/>
          <w:sz w:val="32"/>
          <w:szCs w:val="32"/>
        </w:rPr>
        <w:t xml:space="preserve">  2022年部门预算报表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一、收支总表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二、收入总表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三、支出总表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四、项目支出表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五、政府采购预算明细表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六、财拨总表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七、一般公共预算财政拨款支出表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八、一般公共预算财政拨款基本支出表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九、政府性基金预算财政拨款支出表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十、国有资本经营预算财政拨款支出表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十一、三公经费支出表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十二、政府购买服务预算财政拨款明细表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十三、项目支出绩效表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十四、部门整体支出绩效目标申报表</w:t>
      </w:r>
    </w:p>
    <w:p>
      <w:pPr>
        <w:widowControl/>
        <w:spacing w:line="560" w:lineRule="exact"/>
        <w:jc w:val="left"/>
        <w:rPr>
          <w:rFonts w:hint="eastAsia" w:ascii="仿宋_GB2312" w:hAnsi="仿宋" w:eastAsia="仿宋_GB2312"/>
          <w:sz w:val="32"/>
          <w:szCs w:val="32"/>
        </w:rPr>
      </w:pPr>
    </w:p>
    <w:p>
      <w:pPr>
        <w:widowControl/>
        <w:adjustRightInd w:val="0"/>
        <w:spacing w:line="560" w:lineRule="exact"/>
        <w:jc w:val="center"/>
        <w:rPr>
          <w:rFonts w:hint="eastAsia" w:ascii="仿宋_GB2312" w:hAnsi="宋体" w:eastAsia="仿宋_GB2312" w:cs="宋体"/>
          <w:b/>
          <w:bCs/>
          <w:color w:val="000000"/>
          <w:spacing w:val="15"/>
          <w:kern w:val="0"/>
          <w:sz w:val="32"/>
          <w:szCs w:val="32"/>
        </w:rPr>
      </w:pPr>
      <w:r>
        <w:rPr>
          <w:rFonts w:hint="eastAsia" w:ascii="仿宋_GB2312" w:hAnsi="宋体" w:eastAsia="仿宋_GB2312" w:cs="宋体"/>
          <w:b/>
          <w:bCs/>
          <w:color w:val="000000"/>
          <w:spacing w:val="15"/>
          <w:kern w:val="0"/>
          <w:sz w:val="32"/>
          <w:szCs w:val="32"/>
        </w:rPr>
        <w:t>第一部分 2022年部门预算情况说明</w:t>
      </w:r>
    </w:p>
    <w:p>
      <w:pPr>
        <w:widowControl/>
        <w:adjustRightInd w:val="0"/>
        <w:spacing w:line="560" w:lineRule="exact"/>
        <w:jc w:val="center"/>
        <w:rPr>
          <w:rFonts w:hint="eastAsia" w:ascii="仿宋_GB2312" w:hAnsi="宋体" w:eastAsia="仿宋_GB2312" w:cs="宋体"/>
          <w:b/>
          <w:bCs/>
          <w:color w:val="000000"/>
          <w:spacing w:val="15"/>
          <w:kern w:val="0"/>
          <w:sz w:val="32"/>
          <w:szCs w:val="32"/>
        </w:rPr>
      </w:pPr>
    </w:p>
    <w:p>
      <w:pPr>
        <w:numPr>
          <w:ilvl w:val="0"/>
          <w:numId w:val="8"/>
        </w:numPr>
        <w:spacing w:line="560" w:lineRule="exact"/>
        <w:rPr>
          <w:rFonts w:hint="eastAsia" w:ascii="黑体" w:hAnsi="黑体" w:eastAsia="黑体" w:cs="黑体"/>
          <w:sz w:val="32"/>
          <w:szCs w:val="32"/>
        </w:rPr>
      </w:pPr>
      <w:r>
        <w:rPr>
          <w:rFonts w:hint="eastAsia" w:ascii="黑体" w:hAnsi="黑体" w:eastAsia="黑体" w:cs="黑体"/>
          <w:sz w:val="32"/>
          <w:szCs w:val="32"/>
        </w:rPr>
        <w:t>部门情况</w:t>
      </w:r>
    </w:p>
    <w:p>
      <w:pPr>
        <w:numPr>
          <w:ilvl w:val="0"/>
          <w:numId w:val="9"/>
        </w:num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部门机构设置、职责</w:t>
      </w:r>
    </w:p>
    <w:p>
      <w:pPr>
        <w:widowControl/>
        <w:spacing w:line="560" w:lineRule="exact"/>
        <w:ind w:left="1"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北京市丰台区北宫国家森林公园管理处职能主要为：</w:t>
      </w:r>
      <w:r>
        <w:rPr>
          <w:rFonts w:hint="eastAsia" w:ascii="仿宋_GB2312" w:hAnsi="仿宋" w:eastAsia="仿宋_GB2312"/>
          <w:sz w:val="32"/>
          <w:szCs w:val="32"/>
        </w:rPr>
        <w:t>负责北宫森林公园的建设和保护；景区旅游的服务和管理；景区社会治安和森林防火；森林病虫害防治；完成行政主管部门交办的其他工作</w:t>
      </w:r>
      <w:r>
        <w:rPr>
          <w:rFonts w:hint="eastAsia" w:ascii="仿宋_GB2312" w:hAnsi="宋体" w:eastAsia="仿宋_GB2312" w:cs="宋体"/>
          <w:color w:val="000000"/>
          <w:spacing w:val="15"/>
          <w:kern w:val="0"/>
          <w:sz w:val="32"/>
          <w:szCs w:val="32"/>
        </w:rPr>
        <w:t>。</w:t>
      </w:r>
      <w:r>
        <w:rPr>
          <w:rFonts w:hint="eastAsia" w:ascii="仿宋_GB2312" w:hAnsi="仿宋" w:eastAsia="仿宋_GB2312"/>
          <w:sz w:val="32"/>
          <w:szCs w:val="32"/>
        </w:rPr>
        <w:t>内设办公室、组织人事室、财务室、管理部、游客服务中心、绿化卫生部、安全防火部。</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（二）人员构成情况</w:t>
      </w:r>
    </w:p>
    <w:p>
      <w:pPr>
        <w:spacing w:line="560" w:lineRule="exact"/>
        <w:ind w:firstLine="700" w:firstLineChars="200"/>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北京市丰台区北宫国家森林公园管理处</w:t>
      </w:r>
      <w:r>
        <w:rPr>
          <w:rFonts w:hint="eastAsia" w:ascii="仿宋_GB2312" w:hAnsi="仿宋" w:eastAsia="仿宋_GB2312"/>
          <w:color w:val="000000"/>
          <w:sz w:val="32"/>
          <w:szCs w:val="32"/>
        </w:rPr>
        <w:t>是北京市丰台区园林绿化局所属事业单位，</w:t>
      </w:r>
      <w:r>
        <w:rPr>
          <w:rFonts w:hint="eastAsia" w:ascii="仿宋_GB2312" w:hAnsi="宋体" w:eastAsia="仿宋_GB2312" w:cs="宋体"/>
          <w:color w:val="000000"/>
          <w:spacing w:val="15"/>
          <w:kern w:val="0"/>
          <w:sz w:val="32"/>
          <w:szCs w:val="32"/>
        </w:rPr>
        <w:t>共有事业编制33人，实际</w:t>
      </w:r>
      <w:r>
        <w:rPr>
          <w:rFonts w:hint="eastAsia" w:ascii="仿宋_GB2312" w:hAnsi="宋体" w:eastAsia="仿宋_GB2312" w:cs="宋体"/>
          <w:color w:val="000000"/>
          <w:spacing w:val="15"/>
          <w:kern w:val="0"/>
          <w:sz w:val="32"/>
          <w:szCs w:val="32"/>
          <w:lang w:val="en-US" w:eastAsia="zh-CN"/>
        </w:rPr>
        <w:t>31</w:t>
      </w:r>
      <w:r>
        <w:rPr>
          <w:rFonts w:hint="eastAsia" w:ascii="仿宋_GB2312" w:hAnsi="宋体" w:eastAsia="仿宋_GB2312" w:cs="宋体"/>
          <w:color w:val="000000"/>
          <w:spacing w:val="15"/>
          <w:kern w:val="0"/>
          <w:sz w:val="32"/>
          <w:szCs w:val="32"/>
        </w:rPr>
        <w:t>人；离退休人员6人。</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w:t>
      </w:r>
      <w:r>
        <w:rPr>
          <w:rFonts w:ascii="楷体_GB2312" w:hAnsi="楷体_GB2312" w:eastAsia="楷体_GB2312" w:cs="楷体_GB2312"/>
          <w:color w:val="000000"/>
          <w:sz w:val="32"/>
          <w:szCs w:val="32"/>
        </w:rPr>
        <w:t>本预算年度的主要工作任务</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1、事业单位人员工资及日常运转经费；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2、事业单位人员保险、住房公积金和住房补贴；</w:t>
      </w:r>
    </w:p>
    <w:p>
      <w:pPr>
        <w:widowControl/>
        <w:adjustRightInd w:val="0"/>
        <w:spacing w:line="560" w:lineRule="exact"/>
        <w:ind w:firstLine="700" w:firstLineChars="200"/>
        <w:jc w:val="left"/>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rPr>
        <w:t>3、</w:t>
      </w:r>
      <w:r>
        <w:rPr>
          <w:rFonts w:hint="eastAsia" w:ascii="仿宋_GB2312" w:hAnsi="仿宋_GB2312" w:eastAsia="仿宋_GB2312" w:cs="仿宋_GB2312"/>
          <w:sz w:val="32"/>
          <w:szCs w:val="32"/>
        </w:rPr>
        <w:t>电费缴纳、卫生维护工作及其他维持机构运转的工作</w:t>
      </w:r>
      <w:r>
        <w:rPr>
          <w:rFonts w:hint="eastAsia" w:ascii="仿宋_GB2312" w:hAnsi="宋体" w:eastAsia="仿宋_GB2312" w:cs="宋体"/>
          <w:color w:val="000000"/>
          <w:spacing w:val="15"/>
          <w:kern w:val="0"/>
          <w:sz w:val="32"/>
          <w:szCs w:val="32"/>
          <w:lang w:val="en-US" w:eastAsia="zh-CN"/>
        </w:rPr>
        <w:t>,确保公园正常运转</w:t>
      </w:r>
      <w:r>
        <w:rPr>
          <w:rFonts w:hint="eastAsia" w:ascii="仿宋_GB2312" w:hAnsi="宋体" w:eastAsia="仿宋_GB2312" w:cs="宋体"/>
          <w:color w:val="000000"/>
          <w:spacing w:val="15"/>
          <w:kern w:val="0"/>
          <w:sz w:val="32"/>
          <w:szCs w:val="32"/>
        </w:rPr>
        <w:t>；</w:t>
      </w:r>
    </w:p>
    <w:p>
      <w:pPr>
        <w:widowControl/>
        <w:adjustRightInd w:val="0"/>
        <w:spacing w:line="560" w:lineRule="exact"/>
        <w:ind w:firstLine="700" w:firstLineChars="200"/>
        <w:jc w:val="left"/>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4</w:t>
      </w:r>
      <w:r>
        <w:rPr>
          <w:rFonts w:hint="eastAsia" w:ascii="仿宋_GB2312" w:hAnsi="宋体" w:eastAsia="仿宋_GB2312" w:cs="宋体"/>
          <w:color w:val="000000"/>
          <w:spacing w:val="15"/>
          <w:kern w:val="0"/>
          <w:sz w:val="32"/>
          <w:szCs w:val="32"/>
        </w:rPr>
        <w:t>、</w:t>
      </w:r>
      <w:r>
        <w:rPr>
          <w:rFonts w:hint="eastAsia" w:ascii="仿宋_GB2312" w:hAnsi="仿宋_GB2312" w:eastAsia="仿宋_GB2312" w:cs="仿宋_GB2312"/>
          <w:sz w:val="32"/>
          <w:szCs w:val="32"/>
        </w:rPr>
        <w:t>公园绿地内的园林树木、花卉、草坪、竹、地被等进行日常养护</w:t>
      </w:r>
      <w:r>
        <w:rPr>
          <w:rFonts w:hint="eastAsia" w:ascii="仿宋_GB2312" w:hAnsi="仿宋_GB2312" w:eastAsia="仿宋_GB2312" w:cs="仿宋_GB2312"/>
          <w:sz w:val="32"/>
          <w:szCs w:val="32"/>
          <w:lang w:eastAsia="zh-CN"/>
        </w:rPr>
        <w:t>工作</w:t>
      </w:r>
      <w:r>
        <w:rPr>
          <w:rFonts w:hint="eastAsia" w:ascii="仿宋_GB2312" w:hAnsi="宋体" w:eastAsia="仿宋_GB2312" w:cs="宋体"/>
          <w:color w:val="000000"/>
          <w:spacing w:val="15"/>
          <w:kern w:val="0"/>
          <w:sz w:val="32"/>
          <w:szCs w:val="32"/>
        </w:rPr>
        <w:t>；</w:t>
      </w:r>
    </w:p>
    <w:p>
      <w:pPr>
        <w:widowControl/>
        <w:adjustRightInd w:val="0"/>
        <w:spacing w:line="560" w:lineRule="exact"/>
        <w:ind w:firstLine="700" w:firstLineChars="200"/>
        <w:jc w:val="left"/>
        <w:rPr>
          <w:rFonts w:hint="eastAsia" w:ascii="仿宋_GB2312" w:hAnsi="仿宋_GB2312" w:eastAsia="仿宋_GB2312" w:cs="仿宋_GB2312"/>
          <w:sz w:val="32"/>
          <w:szCs w:val="32"/>
        </w:rPr>
      </w:pPr>
      <w:r>
        <w:rPr>
          <w:rFonts w:hint="eastAsia" w:ascii="仿宋_GB2312" w:hAnsi="宋体" w:eastAsia="仿宋_GB2312" w:cs="宋体"/>
          <w:color w:val="000000"/>
          <w:spacing w:val="15"/>
          <w:kern w:val="0"/>
          <w:sz w:val="32"/>
          <w:szCs w:val="32"/>
          <w:lang w:val="en-US" w:eastAsia="zh-CN"/>
        </w:rPr>
        <w:t>5</w:t>
      </w:r>
      <w:r>
        <w:rPr>
          <w:rFonts w:hint="eastAsia" w:ascii="仿宋_GB2312" w:hAnsi="宋体" w:eastAsia="仿宋_GB2312" w:cs="宋体"/>
          <w:color w:val="000000"/>
          <w:spacing w:val="15"/>
          <w:kern w:val="0"/>
          <w:sz w:val="32"/>
          <w:szCs w:val="32"/>
        </w:rPr>
        <w:t>、</w:t>
      </w:r>
      <w:r>
        <w:rPr>
          <w:rFonts w:hint="eastAsia" w:ascii="仿宋_GB2312" w:hAnsi="宋体" w:eastAsia="仿宋_GB2312" w:cs="宋体"/>
          <w:color w:val="000000"/>
          <w:spacing w:val="15"/>
          <w:kern w:val="0"/>
          <w:sz w:val="32"/>
          <w:szCs w:val="32"/>
          <w:lang w:val="en-US" w:eastAsia="zh-CN"/>
        </w:rPr>
        <w:t>园内</w:t>
      </w:r>
      <w:r>
        <w:rPr>
          <w:rFonts w:hint="eastAsia" w:ascii="仿宋_GB2312" w:hAnsi="仿宋_GB2312" w:eastAsia="仿宋_GB2312" w:cs="仿宋_GB2312"/>
          <w:sz w:val="32"/>
          <w:szCs w:val="32"/>
        </w:rPr>
        <w:t>基础设施</w:t>
      </w:r>
      <w:r>
        <w:rPr>
          <w:rFonts w:hint="eastAsia" w:ascii="仿宋_GB2312" w:hAnsi="仿宋_GB2312" w:eastAsia="仿宋_GB2312" w:cs="仿宋_GB2312"/>
          <w:sz w:val="32"/>
          <w:szCs w:val="32"/>
          <w:lang w:eastAsia="zh-CN"/>
        </w:rPr>
        <w:t>的维修</w:t>
      </w:r>
      <w:r>
        <w:rPr>
          <w:rFonts w:hint="eastAsia" w:ascii="仿宋_GB2312" w:hAnsi="仿宋_GB2312" w:eastAsia="仿宋_GB2312" w:cs="仿宋_GB2312"/>
          <w:sz w:val="32"/>
          <w:szCs w:val="32"/>
        </w:rPr>
        <w:t>维护工作</w:t>
      </w:r>
      <w:r>
        <w:rPr>
          <w:rFonts w:hint="eastAsia" w:ascii="仿宋_GB2312" w:hAnsi="宋体" w:eastAsia="仿宋_GB2312" w:cs="宋体"/>
          <w:color w:val="000000"/>
          <w:spacing w:val="15"/>
          <w:kern w:val="0"/>
          <w:sz w:val="32"/>
          <w:szCs w:val="32"/>
        </w:rPr>
        <w:t>；</w:t>
      </w:r>
    </w:p>
    <w:p>
      <w:pPr>
        <w:widowControl/>
        <w:adjustRightInd w:val="0"/>
        <w:spacing w:line="560" w:lineRule="exact"/>
        <w:ind w:firstLine="700" w:firstLineChars="200"/>
        <w:jc w:val="left"/>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6</w:t>
      </w:r>
      <w:r>
        <w:rPr>
          <w:rFonts w:hint="eastAsia" w:ascii="仿宋_GB2312" w:hAnsi="宋体" w:eastAsia="仿宋_GB2312" w:cs="宋体"/>
          <w:color w:val="000000"/>
          <w:spacing w:val="15"/>
          <w:kern w:val="0"/>
          <w:sz w:val="32"/>
          <w:szCs w:val="32"/>
        </w:rPr>
        <w:t>、</w:t>
      </w:r>
      <w:r>
        <w:rPr>
          <w:rFonts w:hint="eastAsia" w:ascii="仿宋_GB2312" w:hAnsi="宋体" w:eastAsia="仿宋_GB2312" w:cs="宋体"/>
          <w:color w:val="000000"/>
          <w:spacing w:val="15"/>
          <w:kern w:val="0"/>
          <w:sz w:val="32"/>
          <w:szCs w:val="32"/>
          <w:lang w:eastAsia="zh-CN"/>
        </w:rPr>
        <w:t>园内</w:t>
      </w:r>
      <w:r>
        <w:rPr>
          <w:rFonts w:hint="eastAsia" w:ascii="仿宋_GB2312" w:hAnsi="宋体" w:eastAsia="仿宋_GB2312" w:cs="宋体"/>
          <w:color w:val="000000"/>
          <w:spacing w:val="15"/>
          <w:kern w:val="0"/>
          <w:sz w:val="32"/>
          <w:szCs w:val="32"/>
        </w:rPr>
        <w:t>监控系统的</w:t>
      </w:r>
      <w:r>
        <w:rPr>
          <w:rFonts w:hint="eastAsia" w:ascii="仿宋_GB2312" w:hAnsi="宋体" w:eastAsia="仿宋_GB2312" w:cs="宋体"/>
          <w:color w:val="000000"/>
          <w:spacing w:val="15"/>
          <w:kern w:val="0"/>
          <w:sz w:val="32"/>
          <w:szCs w:val="32"/>
          <w:lang w:eastAsia="zh-CN"/>
        </w:rPr>
        <w:t>管理</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社会治安和森林防火</w:t>
      </w:r>
      <w:r>
        <w:rPr>
          <w:rFonts w:hint="eastAsia" w:ascii="仿宋_GB2312" w:hAnsi="宋体" w:eastAsia="仿宋_GB2312" w:cs="宋体"/>
          <w:color w:val="000000"/>
          <w:spacing w:val="15"/>
          <w:kern w:val="0"/>
          <w:sz w:val="32"/>
          <w:szCs w:val="32"/>
          <w:lang w:eastAsia="zh-CN"/>
        </w:rPr>
        <w:t>等方面的</w:t>
      </w:r>
      <w:r>
        <w:rPr>
          <w:rFonts w:hint="eastAsia" w:ascii="仿宋_GB2312" w:hAnsi="宋体" w:eastAsia="仿宋_GB2312" w:cs="宋体"/>
          <w:color w:val="000000"/>
          <w:spacing w:val="15"/>
          <w:kern w:val="0"/>
          <w:sz w:val="32"/>
          <w:szCs w:val="32"/>
        </w:rPr>
        <w:t>安全防护</w:t>
      </w:r>
      <w:r>
        <w:rPr>
          <w:rFonts w:hint="eastAsia" w:ascii="仿宋_GB2312" w:hAnsi="宋体" w:eastAsia="仿宋_GB2312" w:cs="宋体"/>
          <w:color w:val="000000"/>
          <w:spacing w:val="15"/>
          <w:kern w:val="0"/>
          <w:sz w:val="32"/>
          <w:szCs w:val="32"/>
          <w:lang w:eastAsia="zh-CN"/>
        </w:rPr>
        <w:t>工作</w:t>
      </w:r>
      <w:r>
        <w:rPr>
          <w:rFonts w:hint="eastAsia" w:ascii="仿宋_GB2312" w:hAnsi="宋体" w:eastAsia="仿宋_GB2312" w:cs="宋体"/>
          <w:color w:val="000000"/>
          <w:spacing w:val="15"/>
          <w:kern w:val="0"/>
          <w:sz w:val="32"/>
          <w:szCs w:val="32"/>
        </w:rPr>
        <w:t>；</w:t>
      </w:r>
    </w:p>
    <w:p>
      <w:pPr>
        <w:widowControl/>
        <w:adjustRightInd w:val="0"/>
        <w:spacing w:line="560" w:lineRule="exact"/>
        <w:ind w:firstLine="700" w:firstLineChars="200"/>
        <w:jc w:val="left"/>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7</w:t>
      </w:r>
      <w:r>
        <w:rPr>
          <w:rFonts w:hint="eastAsia" w:ascii="仿宋_GB2312" w:hAnsi="宋体" w:eastAsia="仿宋_GB2312" w:cs="宋体"/>
          <w:color w:val="000000"/>
          <w:spacing w:val="15"/>
          <w:kern w:val="0"/>
          <w:sz w:val="32"/>
          <w:szCs w:val="32"/>
        </w:rPr>
        <w:t>、</w:t>
      </w:r>
      <w:r>
        <w:rPr>
          <w:rFonts w:hint="eastAsia" w:ascii="仿宋_GB2312" w:hAnsi="宋体" w:eastAsia="仿宋_GB2312" w:cs="宋体"/>
          <w:color w:val="000000"/>
          <w:spacing w:val="15"/>
          <w:kern w:val="0"/>
          <w:sz w:val="32"/>
          <w:szCs w:val="32"/>
          <w:lang w:eastAsia="zh-CN"/>
        </w:rPr>
        <w:t>游客</w:t>
      </w:r>
      <w:r>
        <w:rPr>
          <w:rFonts w:hint="eastAsia" w:ascii="仿宋_GB2312" w:hAnsi="宋体" w:eastAsia="仿宋_GB2312" w:cs="宋体"/>
          <w:color w:val="000000"/>
          <w:spacing w:val="15"/>
          <w:kern w:val="0"/>
          <w:sz w:val="32"/>
          <w:szCs w:val="32"/>
        </w:rPr>
        <w:t>服务和管理</w:t>
      </w:r>
      <w:r>
        <w:rPr>
          <w:rFonts w:hint="eastAsia" w:ascii="仿宋_GB2312" w:hAnsi="宋体" w:eastAsia="仿宋_GB2312" w:cs="宋体"/>
          <w:color w:val="000000"/>
          <w:spacing w:val="15"/>
          <w:kern w:val="0"/>
          <w:sz w:val="32"/>
          <w:szCs w:val="32"/>
          <w:lang w:eastAsia="zh-CN"/>
        </w:rPr>
        <w:t>工作</w:t>
      </w:r>
      <w:r>
        <w:rPr>
          <w:rFonts w:hint="eastAsia" w:ascii="仿宋_GB2312" w:hAnsi="宋体" w:eastAsia="仿宋_GB2312" w:cs="宋体"/>
          <w:color w:val="000000"/>
          <w:spacing w:val="15"/>
          <w:kern w:val="0"/>
          <w:sz w:val="32"/>
          <w:szCs w:val="32"/>
        </w:rPr>
        <w:t>；</w:t>
      </w:r>
    </w:p>
    <w:p>
      <w:pPr>
        <w:tabs>
          <w:tab w:val="center" w:pos="6979"/>
        </w:tabs>
        <w:spacing w:line="580" w:lineRule="exact"/>
        <w:ind w:firstLine="700" w:firstLineChars="200"/>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lang w:val="en-US" w:eastAsia="zh-CN"/>
        </w:rPr>
        <w:t>8</w:t>
      </w:r>
      <w:r>
        <w:rPr>
          <w:rFonts w:hint="eastAsia" w:ascii="仿宋_GB2312" w:hAnsi="宋体" w:eastAsia="仿宋_GB2312" w:cs="宋体"/>
          <w:color w:val="000000"/>
          <w:spacing w:val="15"/>
          <w:kern w:val="0"/>
          <w:sz w:val="32"/>
          <w:szCs w:val="32"/>
        </w:rPr>
        <w:t>、</w:t>
      </w:r>
      <w:r>
        <w:rPr>
          <w:rFonts w:hint="eastAsia" w:ascii="仿宋_GB2312" w:hAnsi="仿宋_GB2312" w:eastAsia="仿宋_GB2312" w:cs="仿宋_GB2312"/>
          <w:sz w:val="32"/>
          <w:szCs w:val="32"/>
          <w:highlight w:val="none"/>
        </w:rPr>
        <w:t>园内</w:t>
      </w:r>
      <w:r>
        <w:rPr>
          <w:rFonts w:hint="eastAsia" w:ascii="仿宋_GB2312" w:hAnsi="仿宋_GB2312" w:eastAsia="仿宋_GB2312" w:cs="仿宋_GB2312"/>
          <w:sz w:val="32"/>
          <w:szCs w:val="32"/>
          <w:highlight w:val="none"/>
          <w:lang w:eastAsia="zh-CN"/>
        </w:rPr>
        <w:t>卫生保洁工作</w:t>
      </w:r>
      <w:r>
        <w:rPr>
          <w:rFonts w:hint="eastAsia" w:ascii="仿宋_GB2312" w:hAnsi="仿宋_GB2312" w:eastAsia="仿宋_GB2312" w:cs="仿宋_GB2312"/>
          <w:sz w:val="32"/>
          <w:szCs w:val="32"/>
          <w:highlight w:val="none"/>
        </w:rPr>
        <w:t>，定期清掏化粪池、清运垃圾，为游人提供安全、整洁、优美的游园环境</w:t>
      </w:r>
      <w:r>
        <w:rPr>
          <w:rFonts w:hint="eastAsia" w:ascii="仿宋_GB2312" w:hAnsi="宋体" w:eastAsia="仿宋_GB2312" w:cs="宋体"/>
          <w:color w:val="000000"/>
          <w:spacing w:val="15"/>
          <w:kern w:val="0"/>
          <w:sz w:val="32"/>
          <w:szCs w:val="32"/>
        </w:rPr>
        <w:t>。</w:t>
      </w:r>
    </w:p>
    <w:p>
      <w:pPr>
        <w:spacing w:line="560" w:lineRule="exact"/>
        <w:rPr>
          <w:rFonts w:ascii="黑体" w:hAnsi="黑体" w:eastAsia="黑体" w:cs="黑体"/>
          <w:sz w:val="32"/>
          <w:szCs w:val="32"/>
        </w:rPr>
      </w:pPr>
      <w:r>
        <w:rPr>
          <w:rFonts w:hint="eastAsia" w:ascii="楷体_GB2312" w:hAnsi="楷体_GB2312" w:eastAsia="楷体_GB2312" w:cs="楷体_GB2312"/>
          <w:color w:val="FF0000"/>
          <w:sz w:val="32"/>
          <w:szCs w:val="32"/>
        </w:rPr>
        <w:t xml:space="preserve">   </w:t>
      </w:r>
      <w:r>
        <w:rPr>
          <w:rFonts w:ascii="黑体" w:hAnsi="黑体" w:eastAsia="黑体" w:cs="黑体"/>
          <w:sz w:val="32"/>
          <w:szCs w:val="32"/>
        </w:rPr>
        <w:t>二、收入预算说明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2022年收入预算</w:t>
      </w:r>
      <w:r>
        <w:rPr>
          <w:rFonts w:hint="eastAsia" w:ascii="仿宋_GB2312" w:hAnsi="仿宋_GB2312" w:eastAsia="仿宋_GB2312" w:cs="仿宋_GB2312"/>
          <w:sz w:val="32"/>
          <w:szCs w:val="32"/>
        </w:rPr>
        <w:t>3384.324530</w:t>
      </w:r>
      <w:r>
        <w:rPr>
          <w:rFonts w:ascii="仿宋_GB2312" w:hAnsi="仿宋_GB2312" w:eastAsia="仿宋_GB2312" w:cs="仿宋_GB2312"/>
          <w:sz w:val="32"/>
          <w:szCs w:val="32"/>
        </w:rPr>
        <w:t>万元</w:t>
      </w:r>
      <w:r>
        <w:rPr>
          <w:rFonts w:ascii="仿宋_GB2312" w:hAnsi="仿宋_GB2312" w:eastAsia="仿宋_GB2312" w:cs="仿宋_GB2312"/>
          <w:color w:val="000000"/>
          <w:sz w:val="32"/>
          <w:szCs w:val="32"/>
        </w:rPr>
        <w:t>，比2021年</w:t>
      </w:r>
      <w:r>
        <w:rPr>
          <w:rFonts w:hint="eastAsia" w:ascii="仿宋_GB2312" w:hAnsi="仿宋_GB2312" w:eastAsia="仿宋_GB2312" w:cs="仿宋_GB2312"/>
          <w:color w:val="000000"/>
          <w:sz w:val="32"/>
          <w:szCs w:val="32"/>
        </w:rPr>
        <w:t>3677.7315</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rPr>
        <w:t>减少293.40697</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rPr>
        <w:t>减少8.67%。</w:t>
      </w:r>
      <w:r>
        <w:rPr>
          <w:rFonts w:ascii="仿宋_GB2312" w:hAnsi="仿宋_GB2312" w:eastAsia="仿宋_GB2312" w:cs="仿宋_GB2312"/>
          <w:color w:val="000000"/>
          <w:sz w:val="32"/>
          <w:szCs w:val="32"/>
        </w:rPr>
        <w:t>其中：本年财政拨款收入</w:t>
      </w:r>
      <w:r>
        <w:rPr>
          <w:rFonts w:hint="eastAsia" w:ascii="仿宋_GB2312" w:hAnsi="仿宋_GB2312" w:eastAsia="仿宋_GB2312" w:cs="仿宋_GB2312"/>
          <w:color w:val="000000"/>
          <w:sz w:val="32"/>
          <w:szCs w:val="32"/>
        </w:rPr>
        <w:t>2954.32453</w:t>
      </w:r>
      <w:r>
        <w:rPr>
          <w:rFonts w:ascii="仿宋_GB2312" w:hAnsi="仿宋_GB2312" w:eastAsia="仿宋_GB2312" w:cs="仿宋_GB2312"/>
          <w:color w:val="000000"/>
          <w:sz w:val="32"/>
          <w:szCs w:val="32"/>
        </w:rPr>
        <w:t>万元,比2021年</w:t>
      </w:r>
      <w:r>
        <w:rPr>
          <w:rFonts w:hint="eastAsia" w:ascii="仿宋_GB2312" w:hAnsi="仿宋_GB2312" w:eastAsia="仿宋_GB2312" w:cs="仿宋_GB2312"/>
          <w:color w:val="000000"/>
          <w:sz w:val="32"/>
          <w:szCs w:val="32"/>
        </w:rPr>
        <w:t>减少243.40697</w:t>
      </w:r>
      <w:r>
        <w:rPr>
          <w:rFonts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rPr>
        <w:t>，减少8.24%。</w:t>
      </w:r>
      <w:r>
        <w:rPr>
          <w:rFonts w:ascii="仿宋_GB2312" w:hAnsi="仿宋_GB2312" w:eastAsia="仿宋_GB2312" w:cs="仿宋_GB2312"/>
          <w:color w:val="000000"/>
          <w:sz w:val="32"/>
          <w:szCs w:val="32"/>
        </w:rPr>
        <w:t>其他资金收</w:t>
      </w:r>
      <w:r>
        <w:rPr>
          <w:rFonts w:ascii="仿宋_GB2312" w:hAnsi="仿宋_GB2312" w:eastAsia="仿宋_GB2312" w:cs="仿宋_GB2312"/>
          <w:sz w:val="32"/>
          <w:szCs w:val="32"/>
        </w:rPr>
        <w:t>入</w:t>
      </w:r>
      <w:r>
        <w:rPr>
          <w:rFonts w:hint="eastAsia" w:ascii="仿宋_GB2312" w:hAnsi="仿宋_GB2312" w:eastAsia="仿宋_GB2312" w:cs="仿宋_GB2312"/>
          <w:sz w:val="32"/>
          <w:szCs w:val="32"/>
        </w:rPr>
        <w:t>430</w:t>
      </w:r>
      <w:r>
        <w:rPr>
          <w:rFonts w:ascii="仿宋_GB2312" w:hAnsi="仿宋_GB2312" w:eastAsia="仿宋_GB2312" w:cs="仿宋_GB2312"/>
          <w:sz w:val="32"/>
          <w:szCs w:val="32"/>
        </w:rPr>
        <w:t>万元,比2021减少</w:t>
      </w:r>
      <w:r>
        <w:rPr>
          <w:rFonts w:hint="eastAsia" w:ascii="仿宋_GB2312" w:hAnsi="仿宋_GB2312" w:eastAsia="仿宋_GB2312" w:cs="仿宋_GB2312"/>
          <w:sz w:val="32"/>
          <w:szCs w:val="32"/>
        </w:rPr>
        <w:t>50</w:t>
      </w:r>
      <w:r>
        <w:rPr>
          <w:rFonts w:ascii="仿宋_GB2312" w:hAnsi="仿宋_GB2312" w:eastAsia="仿宋_GB2312" w:cs="仿宋_GB2312"/>
          <w:sz w:val="32"/>
          <w:szCs w:val="32"/>
        </w:rPr>
        <w:t>万元；上年结转结余资金</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万元,比2021年</w:t>
      </w:r>
      <w:r>
        <w:rPr>
          <w:rFonts w:hint="eastAsia" w:ascii="仿宋_GB2312" w:hAnsi="仿宋_GB2312" w:eastAsia="仿宋_GB2312" w:cs="仿宋_GB2312"/>
          <w:sz w:val="32"/>
          <w:szCs w:val="32"/>
        </w:rPr>
        <w:t>180</w:t>
      </w:r>
      <w:r>
        <w:rPr>
          <w:rFonts w:ascii="仿宋_GB2312" w:hAnsi="仿宋_GB2312" w:eastAsia="仿宋_GB2312" w:cs="仿宋_GB2312"/>
          <w:sz w:val="32"/>
          <w:szCs w:val="32"/>
        </w:rPr>
        <w:t>万元减少</w:t>
      </w:r>
      <w:r>
        <w:rPr>
          <w:rFonts w:hint="eastAsia" w:ascii="仿宋_GB2312" w:hAnsi="仿宋_GB2312" w:eastAsia="仿宋_GB2312" w:cs="仿宋_GB2312"/>
          <w:sz w:val="32"/>
          <w:szCs w:val="32"/>
        </w:rPr>
        <w:t>180</w:t>
      </w:r>
      <w:r>
        <w:rPr>
          <w:rFonts w:ascii="仿宋_GB2312" w:hAnsi="仿宋_GB2312" w:eastAsia="仿宋_GB2312" w:cs="仿宋_GB2312"/>
          <w:sz w:val="32"/>
          <w:szCs w:val="32"/>
        </w:rPr>
        <w:t>万元。</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三、支出预算说明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（一）基本支出预算</w:t>
      </w:r>
      <w:r>
        <w:rPr>
          <w:rFonts w:hint="eastAsia" w:ascii="仿宋_GB2312" w:hAnsi="仿宋_GB2312" w:eastAsia="仿宋_GB2312" w:cs="仿宋_GB2312"/>
          <w:sz w:val="32"/>
          <w:szCs w:val="32"/>
        </w:rPr>
        <w:t>899.47853</w:t>
      </w:r>
      <w:r>
        <w:rPr>
          <w:rFonts w:ascii="仿宋_GB2312" w:hAnsi="仿宋_GB2312" w:eastAsia="仿宋_GB2312" w:cs="仿宋_GB2312"/>
          <w:sz w:val="32"/>
          <w:szCs w:val="32"/>
        </w:rPr>
        <w:t>万元，占总支出预算</w:t>
      </w:r>
      <w:r>
        <w:rPr>
          <w:rFonts w:hint="eastAsia" w:ascii="仿宋_GB2312" w:hAnsi="仿宋_GB2312" w:eastAsia="仿宋_GB2312" w:cs="仿宋_GB2312"/>
          <w:sz w:val="32"/>
          <w:szCs w:val="32"/>
        </w:rPr>
        <w:t>26.58</w:t>
      </w:r>
      <w:r>
        <w:rPr>
          <w:rFonts w:ascii="仿宋_GB2312" w:hAnsi="仿宋_GB2312" w:eastAsia="仿宋_GB2312" w:cs="仿宋_GB2312"/>
          <w:sz w:val="32"/>
          <w:szCs w:val="32"/>
        </w:rPr>
        <w:t>%，比2021年</w:t>
      </w:r>
      <w:r>
        <w:rPr>
          <w:rFonts w:hint="eastAsia" w:ascii="仿宋_GB2312" w:hAnsi="仿宋_GB2312" w:eastAsia="仿宋_GB2312" w:cs="仿宋_GB2312"/>
          <w:sz w:val="32"/>
          <w:szCs w:val="32"/>
        </w:rPr>
        <w:t>1010.1575</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减少110.67897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减少12.30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我单位2021年度有退休人员1名，在职人数减少。</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szCs w:val="32"/>
        </w:rPr>
        <w:t>（二）项目支出预算</w:t>
      </w:r>
      <w:r>
        <w:rPr>
          <w:rFonts w:hint="eastAsia" w:ascii="仿宋_GB2312" w:hAnsi="仿宋_GB2312" w:eastAsia="仿宋_GB2312" w:cs="仿宋_GB2312"/>
          <w:sz w:val="32"/>
          <w:szCs w:val="32"/>
        </w:rPr>
        <w:t>2440.646</w:t>
      </w:r>
      <w:r>
        <w:rPr>
          <w:rFonts w:ascii="仿宋_GB2312" w:hAnsi="仿宋_GB2312" w:eastAsia="仿宋_GB2312" w:cs="仿宋_GB2312"/>
          <w:sz w:val="32"/>
          <w:szCs w:val="32"/>
        </w:rPr>
        <w:t>万元，比2021年</w:t>
      </w:r>
      <w:r>
        <w:rPr>
          <w:rFonts w:hint="eastAsia" w:ascii="仿宋_GB2312" w:hAnsi="仿宋_GB2312" w:eastAsia="仿宋_GB2312" w:cs="仿宋_GB2312"/>
          <w:sz w:val="32"/>
          <w:szCs w:val="32"/>
        </w:rPr>
        <w:t>2847.574</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减少406.928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减少16.67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本年度项目数量减少，</w:t>
      </w:r>
      <w:r>
        <w:rPr>
          <w:rFonts w:ascii="仿宋_GB2312" w:hAnsi="仿宋_GB2312" w:eastAsia="仿宋_GB2312" w:cs="仿宋_GB2312"/>
          <w:color w:val="000000"/>
          <w:sz w:val="32"/>
          <w:szCs w:val="32"/>
        </w:rPr>
        <w:t>部门预算项目主要为</w:t>
      </w:r>
      <w:r>
        <w:rPr>
          <w:rFonts w:hint="eastAsia" w:ascii="仿宋_GB2312" w:hAnsi="仿宋_GB2312" w:eastAsia="仿宋_GB2312" w:cs="仿宋_GB2312"/>
          <w:color w:val="000000"/>
          <w:sz w:val="32"/>
          <w:szCs w:val="32"/>
        </w:rPr>
        <w:t>绿地养护、设施维护、滑坡修复、三节与日常经营经费</w:t>
      </w:r>
      <w:r>
        <w:rPr>
          <w:rFonts w:ascii="仿宋_GB2312" w:hAnsi="仿宋_GB2312" w:eastAsia="仿宋_GB2312" w:cs="仿宋_GB2312"/>
          <w:color w:val="000000"/>
          <w:sz w:val="32"/>
          <w:szCs w:val="32"/>
        </w:rPr>
        <w:t>等。</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（三）事业单位经营支出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（四）上缴上级支出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（五）对附属单位补助支出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四、部门"三公"经费财政拨款预算说明</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（一）"三公经费"的单位范围</w:t>
      </w:r>
    </w:p>
    <w:p>
      <w:pPr>
        <w:ind w:firstLine="640" w:firstLineChars="200"/>
        <w:rPr>
          <w:rFonts w:hint="eastAsia" w:ascii="仿宋_GB2312" w:eastAsia="仿宋_GB2312"/>
          <w:sz w:val="32"/>
          <w:szCs w:val="32"/>
        </w:rPr>
      </w:pPr>
      <w:r>
        <w:rPr>
          <w:rFonts w:hint="eastAsia" w:ascii="仿宋_GB2312" w:eastAsia="仿宋_GB2312"/>
          <w:sz w:val="32"/>
          <w:szCs w:val="32"/>
        </w:rPr>
        <w:t>北京市丰台区北宫国家森林公园管理处</w:t>
      </w:r>
      <w:r>
        <w:rPr>
          <w:rFonts w:hint="eastAsia" w:ascii="仿宋_GB2312" w:eastAsia="仿宋_GB2312"/>
          <w:sz w:val="32"/>
          <w:szCs w:val="32"/>
          <w:lang w:eastAsia="zh-CN"/>
        </w:rPr>
        <w:t>“三公”经费</w:t>
      </w:r>
      <w:r>
        <w:rPr>
          <w:rFonts w:hint="eastAsia" w:ascii="仿宋_GB2312" w:eastAsia="仿宋_GB2312"/>
          <w:sz w:val="32"/>
          <w:szCs w:val="32"/>
        </w:rPr>
        <w:t>支出包括：1、因公出国（境）费用；2、公务接待费；3、公务用车购置和运行维护费。</w:t>
      </w:r>
    </w:p>
    <w:p>
      <w:pPr>
        <w:numPr>
          <w:ilvl w:val="0"/>
          <w:numId w:val="10"/>
        </w:num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"三公经费"财政拨款情况说明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2022年"三公经费"财政拨款预算</w:t>
      </w:r>
      <w:r>
        <w:rPr>
          <w:rFonts w:hint="eastAsia" w:ascii="仿宋_GB2312" w:hAnsi="仿宋_GB2312" w:eastAsia="仿宋_GB2312" w:cs="仿宋_GB2312"/>
          <w:sz w:val="32"/>
          <w:szCs w:val="32"/>
        </w:rPr>
        <w:t>3.6</w:t>
      </w:r>
      <w:r>
        <w:rPr>
          <w:rFonts w:ascii="仿宋_GB2312" w:hAnsi="仿宋_GB2312" w:eastAsia="仿宋_GB2312" w:cs="仿宋_GB2312"/>
          <w:sz w:val="32"/>
          <w:szCs w:val="32"/>
        </w:rPr>
        <w:t>万元，比2021年"三公经费"财政拨款预算减少</w:t>
      </w:r>
      <w:r>
        <w:rPr>
          <w:rFonts w:hint="eastAsia" w:ascii="仿宋_GB2312" w:hAnsi="仿宋_GB2312" w:eastAsia="仿宋_GB2312" w:cs="仿宋_GB2312"/>
          <w:sz w:val="32"/>
          <w:szCs w:val="32"/>
        </w:rPr>
        <w:t>4.2769</w:t>
      </w:r>
      <w:r>
        <w:rPr>
          <w:rFonts w:ascii="仿宋_GB2312" w:hAnsi="仿宋_GB2312" w:eastAsia="仿宋_GB2312" w:cs="仿宋_GB2312"/>
          <w:sz w:val="32"/>
          <w:szCs w:val="32"/>
        </w:rPr>
        <w:t>万元。其中：</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1.因公出国（境）</w:t>
      </w:r>
      <w:r>
        <w:rPr>
          <w:rFonts w:hint="eastAsia" w:ascii="仿宋_GB2312" w:hAnsi="仿宋_GB2312" w:eastAsia="仿宋_GB2312" w:cs="仿宋_GB2312"/>
          <w:sz w:val="32"/>
          <w:szCs w:val="32"/>
        </w:rPr>
        <w:t>2021、2022年度均无</w:t>
      </w:r>
      <w:r>
        <w:rPr>
          <w:rFonts w:ascii="仿宋_GB2312" w:hAnsi="仿宋_GB2312" w:eastAsia="仿宋_GB2312" w:cs="仿宋_GB2312"/>
          <w:sz w:val="32"/>
          <w:szCs w:val="32"/>
        </w:rPr>
        <w:t>费用。</w:t>
      </w:r>
    </w:p>
    <w:p>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sz w:val="32"/>
          <w:szCs w:val="32"/>
        </w:rPr>
        <w:t>2.公务接待费。2022年预算数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万元，比2021年预算数</w:t>
      </w:r>
      <w:r>
        <w:rPr>
          <w:rFonts w:hint="eastAsia" w:ascii="仿宋_GB2312" w:hAnsi="仿宋_GB2312" w:eastAsia="仿宋_GB2312" w:cs="仿宋_GB2312"/>
          <w:sz w:val="32"/>
          <w:szCs w:val="32"/>
        </w:rPr>
        <w:t>2.4769</w:t>
      </w:r>
      <w:r>
        <w:rPr>
          <w:rFonts w:ascii="仿宋_GB2312" w:hAnsi="仿宋_GB2312" w:eastAsia="仿宋_GB2312" w:cs="仿宋_GB2312"/>
          <w:sz w:val="32"/>
          <w:szCs w:val="32"/>
        </w:rPr>
        <w:t>万元减少</w:t>
      </w:r>
      <w:r>
        <w:rPr>
          <w:rFonts w:hint="eastAsia" w:ascii="仿宋_GB2312" w:hAnsi="仿宋_GB2312" w:eastAsia="仿宋_GB2312" w:cs="仿宋_GB2312"/>
          <w:sz w:val="32"/>
          <w:szCs w:val="32"/>
        </w:rPr>
        <w:t>2.4769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rPr>
        <w:t>区财政加强管理，年初由区财政统一预留</w:t>
      </w:r>
      <w:r>
        <w:rPr>
          <w:rFonts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3.公务用车购置和运行维护费。2022年预算数</w:t>
      </w:r>
      <w:r>
        <w:rPr>
          <w:rFonts w:hint="eastAsia" w:ascii="仿宋_GB2312" w:hAnsi="仿宋_GB2312" w:eastAsia="仿宋_GB2312" w:cs="仿宋_GB2312"/>
          <w:sz w:val="32"/>
          <w:szCs w:val="32"/>
        </w:rPr>
        <w:t>3.6</w:t>
      </w:r>
      <w:r>
        <w:rPr>
          <w:rFonts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rPr>
        <w:t>2021、</w:t>
      </w:r>
      <w:r>
        <w:rPr>
          <w:rFonts w:ascii="仿宋_GB2312" w:hAnsi="仿宋_GB2312" w:eastAsia="仿宋_GB2312" w:cs="仿宋_GB2312"/>
          <w:sz w:val="32"/>
          <w:szCs w:val="32"/>
        </w:rPr>
        <w:t>2022年预算数</w:t>
      </w:r>
      <w:r>
        <w:rPr>
          <w:rFonts w:hint="eastAsia" w:ascii="仿宋_GB2312" w:hAnsi="仿宋_GB2312" w:eastAsia="仿宋_GB2312" w:cs="仿宋_GB2312"/>
          <w:sz w:val="32"/>
          <w:szCs w:val="32"/>
        </w:rPr>
        <w:t>均为0</w:t>
      </w:r>
      <w:r>
        <w:rPr>
          <w:rFonts w:ascii="仿宋_GB2312" w:hAnsi="仿宋_GB2312" w:eastAsia="仿宋_GB2312" w:cs="仿宋_GB2312"/>
          <w:sz w:val="32"/>
          <w:szCs w:val="32"/>
        </w:rPr>
        <w:t>万元；</w:t>
      </w:r>
      <w:r>
        <w:rPr>
          <w:rFonts w:ascii="仿宋_GB2312" w:hAnsi="仿宋_GB2312" w:eastAsia="仿宋_GB2312" w:cs="仿宋_GB2312"/>
          <w:color w:val="000000"/>
          <w:sz w:val="32"/>
          <w:szCs w:val="32"/>
        </w:rPr>
        <w:t>公务用车运行维护费2022年预算数</w:t>
      </w:r>
      <w:r>
        <w:rPr>
          <w:rFonts w:hint="eastAsia" w:ascii="仿宋_GB2312" w:hAnsi="仿宋_GB2312" w:eastAsia="仿宋_GB2312" w:cs="仿宋_GB2312"/>
          <w:color w:val="000000"/>
          <w:sz w:val="32"/>
          <w:szCs w:val="32"/>
        </w:rPr>
        <w:t>3.6</w:t>
      </w:r>
      <w:r>
        <w:rPr>
          <w:rFonts w:ascii="仿宋_GB2312" w:hAnsi="仿宋_GB2312" w:eastAsia="仿宋_GB2312" w:cs="仿宋_GB2312"/>
          <w:color w:val="000000"/>
          <w:sz w:val="32"/>
          <w:szCs w:val="32"/>
        </w:rPr>
        <w:t>万元。比2</w:t>
      </w:r>
      <w:r>
        <w:rPr>
          <w:rFonts w:ascii="仿宋_GB2312" w:hAnsi="仿宋_GB2312" w:eastAsia="仿宋_GB2312" w:cs="仿宋_GB2312"/>
          <w:sz w:val="32"/>
          <w:szCs w:val="32"/>
        </w:rPr>
        <w:t>021年预算数减少</w:t>
      </w:r>
      <w:r>
        <w:rPr>
          <w:rFonts w:hint="eastAsia" w:ascii="仿宋_GB2312" w:hAnsi="仿宋_GB2312" w:eastAsia="仿宋_GB2312" w:cs="仿宋_GB2312"/>
          <w:sz w:val="32"/>
          <w:szCs w:val="32"/>
        </w:rPr>
        <w:t>1.8</w:t>
      </w:r>
      <w:r>
        <w:rPr>
          <w:rFonts w:ascii="仿宋_GB2312" w:hAnsi="仿宋_GB2312" w:eastAsia="仿宋_GB2312" w:cs="仿宋_GB2312"/>
          <w:sz w:val="32"/>
          <w:szCs w:val="32"/>
        </w:rPr>
        <w:t>万元，</w:t>
      </w:r>
      <w:r>
        <w:rPr>
          <w:rFonts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rPr>
        <w:t>压缩公用开支</w:t>
      </w:r>
      <w:r>
        <w:rPr>
          <w:rFonts w:ascii="仿宋_GB2312" w:hAnsi="仿宋_GB2312" w:eastAsia="仿宋_GB2312" w:cs="仿宋_GB2312"/>
          <w:color w:val="000000"/>
          <w:sz w:val="32"/>
          <w:szCs w:val="32"/>
        </w:rPr>
        <w:t>。</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五、其他情况说明</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（一）部门政府采购预算说明</w:t>
      </w:r>
    </w:p>
    <w:p>
      <w:pPr>
        <w:spacing w:line="560" w:lineRule="exact"/>
        <w:rPr>
          <w:rFonts w:ascii="宋体" w:hAnsi="宋体" w:cs="宋体"/>
          <w:sz w:val="32"/>
          <w:szCs w:val="32"/>
        </w:rPr>
      </w:pPr>
      <w:r>
        <w:rPr>
          <w:rFonts w:ascii="宋体" w:hAnsi="宋体" w:cs="宋体"/>
          <w:sz w:val="32"/>
          <w:szCs w:val="32"/>
        </w:rPr>
        <w:t xml:space="preserve">   </w:t>
      </w:r>
      <w:r>
        <w:rPr>
          <w:rFonts w:ascii="仿宋_GB2312" w:hAnsi="仿宋_GB2312" w:eastAsia="仿宋_GB2312" w:cs="仿宋_GB2312"/>
          <w:sz w:val="32"/>
          <w:szCs w:val="32"/>
        </w:rPr>
        <w:t xml:space="preserve"> 2022年</w:t>
      </w:r>
      <w:r>
        <w:rPr>
          <w:rFonts w:hint="eastAsia" w:ascii="仿宋_GB2312" w:hAnsi="仿宋_GB2312" w:eastAsia="仿宋_GB2312" w:cs="仿宋_GB2312"/>
          <w:sz w:val="32"/>
          <w:szCs w:val="32"/>
        </w:rPr>
        <w:t>北京市丰台区北宫国家森林公园管理处</w:t>
      </w:r>
      <w:r>
        <w:rPr>
          <w:rFonts w:ascii="仿宋_GB2312" w:hAnsi="仿宋_GB2312" w:eastAsia="仿宋_GB2312" w:cs="仿宋_GB2312"/>
          <w:sz w:val="32"/>
          <w:szCs w:val="32"/>
        </w:rPr>
        <w:t>部门政府采购预算总额</w:t>
      </w:r>
      <w:r>
        <w:rPr>
          <w:rFonts w:hint="eastAsia" w:ascii="仿宋_GB2312" w:hAnsi="仿宋_GB2312" w:eastAsia="仿宋_GB2312" w:cs="仿宋_GB2312"/>
          <w:sz w:val="32"/>
          <w:szCs w:val="32"/>
        </w:rPr>
        <w:t>900</w:t>
      </w:r>
      <w:r>
        <w:rPr>
          <w:rFonts w:ascii="仿宋_GB2312" w:hAnsi="仿宋_GB2312" w:eastAsia="仿宋_GB2312" w:cs="仿宋_GB2312"/>
          <w:sz w:val="32"/>
          <w:szCs w:val="32"/>
        </w:rPr>
        <w:t>万元。</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（二）政府购买服务预算说明</w:t>
      </w:r>
    </w:p>
    <w:p>
      <w:pPr>
        <w:spacing w:line="560" w:lineRule="exact"/>
        <w:ind w:firstLine="640" w:firstLineChars="200"/>
        <w:rPr>
          <w:rFonts w:ascii="宋体" w:hAnsi="宋体" w:cs="宋体"/>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北京市丰台区北宫国家森林公园管理处</w:t>
      </w:r>
      <w:r>
        <w:rPr>
          <w:rFonts w:ascii="仿宋_GB2312" w:hAnsi="仿宋_GB2312" w:eastAsia="仿宋_GB2312" w:cs="仿宋_GB2312"/>
          <w:sz w:val="32"/>
          <w:szCs w:val="32"/>
        </w:rPr>
        <w:t>部门政府购买服务预算总额</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（三）机关运行经费情况说明</w:t>
      </w:r>
    </w:p>
    <w:p>
      <w:pPr>
        <w:spacing w:line="560" w:lineRule="exact"/>
        <w:ind w:firstLine="700" w:firstLineChars="200"/>
        <w:rPr>
          <w:rFonts w:ascii="楷体_GB2312" w:hAnsi="楷体_GB2312" w:eastAsia="楷体_GB2312" w:cs="楷体_GB2312"/>
          <w:sz w:val="32"/>
          <w:szCs w:val="32"/>
        </w:rPr>
      </w:pPr>
      <w:r>
        <w:rPr>
          <w:rFonts w:hint="eastAsia" w:ascii="仿宋_GB2312" w:hAnsi="宋体" w:eastAsia="仿宋_GB2312" w:cs="宋体"/>
          <w:color w:val="000000"/>
          <w:spacing w:val="15"/>
          <w:kern w:val="0"/>
          <w:sz w:val="32"/>
          <w:szCs w:val="32"/>
        </w:rPr>
        <w:t>2022年本部门（单位）属于公益一类全额拨款事业单位，未涉及机关运行经费。</w:t>
      </w:r>
    </w:p>
    <w:p>
      <w:pPr>
        <w:spacing w:line="560" w:lineRule="exact"/>
        <w:rPr>
          <w:rFonts w:ascii="宋体" w:hAnsi="宋体" w:cs="宋体"/>
          <w:sz w:val="32"/>
          <w:szCs w:val="32"/>
        </w:rPr>
      </w:pPr>
      <w:r>
        <w:rPr>
          <w:rFonts w:ascii="宋体" w:hAnsi="宋体" w:cs="宋体"/>
          <w:sz w:val="32"/>
          <w:szCs w:val="32"/>
        </w:rPr>
        <w:t xml:space="preserve">   </w:t>
      </w:r>
      <w:r>
        <w:rPr>
          <w:rFonts w:ascii="楷体_GB2312" w:hAnsi="楷体_GB2312" w:eastAsia="楷体_GB2312" w:cs="楷体_GB2312"/>
          <w:sz w:val="32"/>
          <w:szCs w:val="32"/>
        </w:rPr>
        <w:t xml:space="preserve">（四）项目支出绩效目标情况说明 </w:t>
      </w:r>
      <w:r>
        <w:rPr>
          <w:rFonts w:ascii="宋体" w:hAnsi="宋体" w:cs="宋体"/>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北京市丰台区北宫国家森林公园管理处</w:t>
      </w:r>
      <w:r>
        <w:rPr>
          <w:rFonts w:ascii="仿宋_GB2312" w:hAnsi="仿宋_GB2312" w:eastAsia="仿宋_GB2312" w:cs="仿宋_GB2312"/>
          <w:sz w:val="32"/>
          <w:szCs w:val="32"/>
        </w:rPr>
        <w:t>填报绩效目标的预算项目</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个，占全部预算项目</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个的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%。填报绩效目标的项目支出预算</w:t>
      </w:r>
      <w:r>
        <w:rPr>
          <w:rFonts w:hint="eastAsia" w:ascii="仿宋_GB2312" w:hAnsi="仿宋_GB2312" w:eastAsia="仿宋_GB2312" w:cs="仿宋_GB2312"/>
          <w:sz w:val="32"/>
          <w:szCs w:val="32"/>
        </w:rPr>
        <w:t>2484.846</w:t>
      </w:r>
      <w:r>
        <w:rPr>
          <w:rFonts w:ascii="仿宋_GB2312" w:hAnsi="仿宋_GB2312" w:eastAsia="仿宋_GB2312" w:cs="仿宋_GB2312"/>
          <w:sz w:val="32"/>
          <w:szCs w:val="32"/>
        </w:rPr>
        <w:t>万元，占本部门全部项目支出预算的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（五）重点行政事业性收费情况说明</w:t>
      </w:r>
    </w:p>
    <w:p>
      <w:pPr>
        <w:spacing w:line="560" w:lineRule="exact"/>
        <w:ind w:firstLine="700" w:firstLineChars="200"/>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2022年本单位未涉及行政事业性收费项目。</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（六）国有资本经营预算财政拨款情况说明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2022年本</w:t>
      </w:r>
      <w:r>
        <w:rPr>
          <w:rFonts w:hint="eastAsia" w:ascii="仿宋_GB2312" w:hAnsi="仿宋_GB2312" w:eastAsia="仿宋_GB2312" w:cs="仿宋_GB2312"/>
          <w:sz w:val="32"/>
          <w:szCs w:val="32"/>
          <w:highlight w:val="none"/>
          <w:lang w:val="en-US" w:eastAsia="zh-CN"/>
        </w:rPr>
        <w:t>单位</w:t>
      </w:r>
      <w:r>
        <w:rPr>
          <w:rFonts w:hint="default" w:ascii="仿宋_GB2312" w:hAnsi="仿宋_GB2312" w:eastAsia="仿宋_GB2312" w:cs="仿宋_GB2312"/>
          <w:sz w:val="32"/>
          <w:szCs w:val="32"/>
          <w:highlight w:val="none"/>
          <w:lang w:val="en-US" w:eastAsia="zh-CN"/>
        </w:rPr>
        <w:t>无国有资本经营预算财政拨款安排的预算</w:t>
      </w:r>
      <w:r>
        <w:rPr>
          <w:rFonts w:hint="eastAsia" w:ascii="仿宋_GB2312" w:hAnsi="仿宋_GB2312" w:eastAsia="仿宋_GB2312" w:cs="仿宋_GB2312"/>
          <w:sz w:val="32"/>
          <w:szCs w:val="32"/>
          <w:highlight w:val="none"/>
          <w:lang w:val="en-US" w:eastAsia="zh-CN"/>
        </w:rPr>
        <w:t>。</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（七）国有资产占有使用情况说明</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截止2021年底，本部门（包括各下属单位）固定资产总额</w:t>
      </w:r>
      <w:r>
        <w:rPr>
          <w:rFonts w:hint="eastAsia" w:ascii="仿宋_GB2312" w:hAnsi="仿宋_GB2312" w:eastAsia="仿宋_GB2312" w:cs="仿宋_GB2312"/>
          <w:color w:val="000000"/>
          <w:sz w:val="32"/>
          <w:szCs w:val="32"/>
        </w:rPr>
        <w:t>1448.282787</w:t>
      </w:r>
      <w:r>
        <w:rPr>
          <w:rFonts w:ascii="仿宋_GB2312" w:hAnsi="仿宋_GB2312" w:eastAsia="仿宋_GB2312" w:cs="仿宋_GB2312"/>
          <w:color w:val="000000"/>
          <w:sz w:val="32"/>
          <w:szCs w:val="32"/>
        </w:rPr>
        <w:t>万元，其中：车辆</w:t>
      </w: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台，</w:t>
      </w:r>
      <w:r>
        <w:rPr>
          <w:rFonts w:hint="eastAsia" w:ascii="仿宋_GB2312" w:hAnsi="仿宋_GB2312" w:eastAsia="仿宋_GB2312" w:cs="仿宋_GB2312"/>
          <w:color w:val="000000"/>
          <w:sz w:val="32"/>
          <w:szCs w:val="32"/>
        </w:rPr>
        <w:t>115.3262</w:t>
      </w:r>
      <w:r>
        <w:rPr>
          <w:rFonts w:ascii="仿宋_GB2312" w:hAnsi="仿宋_GB2312" w:eastAsia="仿宋_GB2312" w:cs="仿宋_GB2312"/>
          <w:color w:val="000000"/>
          <w:sz w:val="32"/>
          <w:szCs w:val="32"/>
        </w:rPr>
        <w:t>万元；单位价值50万元以上的通用设备</w:t>
      </w:r>
      <w:r>
        <w:rPr>
          <w:rFonts w:hint="eastAsia" w:ascii="仿宋_GB2312" w:hAnsi="仿宋_GB2312" w:eastAsia="仿宋_GB2312" w:cs="仿宋_GB2312"/>
          <w:color w:val="000000"/>
          <w:sz w:val="32"/>
          <w:szCs w:val="32"/>
        </w:rPr>
        <w:t>0</w:t>
      </w:r>
      <w:r>
        <w:rPr>
          <w:rFonts w:ascii="仿宋_GB2312" w:hAnsi="仿宋_GB2312" w:eastAsia="仿宋_GB2312" w:cs="仿宋_GB2312"/>
          <w:color w:val="000000"/>
          <w:sz w:val="32"/>
          <w:szCs w:val="32"/>
        </w:rPr>
        <w:t>台（套）、</w:t>
      </w:r>
      <w:r>
        <w:rPr>
          <w:rFonts w:hint="eastAsia" w:ascii="仿宋_GB2312" w:hAnsi="仿宋_GB2312" w:eastAsia="仿宋_GB2312" w:cs="仿宋_GB2312"/>
          <w:color w:val="000000"/>
          <w:sz w:val="32"/>
          <w:szCs w:val="32"/>
        </w:rPr>
        <w:t>0</w:t>
      </w:r>
      <w:r>
        <w:rPr>
          <w:rFonts w:ascii="仿宋_GB2312" w:hAnsi="仿宋_GB2312" w:eastAsia="仿宋_GB2312" w:cs="仿宋_GB2312"/>
          <w:color w:val="000000"/>
          <w:sz w:val="32"/>
          <w:szCs w:val="32"/>
        </w:rPr>
        <w:t>万元，单位价值100万元以上的专用设备</w:t>
      </w:r>
      <w:r>
        <w:rPr>
          <w:rFonts w:hint="eastAsia" w:ascii="仿宋_GB2312" w:hAnsi="仿宋_GB2312" w:eastAsia="仿宋_GB2312" w:cs="仿宋_GB2312"/>
          <w:color w:val="000000"/>
          <w:sz w:val="32"/>
          <w:szCs w:val="32"/>
        </w:rPr>
        <w:t>0</w:t>
      </w:r>
      <w:r>
        <w:rPr>
          <w:rFonts w:ascii="仿宋_GB2312" w:hAnsi="仿宋_GB2312" w:eastAsia="仿宋_GB2312" w:cs="仿宋_GB2312"/>
          <w:color w:val="000000"/>
          <w:sz w:val="32"/>
          <w:szCs w:val="32"/>
        </w:rPr>
        <w:t>台（套）、</w:t>
      </w:r>
      <w:r>
        <w:rPr>
          <w:rFonts w:hint="eastAsia" w:ascii="仿宋_GB2312" w:hAnsi="仿宋_GB2312" w:eastAsia="仿宋_GB2312" w:cs="仿宋_GB2312"/>
          <w:color w:val="000000"/>
          <w:sz w:val="32"/>
          <w:szCs w:val="32"/>
        </w:rPr>
        <w:t>0</w:t>
      </w:r>
      <w:r>
        <w:rPr>
          <w:rFonts w:ascii="仿宋_GB2312" w:hAnsi="仿宋_GB2312" w:eastAsia="仿宋_GB2312" w:cs="仿宋_GB2312"/>
          <w:color w:val="000000"/>
          <w:sz w:val="32"/>
          <w:szCs w:val="32"/>
        </w:rPr>
        <w:t>万元。</w:t>
      </w:r>
    </w:p>
    <w:p>
      <w:pPr>
        <w:numPr>
          <w:ilvl w:val="0"/>
          <w:numId w:val="11"/>
        </w:num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其他事项说明</w:t>
      </w:r>
    </w:p>
    <w:p>
      <w:pPr>
        <w:widowControl/>
        <w:adjustRightInd w:val="0"/>
        <w:spacing w:line="560" w:lineRule="exact"/>
        <w:ind w:firstLine="640" w:firstLineChars="200"/>
        <w:jc w:val="left"/>
        <w:rPr>
          <w:rFonts w:hint="eastAsia" w:ascii="仿宋_GB2312" w:hAnsi="宋体" w:eastAsia="仿宋_GB2312" w:cs="宋体"/>
          <w:color w:val="000000"/>
          <w:spacing w:val="15"/>
          <w:kern w:val="0"/>
          <w:sz w:val="32"/>
          <w:szCs w:val="32"/>
        </w:rPr>
      </w:pPr>
      <w:r>
        <w:rPr>
          <w:rFonts w:hint="eastAsia" w:ascii="楷体_GB2312" w:hAnsi="楷体_GB2312" w:eastAsia="楷体_GB2312" w:cs="楷体_GB2312"/>
          <w:sz w:val="32"/>
          <w:szCs w:val="32"/>
        </w:rPr>
        <w:t xml:space="preserve"> </w:t>
      </w:r>
      <w:r>
        <w:rPr>
          <w:rFonts w:hint="eastAsia" w:ascii="仿宋_GB2312" w:hAnsi="宋体" w:eastAsia="仿宋_GB2312" w:cs="宋体"/>
          <w:color w:val="000000"/>
          <w:spacing w:val="15"/>
          <w:kern w:val="0"/>
          <w:sz w:val="32"/>
          <w:szCs w:val="32"/>
        </w:rPr>
        <w:t>2022年财政未安排本单位政府性基金支出，所以政府性基金预算支出情况表为零。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名词解释</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一般公共预算：对以税收为主体的财政收入，安排用于保障和改善民生、推动经济社会发展、维护国家安全、维持国家机构正常运转等方面的收支预算。</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highlight w:val="none"/>
        </w:rPr>
        <w:t>“三公”经费：指因公出国（境）费、公务用车购置及运行维护费和公务接待费。其中，因公出国（境）费反映单位公务出国（境）的国际旅费、国外城市间交通费、住宿费、伙食费</w:t>
      </w:r>
      <w:r>
        <w:rPr>
          <w:rFonts w:hint="eastAsia" w:ascii="仿宋_GB2312" w:hAnsi="宋体" w:eastAsia="仿宋_GB2312" w:cs="宋体"/>
          <w:color w:val="000000"/>
          <w:spacing w:val="15"/>
          <w:kern w:val="0"/>
          <w:sz w:val="32"/>
          <w:szCs w:val="32"/>
        </w:rPr>
        <w:t>、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700" w:firstLineChars="200"/>
        <w:rPr>
          <w:rFonts w:hint="eastAsia" w:ascii="仿宋_GB2312" w:hAnsi="宋体" w:eastAsia="仿宋_GB2312" w:cs="宋体"/>
          <w:color w:val="000000"/>
          <w:spacing w:val="15"/>
          <w:kern w:val="0"/>
          <w:sz w:val="32"/>
          <w:szCs w:val="32"/>
        </w:rPr>
      </w:pPr>
    </w:p>
    <w:p>
      <w:pPr>
        <w:widowControl/>
        <w:numPr>
          <w:ilvl w:val="0"/>
          <w:numId w:val="12"/>
        </w:numPr>
        <w:adjustRightInd w:val="0"/>
        <w:spacing w:line="560" w:lineRule="exact"/>
        <w:ind w:firstLine="703" w:firstLineChars="200"/>
        <w:jc w:val="center"/>
        <w:rPr>
          <w:rFonts w:hint="eastAsia" w:ascii="仿宋_GB2312" w:hAnsi="宋体" w:eastAsia="仿宋_GB2312" w:cs="宋体"/>
          <w:b/>
          <w:bCs/>
          <w:color w:val="000000"/>
          <w:spacing w:val="15"/>
          <w:kern w:val="0"/>
          <w:sz w:val="32"/>
          <w:szCs w:val="32"/>
        </w:rPr>
      </w:pPr>
      <w:r>
        <w:rPr>
          <w:rFonts w:hint="eastAsia" w:ascii="仿宋_GB2312" w:hAnsi="宋体" w:eastAsia="仿宋_GB2312" w:cs="宋体"/>
          <w:b/>
          <w:bCs/>
          <w:color w:val="000000"/>
          <w:spacing w:val="15"/>
          <w:kern w:val="0"/>
          <w:sz w:val="32"/>
          <w:szCs w:val="32"/>
        </w:rPr>
        <w:t>2022年部门预算报表</w:t>
      </w:r>
    </w:p>
    <w:p>
      <w:pPr>
        <w:widowControl/>
        <w:adjustRightInd w:val="0"/>
        <w:spacing w:line="560" w:lineRule="exact"/>
        <w:jc w:val="left"/>
        <w:rPr>
          <w:rFonts w:hint="eastAsia" w:ascii="仿宋_GB2312" w:hAnsi="宋体" w:eastAsia="仿宋_GB2312" w:cs="宋体"/>
          <w:b/>
          <w:bCs/>
          <w:color w:val="000000"/>
          <w:spacing w:val="15"/>
          <w:kern w:val="0"/>
          <w:sz w:val="32"/>
          <w:szCs w:val="32"/>
        </w:rPr>
      </w:pPr>
    </w:p>
    <w:p>
      <w:pPr>
        <w:widowControl/>
        <w:adjustRightInd w:val="0"/>
        <w:spacing w:line="560" w:lineRule="exact"/>
        <w:ind w:firstLine="75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附件：北京市丰台区北宫国家森林公园管理处2022年部门预算报表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一、收支总表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二、收入总表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三、支出总表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四、项目支出表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五、政府采购预算明细表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六、财拨总表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七、一般公共预算财政拨款支出表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八、一般公共预算财政拨款基本支出表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九、政府性基金预算财政拨款支出表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十、国有资本经营预算财政拨款支出表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十一、三公经费支出表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十二、政府购买服务预算财政拨款明细表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十三、项目支出绩效表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十四、部门整体支出绩效目标申报表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1AFB7"/>
    <w:multiLevelType w:val="singleLevel"/>
    <w:tmpl w:val="B5D1AFB7"/>
    <w:lvl w:ilvl="0" w:tentative="0">
      <w:start w:val="6"/>
      <w:numFmt w:val="chineseCounting"/>
      <w:suff w:val="nothing"/>
      <w:lvlText w:val="（%1）"/>
      <w:lvlJc w:val="left"/>
      <w:rPr>
        <w:rFonts w:hint="eastAsia"/>
      </w:rPr>
    </w:lvl>
  </w:abstractNum>
  <w:abstractNum w:abstractNumId="1">
    <w:nsid w:val="B7460E44"/>
    <w:multiLevelType w:val="singleLevel"/>
    <w:tmpl w:val="B7460E44"/>
    <w:lvl w:ilvl="0" w:tentative="0">
      <w:start w:val="8"/>
      <w:numFmt w:val="chineseCounting"/>
      <w:suff w:val="nothing"/>
      <w:lvlText w:val="（%1）"/>
      <w:lvlJc w:val="left"/>
      <w:rPr>
        <w:rFonts w:hint="eastAsia"/>
      </w:rPr>
    </w:lvl>
  </w:abstractNum>
  <w:abstractNum w:abstractNumId="2">
    <w:nsid w:val="DBCD4573"/>
    <w:multiLevelType w:val="singleLevel"/>
    <w:tmpl w:val="DBCD4573"/>
    <w:lvl w:ilvl="0" w:tentative="0">
      <w:start w:val="5"/>
      <w:numFmt w:val="chineseCounting"/>
      <w:suff w:val="nothing"/>
      <w:lvlText w:val="（%1）"/>
      <w:lvlJc w:val="left"/>
      <w:rPr>
        <w:rFonts w:hint="eastAsia"/>
      </w:rPr>
    </w:lvl>
  </w:abstractNum>
  <w:abstractNum w:abstractNumId="3">
    <w:nsid w:val="E19E167F"/>
    <w:multiLevelType w:val="singleLevel"/>
    <w:tmpl w:val="E19E167F"/>
    <w:lvl w:ilvl="0" w:tentative="0">
      <w:start w:val="7"/>
      <w:numFmt w:val="chineseCounting"/>
      <w:suff w:val="nothing"/>
      <w:lvlText w:val="（%1）"/>
      <w:lvlJc w:val="left"/>
      <w:rPr>
        <w:rFonts w:hint="eastAsia"/>
      </w:rPr>
    </w:lvl>
  </w:abstractNum>
  <w:abstractNum w:abstractNumId="4">
    <w:nsid w:val="FC3118FD"/>
    <w:multiLevelType w:val="singleLevel"/>
    <w:tmpl w:val="FC3118FD"/>
    <w:lvl w:ilvl="0" w:tentative="0">
      <w:start w:val="2"/>
      <w:numFmt w:val="chineseCounting"/>
      <w:suff w:val="nothing"/>
      <w:lvlText w:val="（%1）"/>
      <w:lvlJc w:val="left"/>
      <w:pPr>
        <w:ind w:left="640" w:firstLine="0"/>
      </w:pPr>
      <w:rPr>
        <w:rFonts w:hint="eastAsia"/>
      </w:rPr>
    </w:lvl>
  </w:abstractNum>
  <w:abstractNum w:abstractNumId="5">
    <w:nsid w:val="072184D4"/>
    <w:multiLevelType w:val="singleLevel"/>
    <w:tmpl w:val="072184D4"/>
    <w:lvl w:ilvl="0" w:tentative="0">
      <w:start w:val="2"/>
      <w:numFmt w:val="chineseCounting"/>
      <w:suff w:val="space"/>
      <w:lvlText w:val="第%1部分"/>
      <w:lvlJc w:val="left"/>
      <w:rPr>
        <w:rFonts w:hint="eastAsia"/>
      </w:rPr>
    </w:lvl>
  </w:abstractNum>
  <w:abstractNum w:abstractNumId="6">
    <w:nsid w:val="19B603D6"/>
    <w:multiLevelType w:val="multilevel"/>
    <w:tmpl w:val="19B603D6"/>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DD128F2"/>
    <w:multiLevelType w:val="singleLevel"/>
    <w:tmpl w:val="2DD128F2"/>
    <w:lvl w:ilvl="0" w:tentative="0">
      <w:start w:val="2"/>
      <w:numFmt w:val="chineseCounting"/>
      <w:suff w:val="nothing"/>
      <w:lvlText w:val="（%1）"/>
      <w:lvlJc w:val="left"/>
      <w:rPr>
        <w:rFonts w:hint="eastAsia"/>
      </w:rPr>
    </w:lvl>
  </w:abstractNum>
  <w:abstractNum w:abstractNumId="8">
    <w:nsid w:val="3EE931BC"/>
    <w:multiLevelType w:val="multilevel"/>
    <w:tmpl w:val="3EE931BC"/>
    <w:lvl w:ilvl="0" w:tentative="0">
      <w:start w:val="1"/>
      <w:numFmt w:val="japaneseCounting"/>
      <w:lvlText w:val="%1、"/>
      <w:lvlJc w:val="left"/>
      <w:pPr>
        <w:ind w:left="1288"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5D8E4409"/>
    <w:multiLevelType w:val="singleLevel"/>
    <w:tmpl w:val="5D8E4409"/>
    <w:lvl w:ilvl="0" w:tentative="0">
      <w:start w:val="3"/>
      <w:numFmt w:val="chineseCounting"/>
      <w:suff w:val="nothing"/>
      <w:lvlText w:val="（%1）"/>
      <w:lvlJc w:val="left"/>
      <w:rPr>
        <w:rFonts w:hint="eastAsia"/>
      </w:rPr>
    </w:lvl>
  </w:abstractNum>
  <w:abstractNum w:abstractNumId="10">
    <w:nsid w:val="65F3A2E6"/>
    <w:multiLevelType w:val="singleLevel"/>
    <w:tmpl w:val="65F3A2E6"/>
    <w:lvl w:ilvl="0" w:tentative="0">
      <w:start w:val="1"/>
      <w:numFmt w:val="chineseCounting"/>
      <w:suff w:val="nothing"/>
      <w:lvlText w:val="（%1）"/>
      <w:lvlJc w:val="left"/>
      <w:pPr>
        <w:ind w:left="640" w:firstLine="0"/>
      </w:pPr>
      <w:rPr>
        <w:rFonts w:hint="eastAsia"/>
      </w:rPr>
    </w:lvl>
  </w:abstractNum>
  <w:abstractNum w:abstractNumId="11">
    <w:nsid w:val="78E51494"/>
    <w:multiLevelType w:val="singleLevel"/>
    <w:tmpl w:val="78E51494"/>
    <w:lvl w:ilvl="0" w:tentative="0">
      <w:start w:val="4"/>
      <w:numFmt w:val="chineseCounting"/>
      <w:suff w:val="nothing"/>
      <w:lvlText w:val="（%1）"/>
      <w:lvlJc w:val="left"/>
      <w:rPr>
        <w:rFonts w:hint="eastAsia"/>
      </w:rPr>
    </w:lvl>
  </w:abstractNum>
  <w:num w:numId="1">
    <w:abstractNumId w:val="10"/>
  </w:num>
  <w:num w:numId="2">
    <w:abstractNumId w:val="4"/>
  </w:num>
  <w:num w:numId="3">
    <w:abstractNumId w:val="9"/>
  </w:num>
  <w:num w:numId="4">
    <w:abstractNumId w:val="11"/>
  </w:num>
  <w:num w:numId="5">
    <w:abstractNumId w:val="2"/>
  </w:num>
  <w:num w:numId="6">
    <w:abstractNumId w:val="0"/>
  </w:num>
  <w:num w:numId="7">
    <w:abstractNumId w:val="3"/>
  </w:num>
  <w:num w:numId="8">
    <w:abstractNumId w:val="8"/>
  </w:num>
  <w:num w:numId="9">
    <w:abstractNumId w:val="6"/>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53136"/>
    <w:rsid w:val="02CD5A74"/>
    <w:rsid w:val="23E53136"/>
    <w:rsid w:val="36FCB0BA"/>
    <w:rsid w:val="3C9F4E83"/>
    <w:rsid w:val="3FF77DDE"/>
    <w:rsid w:val="599F146C"/>
    <w:rsid w:val="6F6F0A91"/>
    <w:rsid w:val="71F758F2"/>
    <w:rsid w:val="73EFA2CE"/>
    <w:rsid w:val="B9F49BC5"/>
    <w:rsid w:val="DFD4142A"/>
    <w:rsid w:val="F73D4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2022-01-15T13:20:00Z</dcterms:created>
  <dc:creator>uos</dc:creator>
  <cp:lastModifiedBy>CCC</cp:lastModifiedBy>
  <dcterms:modified xsi:type="dcterms:W3CDTF">2025-03-12T02:29:38Z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965C1810F6154C78A85286A72CDD1DA9</vt:lpwstr>
  </property>
</Properties>
</file>