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1ADF" w14:textId="77777777" w:rsidR="00A55252" w:rsidRDefault="00000000">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2024年部门预算情况说明</w:t>
      </w:r>
    </w:p>
    <w:p w14:paraId="1609C0AB" w14:textId="77777777" w:rsidR="00A55252" w:rsidRDefault="00A55252">
      <w:pPr>
        <w:spacing w:line="560" w:lineRule="exact"/>
        <w:jc w:val="center"/>
        <w:rPr>
          <w:rFonts w:ascii="宋体" w:hAnsi="宋体" w:cs="宋体"/>
          <w:sz w:val="32"/>
          <w:szCs w:val="32"/>
        </w:rPr>
      </w:pPr>
    </w:p>
    <w:p w14:paraId="0F3129EE" w14:textId="77777777" w:rsidR="00A55252" w:rsidRDefault="00000000">
      <w:pPr>
        <w:spacing w:line="560" w:lineRule="exact"/>
        <w:jc w:val="center"/>
        <w:rPr>
          <w:rFonts w:ascii="仿宋_GB2312" w:eastAsia="仿宋_GB2312" w:hAnsi="宋体" w:cs="宋体"/>
          <w:sz w:val="32"/>
          <w:szCs w:val="32"/>
        </w:rPr>
      </w:pPr>
      <w:r>
        <w:rPr>
          <w:rFonts w:ascii="仿宋_GB2312" w:eastAsia="仿宋_GB2312" w:hAnsi="宋体" w:cs="宋体" w:hint="eastAsia"/>
          <w:sz w:val="32"/>
          <w:szCs w:val="32"/>
        </w:rPr>
        <w:t>目录</w:t>
      </w:r>
    </w:p>
    <w:p w14:paraId="6C223FB6"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第一部分202</w:t>
      </w:r>
      <w:r>
        <w:rPr>
          <w:rFonts w:ascii="仿宋_GB2312" w:eastAsia="仿宋_GB2312" w:hAnsi="宋体" w:cs="宋体"/>
          <w:sz w:val="32"/>
          <w:szCs w:val="32"/>
        </w:rPr>
        <w:t>4</w:t>
      </w:r>
      <w:r>
        <w:rPr>
          <w:rFonts w:ascii="仿宋_GB2312" w:eastAsia="仿宋_GB2312" w:hAnsi="宋体" w:cs="宋体" w:hint="eastAsia"/>
          <w:sz w:val="32"/>
          <w:szCs w:val="32"/>
        </w:rPr>
        <w:t>年度部门预算情况说明</w:t>
      </w:r>
    </w:p>
    <w:p w14:paraId="78F3286B"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一、部门情况</w:t>
      </w:r>
    </w:p>
    <w:p w14:paraId="23628217"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二、收入预算说明</w:t>
      </w:r>
    </w:p>
    <w:p w14:paraId="15257184"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三、支出预算说明</w:t>
      </w:r>
    </w:p>
    <w:p w14:paraId="5880A187"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四、部门“三公”经费财政拨款预算说明</w:t>
      </w:r>
    </w:p>
    <w:p w14:paraId="59C1AA4F"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五、其他情况说明</w:t>
      </w:r>
    </w:p>
    <w:p w14:paraId="75AF729C"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（一）部门政府采购预算说明</w:t>
      </w:r>
    </w:p>
    <w:p w14:paraId="66CCC9AC"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（二）政府购买服务预算说明</w:t>
      </w:r>
    </w:p>
    <w:p w14:paraId="5961C731"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（三）机关运行经费情况说明</w:t>
      </w:r>
    </w:p>
    <w:p w14:paraId="1723785F"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（四）项目支出绩效目标情况说明</w:t>
      </w:r>
    </w:p>
    <w:p w14:paraId="46CD989F"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（五）重点行政事业性收费情况说明</w:t>
      </w:r>
    </w:p>
    <w:p w14:paraId="5864E9DF"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（六）国有资本经营预算财政拨款情况说明</w:t>
      </w:r>
    </w:p>
    <w:p w14:paraId="326CEF3F"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（七）固定资产占有使用情况说明</w:t>
      </w:r>
    </w:p>
    <w:p w14:paraId="1823188F"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（八）其他事项说明</w:t>
      </w:r>
    </w:p>
    <w:p w14:paraId="1571E32B"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六、名词解释</w:t>
      </w:r>
    </w:p>
    <w:p w14:paraId="4D24AB75" w14:textId="77777777" w:rsidR="00A55252" w:rsidRDefault="00000000">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第二部分202</w:t>
      </w:r>
      <w:r>
        <w:rPr>
          <w:rFonts w:ascii="仿宋_GB2312" w:eastAsia="仿宋_GB2312" w:hAnsi="宋体" w:cs="宋体"/>
          <w:sz w:val="32"/>
          <w:szCs w:val="32"/>
        </w:rPr>
        <w:t>4</w:t>
      </w:r>
      <w:r>
        <w:rPr>
          <w:rFonts w:ascii="仿宋_GB2312" w:eastAsia="仿宋_GB2312" w:hAnsi="宋体" w:cs="宋体" w:hint="eastAsia"/>
          <w:sz w:val="32"/>
          <w:szCs w:val="32"/>
        </w:rPr>
        <w:t>年部门预算报表</w:t>
      </w:r>
    </w:p>
    <w:p w14:paraId="12D2823F" w14:textId="77777777" w:rsidR="00A55252" w:rsidRDefault="00000000">
      <w:pPr>
        <w:spacing w:line="560" w:lineRule="exact"/>
        <w:jc w:val="center"/>
        <w:rPr>
          <w:rFonts w:ascii="方正小标宋简体" w:eastAsia="方正小标宋简体" w:hAnsi="宋体" w:cs="宋体"/>
          <w:sz w:val="36"/>
          <w:szCs w:val="36"/>
        </w:rPr>
      </w:pPr>
      <w:r>
        <w:rPr>
          <w:rFonts w:ascii="宋体" w:hAnsi="宋体" w:cs="宋体"/>
          <w:sz w:val="36"/>
          <w:szCs w:val="36"/>
        </w:rPr>
        <w:br w:type="page"/>
      </w:r>
      <w:r>
        <w:rPr>
          <w:rFonts w:ascii="方正小标宋简体" w:eastAsia="方正小标宋简体" w:hAnsi="宋体" w:cs="宋体" w:hint="eastAsia"/>
          <w:sz w:val="36"/>
          <w:szCs w:val="36"/>
        </w:rPr>
        <w:lastRenderedPageBreak/>
        <w:t>第一部分2024年度部门预算情况说明</w:t>
      </w:r>
    </w:p>
    <w:p w14:paraId="30DB5D17" w14:textId="77777777" w:rsidR="00A5525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一、部门情况</w:t>
      </w:r>
    </w:p>
    <w:p w14:paraId="6A8F09A7" w14:textId="77777777" w:rsidR="00A55252"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（一）部门机构设置、职责</w:t>
      </w:r>
    </w:p>
    <w:p w14:paraId="0C7244C1"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1.贯彻落实中央和市、区委关于党的组织工作和干部工作的路线、方针、政策及工作部署，根据区委要求，提出工作方案并组织实施。</w:t>
      </w:r>
    </w:p>
    <w:p w14:paraId="16C467F9"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2.负责研究和指导全区党的组织建设工作，加强对党的基层组织建设的指导；协调、规划、指导全区党员教育、管理和发展工作；组织、指导全区党组织建设教育工作。</w:t>
      </w:r>
    </w:p>
    <w:p w14:paraId="07D5765B"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负责区委关于全区党政领导班子建设和领导干部队伍特别是优秀年轻干部队伍建设、企业经营管理者队伍建设、科技干部队伍建设规划的组织落实和督促检查；负责全区干部工作的宏观管理和监督检查；负责研究提出党的组织制度和干部人事制度改革的意见并组织实施；负责全区党群机关参照国家公务员管理工作。</w:t>
      </w:r>
    </w:p>
    <w:p w14:paraId="232A2BB2"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负责提出区委管理的领导班子、领导干部的调整、配备的意见和建议；负责区委管理的领导班子和领导干部的考察、考核，办理干部任免、工资、奖惩、待遇、退（离）休审批手续；组织落实培养选拔后备干部和优秀中青年干部工作；指导处级领导班子思想作风建设；承办干部调配、交流、挂职及副团职以上军转干部安置工作；承办市、区双管单位领导班子、领导干部的协助管理工作。</w:t>
      </w:r>
    </w:p>
    <w:p w14:paraId="23DB0CB4"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5.负责综合协调、指导检查全区干部教育培训工作；制定全区干部教育规划和计划，组织区委管理的干部和优秀中</w:t>
      </w:r>
      <w:r>
        <w:rPr>
          <w:rFonts w:ascii="仿宋_GB2312" w:eastAsia="仿宋_GB2312" w:hAnsi="仿宋_GB2312" w:cs="仿宋_GB2312" w:hint="eastAsia"/>
          <w:sz w:val="32"/>
          <w:szCs w:val="32"/>
        </w:rPr>
        <w:lastRenderedPageBreak/>
        <w:t>青年干部以及组工干部的培训。</w:t>
      </w:r>
    </w:p>
    <w:p w14:paraId="25832258"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负责综合协调全区人才工作，参与制定全区人才工作的政策性规定；负责全区突出贡献人才、优秀青年人才、创新创业人才团队的选拔、奖励、培训和管理；负责全区思想政治工作人员专业职务的评审和继续教育培训工作；组织开展人才政治引领和政治吸纳工作。负责指导本区人才引进及人才配偶、子女的调京工作。指导北京市工作居住证制度的组织实施工作。</w:t>
      </w:r>
    </w:p>
    <w:p w14:paraId="32C9525A"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7.负责干部审查、干部监督和党内组织、干部工作有关法规、政策的监督检查工作；落实干部政策，受理党员、干部的申诉，负责党员、干部的举报和来信来访工作。</w:t>
      </w:r>
    </w:p>
    <w:p w14:paraId="70690C00"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8.负责全区干部统计、党组织和党员统计工作；负责全区干部档案管理工作的宏观指导和区委管理干部、部分区直机关单位的干部档案管理。</w:t>
      </w:r>
    </w:p>
    <w:p w14:paraId="08FE5CE1"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9.宏观指导、协调全区编制工作、老干部工作，按照《北京市丰台区机构改革方案》，统一管理区委编办、老干部局。</w:t>
      </w:r>
    </w:p>
    <w:p w14:paraId="213DE767"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统一管理公务员工作，对外加挂区公务员局牌子。调整后，区委组织部在公务员管理方面的主要职责是，研究拟订本区公务员管理相关规定并组织实施，统一管理本区公务员录用调配、考核奖惩、培训和工资福利等事务，落实公务员管理相关政策和制度，指导本区公务员队伍建设和绩效管理等。</w:t>
      </w:r>
    </w:p>
    <w:p w14:paraId="5EE30EB7"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11.承办区委和上级领导部门交办的其它任务。</w:t>
      </w:r>
    </w:p>
    <w:p w14:paraId="47B87A71" w14:textId="77777777" w:rsidR="00A55252" w:rsidRDefault="00000000">
      <w:pPr>
        <w:spacing w:line="560" w:lineRule="exact"/>
        <w:ind w:firstLineChars="200" w:firstLine="640"/>
        <w:rPr>
          <w:rFonts w:ascii="宋体" w:hAnsi="宋体" w:cs="宋体"/>
          <w:sz w:val="32"/>
          <w:szCs w:val="32"/>
        </w:rPr>
      </w:pPr>
      <w:r>
        <w:rPr>
          <w:rFonts w:ascii="仿宋_GB2312" w:eastAsia="仿宋_GB2312" w:hAnsi="仿宋_GB2312" w:cs="仿宋_GB2312" w:hint="eastAsia"/>
          <w:sz w:val="32"/>
          <w:szCs w:val="32"/>
        </w:rPr>
        <w:t>区委组织部机关本级内设科室14个，分别是：办公室、</w:t>
      </w:r>
      <w:r>
        <w:rPr>
          <w:rFonts w:ascii="仿宋_GB2312" w:eastAsia="仿宋_GB2312" w:hAnsi="仿宋_GB2312" w:cs="仿宋_GB2312" w:hint="eastAsia"/>
          <w:sz w:val="32"/>
          <w:szCs w:val="32"/>
        </w:rPr>
        <w:lastRenderedPageBreak/>
        <w:t>研究室、组织一科、组织二科、组织三科（区党代表大会代表联络工作办公室）、组织四科（非公有制经济组织和社会组织党建工作办公室）、干部一科、干部二科、干部三科、干部四科、公务员科、干部教育科、干部监督科、人才科。下设事业单位2个，其中，参照公务员法管理事业单位1个：丰台区党建研究中心，公益一类事业单位1个：北京丰台海外学人中心（区领导干部考核评价中心）。</w:t>
      </w:r>
    </w:p>
    <w:p w14:paraId="0B3E137A" w14:textId="77777777" w:rsidR="00A55252"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（二）人员构成情况</w:t>
      </w:r>
    </w:p>
    <w:p w14:paraId="677DDB4D"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区委组织部行政编制50人，实际</w:t>
      </w:r>
      <w:r>
        <w:rPr>
          <w:rFonts w:ascii="仿宋_GB2312" w:eastAsia="仿宋_GB2312" w:hAnsi="仿宋_GB2312" w:cs="仿宋_GB2312"/>
          <w:sz w:val="32"/>
          <w:szCs w:val="32"/>
        </w:rPr>
        <w:t>45</w:t>
      </w:r>
      <w:r>
        <w:rPr>
          <w:rFonts w:ascii="仿宋_GB2312" w:eastAsia="仿宋_GB2312" w:hAnsi="仿宋_GB2312" w:cs="仿宋_GB2312" w:hint="eastAsia"/>
          <w:sz w:val="32"/>
          <w:szCs w:val="32"/>
        </w:rPr>
        <w:t>人；参照公务员法管事业编制9人，实际6人；事业编制</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人，实际</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人；聘用人员0人。离退休人员2人，其中：离休0人，退休2人。</w:t>
      </w:r>
    </w:p>
    <w:p w14:paraId="62530AB6" w14:textId="77777777" w:rsidR="00A55252"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（三）本预算年度的主要工作任务</w:t>
      </w:r>
    </w:p>
    <w:p w14:paraId="26CEDDFB" w14:textId="77777777" w:rsidR="00A55252" w:rsidRDefault="00000000">
      <w:pPr>
        <w:spacing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202</w:t>
      </w:r>
      <w:r>
        <w:rPr>
          <w:rFonts w:ascii="仿宋_GB2312" w:eastAsia="仿宋_GB2312" w:hAnsi="楷体_GB2312" w:cs="楷体_GB2312"/>
          <w:sz w:val="32"/>
          <w:szCs w:val="32"/>
        </w:rPr>
        <w:t>4</w:t>
      </w:r>
      <w:r>
        <w:rPr>
          <w:rFonts w:ascii="仿宋_GB2312" w:eastAsia="仿宋_GB2312" w:hAnsi="楷体_GB2312" w:cs="楷体_GB2312" w:hint="eastAsia"/>
          <w:sz w:val="32"/>
          <w:szCs w:val="32"/>
        </w:rPr>
        <w:t>年，区委组织部将坚持以习近平新时代中国特色社会主义思想为指导，坚持把学习贯彻党的二十大精神与推动组织工作高质量发展相结合，全力以赴选干部配班子、建队伍聚人才、抓基层打基础，切实把组织力量、组织优势转化成为“倍增追赶”的发展动力、发展优势。</w:t>
      </w:r>
    </w:p>
    <w:p w14:paraId="6926B54E" w14:textId="77777777" w:rsidR="00A55252" w:rsidRDefault="00000000">
      <w:pPr>
        <w:spacing w:line="560" w:lineRule="exact"/>
        <w:ind w:firstLineChars="200" w:firstLine="643"/>
        <w:rPr>
          <w:rFonts w:ascii="仿宋_GB2312" w:eastAsia="仿宋_GB2312" w:hAnsi="楷体_GB2312" w:cs="楷体_GB2312"/>
          <w:sz w:val="32"/>
          <w:szCs w:val="32"/>
        </w:rPr>
      </w:pPr>
      <w:r>
        <w:rPr>
          <w:rFonts w:ascii="仿宋_GB2312" w:eastAsia="仿宋_GB2312" w:hAnsi="楷体_GB2312" w:cs="楷体_GB2312" w:hint="eastAsia"/>
          <w:b/>
          <w:bCs/>
          <w:sz w:val="32"/>
          <w:szCs w:val="32"/>
        </w:rPr>
        <w:t>一是</w:t>
      </w:r>
      <w:r>
        <w:rPr>
          <w:rFonts w:ascii="仿宋_GB2312" w:eastAsia="仿宋_GB2312" w:hAnsi="楷体_GB2312" w:cs="楷体_GB2312" w:hint="eastAsia"/>
          <w:sz w:val="32"/>
          <w:szCs w:val="32"/>
        </w:rPr>
        <w:t>坚持不懈用党的创新理论凝心铸魂。深入学习贯彻习近平新时代中国特色社会主义思想和党的二十大精神，结合我区实际，扎实开展学习贯彻习近平新时代中国特色社会主义思想主题教育，引导广大党员干部以学铸魂、以学增智、以学正风、以学促干，推动党的创新理论入脑入心、入言入行，提振各级党组织和党员干部干事创业精气神。</w:t>
      </w:r>
    </w:p>
    <w:p w14:paraId="0D066A59" w14:textId="77777777" w:rsidR="00A55252" w:rsidRDefault="00000000">
      <w:pPr>
        <w:spacing w:line="560" w:lineRule="exact"/>
        <w:ind w:firstLineChars="200" w:firstLine="643"/>
        <w:rPr>
          <w:rFonts w:ascii="仿宋_GB2312" w:eastAsia="仿宋_GB2312" w:hAnsi="楷体_GB2312" w:cs="楷体_GB2312"/>
          <w:sz w:val="32"/>
          <w:szCs w:val="32"/>
        </w:rPr>
      </w:pPr>
      <w:r>
        <w:rPr>
          <w:rFonts w:ascii="仿宋_GB2312" w:eastAsia="仿宋_GB2312" w:hAnsi="楷体_GB2312" w:cs="楷体_GB2312" w:hint="eastAsia"/>
          <w:b/>
          <w:bCs/>
          <w:sz w:val="32"/>
          <w:szCs w:val="32"/>
        </w:rPr>
        <w:t>二是</w:t>
      </w:r>
      <w:r>
        <w:rPr>
          <w:rFonts w:ascii="仿宋_GB2312" w:eastAsia="仿宋_GB2312" w:hAnsi="楷体_GB2312" w:cs="楷体_GB2312" w:hint="eastAsia"/>
          <w:sz w:val="32"/>
          <w:szCs w:val="32"/>
        </w:rPr>
        <w:t>坚持系统思维，全面推进“四型四化”干部队伍建</w:t>
      </w:r>
      <w:r>
        <w:rPr>
          <w:rFonts w:ascii="仿宋_GB2312" w:eastAsia="仿宋_GB2312" w:hAnsi="楷体_GB2312" w:cs="楷体_GB2312" w:hint="eastAsia"/>
          <w:sz w:val="32"/>
          <w:szCs w:val="32"/>
        </w:rPr>
        <w:lastRenderedPageBreak/>
        <w:t>设。坚持党管干部原则，坚持新时代好干部标准，着眼未来5至10年乃至更长远发展需要，加强分析研判，精准科学选配，持续优化班子和干部队伍结构。健全培养选拔优秀年轻干部常态化机制，用好“治理书记”“服务型”干部等“贯通式”培养模式，持续选派干部到重大任务、吃劲岗位锤炼提升。坚持严管和厚爱结合、激励和约束并重，健全干部担当作为激励保护机制，加强对干部全方位管理和经常性监督，提振干事创业精气神。</w:t>
      </w:r>
    </w:p>
    <w:p w14:paraId="4A2A9938" w14:textId="77777777" w:rsidR="00A55252" w:rsidRDefault="00000000">
      <w:pPr>
        <w:spacing w:line="560" w:lineRule="exact"/>
        <w:ind w:firstLineChars="200" w:firstLine="643"/>
        <w:rPr>
          <w:rFonts w:ascii="仿宋_GB2312" w:eastAsia="仿宋_GB2312" w:hAnsi="楷体_GB2312" w:cs="楷体_GB2312"/>
          <w:sz w:val="32"/>
          <w:szCs w:val="32"/>
        </w:rPr>
      </w:pPr>
      <w:r>
        <w:rPr>
          <w:rFonts w:ascii="仿宋_GB2312" w:eastAsia="仿宋_GB2312" w:hAnsi="楷体_GB2312" w:cs="楷体_GB2312" w:hint="eastAsia"/>
          <w:b/>
          <w:bCs/>
          <w:sz w:val="32"/>
          <w:szCs w:val="32"/>
        </w:rPr>
        <w:t>三是</w:t>
      </w:r>
      <w:r>
        <w:rPr>
          <w:rFonts w:ascii="仿宋_GB2312" w:eastAsia="仿宋_GB2312" w:hAnsi="楷体_GB2312" w:cs="楷体_GB2312" w:hint="eastAsia"/>
          <w:sz w:val="32"/>
          <w:szCs w:val="32"/>
        </w:rPr>
        <w:t>厚植人才沃土，持续推进高水平人才高地建设。发挥党管人才优势，把人才工作摆在更加突出的位置，围绕“引育留用”全链条、各环节，持续擦亮“丰泽计划”“欢迎学子回家”等人才工作品牌，积极构建更加积极、开放、高效的人才发展生态和创新创业环境，加快高层次人才集聚和青年人才培养储备。加强区域协同，积极参与京津冀人才一体化发展，推进产学研用深度融合，将丰台打造成为近悦远来、大有可为的创新创业热土。</w:t>
      </w:r>
    </w:p>
    <w:p w14:paraId="5F44DEB8" w14:textId="77777777" w:rsidR="00A55252" w:rsidRDefault="00000000">
      <w:pPr>
        <w:spacing w:line="560" w:lineRule="exact"/>
        <w:ind w:firstLineChars="200" w:firstLine="643"/>
        <w:rPr>
          <w:rFonts w:ascii="仿宋_GB2312" w:eastAsia="仿宋_GB2312" w:hAnsi="楷体_GB2312" w:cs="楷体_GB2312"/>
          <w:sz w:val="32"/>
          <w:szCs w:val="32"/>
        </w:rPr>
      </w:pPr>
      <w:r>
        <w:rPr>
          <w:rFonts w:ascii="仿宋_GB2312" w:eastAsia="仿宋_GB2312" w:hAnsi="楷体_GB2312" w:cs="楷体_GB2312" w:hint="eastAsia"/>
          <w:b/>
          <w:bCs/>
          <w:sz w:val="32"/>
          <w:szCs w:val="32"/>
        </w:rPr>
        <w:t>四是</w:t>
      </w:r>
      <w:r>
        <w:rPr>
          <w:rFonts w:ascii="仿宋_GB2312" w:eastAsia="仿宋_GB2312" w:hAnsi="楷体_GB2312" w:cs="楷体_GB2312" w:hint="eastAsia"/>
          <w:sz w:val="32"/>
          <w:szCs w:val="32"/>
        </w:rPr>
        <w:t>坚持抓党建促发展，推动各领域党建工作提质增效。把加强党的组织体系建设作为长远之计和固本之策，持续实施“高质量党建提升年”行动，聚焦增强各级基层党组织政治功能和组织功能，统筹推进社区、农村、机关、教育、卫生、国企、两新等各领域党建工作，持之以恒打基础、固根本、强功能，把基层党组织建设成为有效实现党的领导的坚强战斗堡垒，以高质量基层党建引领经济社会高质量发展。聚焦发挥先锋模范作用，持续加强党员教育管理，全链条、</w:t>
      </w:r>
      <w:r>
        <w:rPr>
          <w:rFonts w:ascii="仿宋_GB2312" w:eastAsia="仿宋_GB2312" w:hAnsi="楷体_GB2312" w:cs="楷体_GB2312" w:hint="eastAsia"/>
          <w:sz w:val="32"/>
          <w:szCs w:val="32"/>
        </w:rPr>
        <w:lastRenderedPageBreak/>
        <w:t>全域化搭建党员日常发挥作用有效平台，引导党员立足岗位、争先创优。</w:t>
      </w:r>
    </w:p>
    <w:p w14:paraId="70212FD4" w14:textId="77777777" w:rsidR="00A55252" w:rsidRDefault="00000000">
      <w:pPr>
        <w:spacing w:line="560" w:lineRule="exact"/>
        <w:ind w:firstLineChars="200" w:firstLine="640"/>
        <w:rPr>
          <w:rFonts w:ascii="黑体" w:eastAsia="黑体" w:hAnsi="黑体" w:cs="黑体"/>
          <w:sz w:val="32"/>
          <w:szCs w:val="32"/>
        </w:rPr>
      </w:pPr>
      <w:r>
        <w:rPr>
          <w:rFonts w:ascii="黑体" w:eastAsia="黑体" w:hAnsi="黑体" w:cs="黑体"/>
          <w:sz w:val="32"/>
          <w:szCs w:val="32"/>
        </w:rPr>
        <w:t>二、收入预算</w:t>
      </w:r>
      <w:r>
        <w:rPr>
          <w:rFonts w:ascii="黑体" w:eastAsia="黑体" w:hAnsi="黑体" w:cs="黑体" w:hint="eastAsia"/>
          <w:sz w:val="32"/>
          <w:szCs w:val="32"/>
        </w:rPr>
        <w:t>情况</w:t>
      </w:r>
      <w:r>
        <w:rPr>
          <w:rFonts w:ascii="黑体" w:eastAsia="黑体" w:hAnsi="黑体" w:cs="黑体"/>
          <w:sz w:val="32"/>
          <w:szCs w:val="32"/>
        </w:rPr>
        <w:t>说明</w:t>
      </w:r>
    </w:p>
    <w:p w14:paraId="4434C2F0"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年收入预算2859.14万元，比202</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年3337.71万元</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478.57万元，</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14.3%。其中：本年财政拨款收入2859.14万元,比202</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年3337.71万元</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478.57万元</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14.3%；本年其他资金收入0万元,与202</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年持平；上年结转结余资金0万元,与202</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年持平。</w:t>
      </w:r>
    </w:p>
    <w:p w14:paraId="372752D2" w14:textId="77777777" w:rsidR="00A55252" w:rsidRDefault="00000000">
      <w:pPr>
        <w:spacing w:line="560" w:lineRule="exact"/>
        <w:ind w:firstLineChars="200" w:firstLine="640"/>
        <w:rPr>
          <w:rFonts w:ascii="黑体" w:eastAsia="黑体" w:hAnsi="黑体" w:cs="黑体"/>
          <w:sz w:val="32"/>
          <w:szCs w:val="32"/>
        </w:rPr>
      </w:pPr>
      <w:r>
        <w:rPr>
          <w:rFonts w:ascii="黑体" w:eastAsia="黑体" w:hAnsi="黑体" w:cs="黑体"/>
          <w:sz w:val="32"/>
          <w:szCs w:val="32"/>
        </w:rPr>
        <w:t>三、支出预算</w:t>
      </w:r>
      <w:r>
        <w:rPr>
          <w:rFonts w:ascii="黑体" w:eastAsia="黑体" w:hAnsi="黑体" w:cs="黑体" w:hint="eastAsia"/>
          <w:sz w:val="32"/>
          <w:szCs w:val="32"/>
        </w:rPr>
        <w:t>情况</w:t>
      </w:r>
      <w:r>
        <w:rPr>
          <w:rFonts w:ascii="黑体" w:eastAsia="黑体" w:hAnsi="黑体" w:cs="黑体"/>
          <w:sz w:val="32"/>
          <w:szCs w:val="32"/>
        </w:rPr>
        <w:t>说明</w:t>
      </w:r>
    </w:p>
    <w:p w14:paraId="7AA10FC3"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支出</w:t>
      </w:r>
      <w:r>
        <w:rPr>
          <w:rFonts w:ascii="仿宋_GB2312" w:eastAsia="仿宋_GB2312" w:hAnsi="仿宋_GB2312" w:cs="仿宋_GB2312"/>
          <w:sz w:val="32"/>
          <w:szCs w:val="32"/>
        </w:rPr>
        <w:t>预算2859.14万元，比202</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年3337.71万元</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478.57万元，</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14.3%</w:t>
      </w:r>
      <w:r>
        <w:rPr>
          <w:rFonts w:ascii="仿宋_GB2312" w:eastAsia="仿宋_GB2312" w:hAnsi="仿宋_GB2312" w:cs="仿宋_GB2312" w:hint="eastAsia"/>
          <w:sz w:val="32"/>
          <w:szCs w:val="32"/>
        </w:rPr>
        <w:t>。</w:t>
      </w:r>
    </w:p>
    <w:p w14:paraId="0FE6A501"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（一）基本支出预算1898.51万元，占总支出预算66.4%，比202</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年1616.76万元增加281.75万元，增长</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7.4%。</w:t>
      </w:r>
    </w:p>
    <w:p w14:paraId="1E54BFE7" w14:textId="11863B69"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（二）项目支出预算960.63万元，比2023年1720.95万元</w:t>
      </w:r>
      <w:r>
        <w:rPr>
          <w:rFonts w:ascii="仿宋_GB2312" w:eastAsia="仿宋_GB2312" w:hAnsi="仿宋_GB2312" w:cs="仿宋_GB2312" w:hint="eastAsia"/>
          <w:sz w:val="32"/>
          <w:szCs w:val="32"/>
        </w:rPr>
        <w:t>减少7</w:t>
      </w:r>
      <w:r>
        <w:rPr>
          <w:rFonts w:ascii="仿宋_GB2312" w:eastAsia="仿宋_GB2312" w:hAnsi="仿宋_GB2312" w:cs="仿宋_GB2312"/>
          <w:sz w:val="32"/>
          <w:szCs w:val="32"/>
        </w:rPr>
        <w:t>60.32万元，</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44.</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减少原因是丰泽计划项目经费已提前划拨至实际使用单位</w:t>
      </w:r>
      <w:r>
        <w:rPr>
          <w:rFonts w:ascii="仿宋_GB2312" w:eastAsia="仿宋_GB2312" w:hAnsi="仿宋_GB2312" w:cs="仿宋_GB2312"/>
          <w:sz w:val="32"/>
          <w:szCs w:val="32"/>
        </w:rPr>
        <w:t>。部门预算项目主要为</w:t>
      </w:r>
      <w:r>
        <w:rPr>
          <w:rFonts w:ascii="仿宋_GB2312" w:eastAsia="仿宋_GB2312" w:hAnsi="仿宋_GB2312" w:cs="仿宋_GB2312" w:hint="eastAsia"/>
          <w:sz w:val="32"/>
          <w:szCs w:val="32"/>
        </w:rPr>
        <w:t>挂职干部工作经费、人才活动经费、干部教育培训经费、选调生到村（社区）任职工作补助资金、丰泽计划项目经费</w:t>
      </w:r>
      <w:r>
        <w:rPr>
          <w:rFonts w:ascii="仿宋_GB2312" w:eastAsia="仿宋_GB2312" w:hAnsi="仿宋_GB2312" w:cs="仿宋_GB2312"/>
          <w:sz w:val="32"/>
          <w:szCs w:val="32"/>
        </w:rPr>
        <w:t>等。</w:t>
      </w:r>
    </w:p>
    <w:p w14:paraId="3452BEA9"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（三）事业单位经营支出0万元</w:t>
      </w:r>
      <w:r>
        <w:rPr>
          <w:rFonts w:ascii="仿宋_GB2312" w:eastAsia="仿宋_GB2312" w:hAnsi="仿宋_GB2312" w:cs="仿宋_GB2312" w:hint="eastAsia"/>
          <w:sz w:val="32"/>
          <w:szCs w:val="32"/>
        </w:rPr>
        <w:t>。</w:t>
      </w:r>
    </w:p>
    <w:p w14:paraId="656926A5"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（四）上缴上级支出0万元</w:t>
      </w:r>
      <w:r>
        <w:rPr>
          <w:rFonts w:ascii="仿宋_GB2312" w:eastAsia="仿宋_GB2312" w:hAnsi="仿宋_GB2312" w:cs="仿宋_GB2312" w:hint="eastAsia"/>
          <w:sz w:val="32"/>
          <w:szCs w:val="32"/>
        </w:rPr>
        <w:t>。</w:t>
      </w:r>
    </w:p>
    <w:p w14:paraId="0DFC6C33"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（五）对附属单位补助支出0万元</w:t>
      </w:r>
      <w:r>
        <w:rPr>
          <w:rFonts w:ascii="仿宋_GB2312" w:eastAsia="仿宋_GB2312" w:hAnsi="仿宋_GB2312" w:cs="仿宋_GB2312" w:hint="eastAsia"/>
          <w:sz w:val="32"/>
          <w:szCs w:val="32"/>
        </w:rPr>
        <w:t>。</w:t>
      </w:r>
    </w:p>
    <w:p w14:paraId="27CF955B" w14:textId="77777777" w:rsidR="00A55252" w:rsidRDefault="00000000">
      <w:pPr>
        <w:spacing w:line="560" w:lineRule="exact"/>
        <w:ind w:firstLineChars="200" w:firstLine="640"/>
        <w:rPr>
          <w:rFonts w:ascii="黑体" w:eastAsia="黑体" w:hAnsi="黑体" w:cs="黑体"/>
          <w:sz w:val="32"/>
          <w:szCs w:val="32"/>
        </w:rPr>
      </w:pPr>
      <w:r>
        <w:rPr>
          <w:rFonts w:ascii="黑体" w:eastAsia="黑体" w:hAnsi="黑体" w:cs="黑体"/>
          <w:sz w:val="32"/>
          <w:szCs w:val="32"/>
        </w:rPr>
        <w:t>四、财政拨款</w:t>
      </w:r>
      <w:r>
        <w:rPr>
          <w:rFonts w:ascii="黑体" w:eastAsia="黑体" w:hAnsi="黑体" w:cs="黑体" w:hint="eastAsia"/>
          <w:sz w:val="32"/>
          <w:szCs w:val="32"/>
        </w:rPr>
        <w:t>“</w:t>
      </w:r>
      <w:r>
        <w:rPr>
          <w:rFonts w:ascii="黑体" w:eastAsia="黑体" w:hAnsi="黑体" w:cs="黑体"/>
          <w:sz w:val="32"/>
          <w:szCs w:val="32"/>
        </w:rPr>
        <w:t>三公</w:t>
      </w:r>
      <w:r>
        <w:rPr>
          <w:rFonts w:ascii="黑体" w:eastAsia="黑体" w:hAnsi="黑体" w:cs="黑体" w:hint="eastAsia"/>
          <w:sz w:val="32"/>
          <w:szCs w:val="32"/>
        </w:rPr>
        <w:t>”</w:t>
      </w:r>
      <w:r>
        <w:rPr>
          <w:rFonts w:ascii="黑体" w:eastAsia="黑体" w:hAnsi="黑体" w:cs="黑体"/>
          <w:sz w:val="32"/>
          <w:szCs w:val="32"/>
        </w:rPr>
        <w:t>经费预算</w:t>
      </w:r>
      <w:r>
        <w:rPr>
          <w:rFonts w:ascii="黑体" w:eastAsia="黑体" w:hAnsi="黑体" w:cs="黑体" w:hint="eastAsia"/>
          <w:sz w:val="32"/>
          <w:szCs w:val="32"/>
        </w:rPr>
        <w:t>情况</w:t>
      </w:r>
      <w:r>
        <w:rPr>
          <w:rFonts w:ascii="黑体" w:eastAsia="黑体" w:hAnsi="黑体" w:cs="黑体"/>
          <w:sz w:val="32"/>
          <w:szCs w:val="32"/>
        </w:rPr>
        <w:t>说明</w:t>
      </w:r>
    </w:p>
    <w:p w14:paraId="61A179B5" w14:textId="77777777" w:rsidR="00A55252"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（一）</w:t>
      </w:r>
      <w:r>
        <w:rPr>
          <w:rFonts w:ascii="楷体_GB2312" w:eastAsia="楷体_GB2312" w:hAnsi="楷体_GB2312" w:cs="楷体_GB2312" w:hint="eastAsia"/>
          <w:sz w:val="32"/>
          <w:szCs w:val="32"/>
        </w:rPr>
        <w:t>“</w:t>
      </w:r>
      <w:r>
        <w:rPr>
          <w:rFonts w:ascii="楷体_GB2312" w:eastAsia="楷体_GB2312" w:hAnsi="楷体_GB2312" w:cs="楷体_GB2312"/>
          <w:sz w:val="32"/>
          <w:szCs w:val="32"/>
        </w:rPr>
        <w:t>三公</w:t>
      </w:r>
      <w:r>
        <w:rPr>
          <w:rFonts w:ascii="楷体_GB2312" w:eastAsia="楷体_GB2312" w:hAnsi="楷体_GB2312" w:cs="楷体_GB2312" w:hint="eastAsia"/>
          <w:sz w:val="32"/>
          <w:szCs w:val="32"/>
        </w:rPr>
        <w:t>”</w:t>
      </w:r>
      <w:r>
        <w:rPr>
          <w:rFonts w:ascii="楷体_GB2312" w:eastAsia="楷体_GB2312" w:hAnsi="楷体_GB2312" w:cs="楷体_GB2312"/>
          <w:sz w:val="32"/>
          <w:szCs w:val="32"/>
        </w:rPr>
        <w:t>经费的单位范围</w:t>
      </w:r>
    </w:p>
    <w:p w14:paraId="0AC6F0B2"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区委组织部因公出国（境）费用、公务接待费、公务用</w:t>
      </w:r>
      <w:r>
        <w:rPr>
          <w:rFonts w:ascii="仿宋_GB2312" w:eastAsia="仿宋_GB2312" w:hAnsi="仿宋_GB2312" w:cs="仿宋_GB2312" w:hint="eastAsia"/>
          <w:sz w:val="32"/>
          <w:szCs w:val="32"/>
        </w:rPr>
        <w:lastRenderedPageBreak/>
        <w:t>车购置和运行维护费开支单位包括本级及下设2个事业单位。</w:t>
      </w:r>
    </w:p>
    <w:p w14:paraId="0D0C8B46" w14:textId="77777777" w:rsidR="00A55252" w:rsidRDefault="00000000">
      <w:pPr>
        <w:numPr>
          <w:ilvl w:val="0"/>
          <w:numId w:val="1"/>
        </w:num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财政拨款</w:t>
      </w:r>
      <w:r>
        <w:rPr>
          <w:rFonts w:ascii="楷体_GB2312" w:eastAsia="楷体_GB2312" w:hAnsi="楷体_GB2312" w:cs="楷体_GB2312" w:hint="eastAsia"/>
          <w:sz w:val="32"/>
          <w:szCs w:val="32"/>
        </w:rPr>
        <w:t>“</w:t>
      </w:r>
      <w:r>
        <w:rPr>
          <w:rFonts w:ascii="楷体_GB2312" w:eastAsia="楷体_GB2312" w:hAnsi="楷体_GB2312" w:cs="楷体_GB2312"/>
          <w:sz w:val="32"/>
          <w:szCs w:val="32"/>
        </w:rPr>
        <w:t>三公</w:t>
      </w:r>
      <w:r>
        <w:rPr>
          <w:rFonts w:ascii="楷体_GB2312" w:eastAsia="楷体_GB2312" w:hAnsi="楷体_GB2312" w:cs="楷体_GB2312" w:hint="eastAsia"/>
          <w:sz w:val="32"/>
          <w:szCs w:val="32"/>
        </w:rPr>
        <w:t>”</w:t>
      </w:r>
      <w:r>
        <w:rPr>
          <w:rFonts w:ascii="楷体_GB2312" w:eastAsia="楷体_GB2312" w:hAnsi="楷体_GB2312" w:cs="楷体_GB2312"/>
          <w:sz w:val="32"/>
          <w:szCs w:val="32"/>
        </w:rPr>
        <w:t>经费情况说明</w:t>
      </w:r>
    </w:p>
    <w:p w14:paraId="3547AF28"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2024年“三公”经费财政拨款预算0万元，与2023年持平。其中：</w:t>
      </w:r>
    </w:p>
    <w:p w14:paraId="1A176A40"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1.因公出国（境）费用。2024年预算数0万元，与2023年持平。</w:t>
      </w:r>
    </w:p>
    <w:p w14:paraId="0F53CF20"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2.公务接待费。2024年预算数0万元，与2023年持平。</w:t>
      </w:r>
    </w:p>
    <w:p w14:paraId="1D3DC91B"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3.公务用车购置和运行维护费。2024年预算数0万元，其中，公务用车购置费2024年预算数0万元，与2023年持平；公务用车运行维护费2024年预算数0万元，与2023年持平。此项经费由机关事务管理处统一管理。</w:t>
      </w:r>
    </w:p>
    <w:p w14:paraId="6658D969" w14:textId="77777777" w:rsidR="00A55252" w:rsidRDefault="00000000">
      <w:pPr>
        <w:spacing w:line="560" w:lineRule="exact"/>
        <w:ind w:firstLineChars="200" w:firstLine="640"/>
        <w:rPr>
          <w:rFonts w:ascii="黑体" w:eastAsia="黑体" w:hAnsi="黑体" w:cs="黑体"/>
          <w:sz w:val="32"/>
          <w:szCs w:val="32"/>
        </w:rPr>
      </w:pPr>
      <w:r>
        <w:rPr>
          <w:rFonts w:ascii="黑体" w:eastAsia="黑体" w:hAnsi="黑体" w:cs="黑体"/>
          <w:sz w:val="32"/>
          <w:szCs w:val="32"/>
        </w:rPr>
        <w:t>五、其他情况说明</w:t>
      </w:r>
    </w:p>
    <w:p w14:paraId="799991B8" w14:textId="77777777" w:rsidR="00A55252"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（一）政府采购预算</w:t>
      </w:r>
      <w:r>
        <w:rPr>
          <w:rFonts w:ascii="楷体_GB2312" w:eastAsia="楷体_GB2312" w:hAnsi="楷体_GB2312" w:cs="楷体_GB2312" w:hint="eastAsia"/>
          <w:sz w:val="32"/>
          <w:szCs w:val="32"/>
        </w:rPr>
        <w:t>情况</w:t>
      </w:r>
      <w:r>
        <w:rPr>
          <w:rFonts w:ascii="楷体_GB2312" w:eastAsia="楷体_GB2312" w:hAnsi="楷体_GB2312" w:cs="楷体_GB2312"/>
          <w:sz w:val="32"/>
          <w:szCs w:val="32"/>
        </w:rPr>
        <w:t>说明</w:t>
      </w:r>
    </w:p>
    <w:p w14:paraId="1378345C" w14:textId="77777777" w:rsidR="00A55252" w:rsidRDefault="00000000">
      <w:pPr>
        <w:spacing w:line="560" w:lineRule="exact"/>
        <w:rPr>
          <w:rFonts w:ascii="宋体" w:hAnsi="宋体" w:cs="宋体"/>
          <w:sz w:val="32"/>
          <w:szCs w:val="32"/>
        </w:rPr>
      </w:pPr>
      <w:r>
        <w:rPr>
          <w:rFonts w:ascii="宋体" w:hAnsi="宋体" w:cs="宋体"/>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年区委组织部政府采购预算总额0万元。</w:t>
      </w:r>
    </w:p>
    <w:p w14:paraId="057D7249" w14:textId="77777777" w:rsidR="00A55252"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（二）政府购买服务预算说明</w:t>
      </w:r>
    </w:p>
    <w:p w14:paraId="38960B39" w14:textId="77777777" w:rsidR="00A55252" w:rsidRDefault="00000000">
      <w:pPr>
        <w:spacing w:line="560" w:lineRule="exact"/>
        <w:ind w:firstLineChars="200" w:firstLine="640"/>
        <w:rPr>
          <w:rFonts w:ascii="宋体" w:hAnsi="宋体" w:cs="宋体"/>
          <w:sz w:val="32"/>
          <w:szCs w:val="32"/>
        </w:rPr>
      </w:pPr>
      <w:r>
        <w:rPr>
          <w:rFonts w:ascii="仿宋_GB2312" w:eastAsia="仿宋_GB2312" w:hAnsi="仿宋_GB2312" w:cs="仿宋_GB2312"/>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区委组织部</w:t>
      </w:r>
      <w:r>
        <w:rPr>
          <w:rFonts w:ascii="仿宋_GB2312" w:eastAsia="仿宋_GB2312" w:hAnsi="仿宋_GB2312" w:cs="仿宋_GB2312"/>
          <w:sz w:val="32"/>
          <w:szCs w:val="32"/>
        </w:rPr>
        <w:t>政府购买服务预算总额0万元。</w:t>
      </w:r>
    </w:p>
    <w:p w14:paraId="6F396617" w14:textId="77777777" w:rsidR="00A55252"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（三）机关运行经费情况说明</w:t>
      </w:r>
    </w:p>
    <w:p w14:paraId="080E7F23" w14:textId="77777777" w:rsidR="00A55252" w:rsidRDefault="00000000">
      <w:pPr>
        <w:spacing w:line="560" w:lineRule="exact"/>
        <w:ind w:firstLine="648"/>
        <w:rPr>
          <w:rFonts w:ascii="仿宋_GB2312" w:eastAsia="仿宋_GB2312" w:hAnsi="仿宋_GB2312" w:cs="仿宋_GB2312"/>
          <w:sz w:val="32"/>
          <w:szCs w:val="32"/>
        </w:rPr>
      </w:pPr>
      <w:r>
        <w:rPr>
          <w:rFonts w:ascii="仿宋_GB2312" w:eastAsia="仿宋_GB2312" w:hAnsi="仿宋_GB2312" w:cs="仿宋_GB2312"/>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区委组织部</w:t>
      </w:r>
      <w:r>
        <w:rPr>
          <w:rFonts w:ascii="仿宋_GB2312" w:eastAsia="仿宋_GB2312" w:hAnsi="仿宋_GB2312" w:cs="仿宋_GB2312"/>
          <w:sz w:val="32"/>
          <w:szCs w:val="32"/>
        </w:rPr>
        <w:t>机关运行经费财政拨款预算116.55万元。</w:t>
      </w:r>
    </w:p>
    <w:p w14:paraId="2F302214" w14:textId="77777777" w:rsidR="00A55252" w:rsidRDefault="00000000">
      <w:pPr>
        <w:spacing w:line="560" w:lineRule="exact"/>
        <w:ind w:firstLine="648"/>
        <w:rPr>
          <w:rFonts w:ascii="仿宋_GB2312" w:eastAsia="仿宋_GB2312" w:hAnsi="仿宋_GB2312" w:cs="仿宋_GB2312"/>
          <w:sz w:val="32"/>
          <w:szCs w:val="32"/>
        </w:rPr>
      </w:pPr>
      <w:r>
        <w:rPr>
          <w:rFonts w:ascii="仿宋_GB2312" w:eastAsia="仿宋_GB2312" w:hAnsi="仿宋_GB2312" w:cs="仿宋_GB2312"/>
          <w:sz w:val="32"/>
          <w:szCs w:val="32"/>
        </w:rPr>
        <w:t>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w:t>
      </w:r>
      <w:r>
        <w:rPr>
          <w:rFonts w:ascii="仿宋_GB2312" w:eastAsia="仿宋_GB2312" w:hAnsi="仿宋_GB2312" w:cs="仿宋_GB2312"/>
          <w:sz w:val="32"/>
          <w:szCs w:val="32"/>
        </w:rPr>
        <w:lastRenderedPageBreak/>
        <w:t>公务用车运行维护费以及其他费用。</w:t>
      </w:r>
    </w:p>
    <w:p w14:paraId="6498343A" w14:textId="77777777" w:rsidR="00A55252" w:rsidRDefault="00000000">
      <w:pPr>
        <w:spacing w:line="560" w:lineRule="exact"/>
        <w:ind w:firstLineChars="200" w:firstLine="640"/>
        <w:rPr>
          <w:rFonts w:ascii="宋体" w:hAnsi="宋体" w:cs="宋体"/>
          <w:sz w:val="32"/>
          <w:szCs w:val="32"/>
        </w:rPr>
      </w:pPr>
      <w:r>
        <w:rPr>
          <w:rFonts w:ascii="楷体_GB2312" w:eastAsia="楷体_GB2312" w:hAnsi="楷体_GB2312" w:cs="楷体_GB2312"/>
          <w:sz w:val="32"/>
          <w:szCs w:val="32"/>
        </w:rPr>
        <w:t>（四）项目支出绩效目标情况说明</w:t>
      </w:r>
    </w:p>
    <w:p w14:paraId="3E18828A"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区委组织部</w:t>
      </w:r>
      <w:r>
        <w:rPr>
          <w:rFonts w:ascii="仿宋_GB2312" w:eastAsia="仿宋_GB2312" w:hAnsi="仿宋_GB2312" w:cs="仿宋_GB2312"/>
          <w:sz w:val="32"/>
          <w:szCs w:val="32"/>
        </w:rPr>
        <w:t>填报绩效目标的预算项目22个，占全部预算项目22个的100%。填报绩效目标的项目支出预算960.63万元，占本部门全部项目支出预算的</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00%。</w:t>
      </w:r>
    </w:p>
    <w:p w14:paraId="4D54D06F" w14:textId="77777777" w:rsidR="00A55252"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（五）重点行政事业性收费情况说明</w:t>
      </w:r>
    </w:p>
    <w:p w14:paraId="49CD062B"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区委组织部2024年无重点行政事业性收费。</w:t>
      </w:r>
    </w:p>
    <w:p w14:paraId="59728346" w14:textId="77777777" w:rsidR="00A55252"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（六）国有资本经营预算财政拨款情况说明</w:t>
      </w:r>
    </w:p>
    <w:p w14:paraId="1923049A" w14:textId="77777777" w:rsidR="00A5525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区委组织部2024年无国有资本经营预算财政拨款安排的预算。</w:t>
      </w:r>
    </w:p>
    <w:p w14:paraId="6F743832" w14:textId="77777777" w:rsidR="00A55252"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（七）</w:t>
      </w:r>
      <w:r>
        <w:rPr>
          <w:rFonts w:ascii="楷体_GB2312" w:eastAsia="楷体_GB2312" w:hAnsi="楷体_GB2312" w:cs="楷体_GB2312" w:hint="eastAsia"/>
          <w:sz w:val="32"/>
          <w:szCs w:val="32"/>
        </w:rPr>
        <w:t>国有</w:t>
      </w:r>
      <w:r>
        <w:rPr>
          <w:rFonts w:ascii="楷体_GB2312" w:eastAsia="楷体_GB2312" w:hAnsi="楷体_GB2312" w:cs="楷体_GB2312"/>
          <w:sz w:val="32"/>
          <w:szCs w:val="32"/>
        </w:rPr>
        <w:t>资产占有使用情况说明</w:t>
      </w:r>
    </w:p>
    <w:p w14:paraId="589CD577" w14:textId="56D365DE" w:rsidR="00A55252" w:rsidRDefault="00A34E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由区机关事务管理服务中心统一管理，由区机关事务管理服务中心统一公示。</w:t>
      </w:r>
    </w:p>
    <w:p w14:paraId="13B62773" w14:textId="77777777" w:rsidR="00A55252" w:rsidRDefault="00000000">
      <w:pPr>
        <w:numPr>
          <w:ilvl w:val="0"/>
          <w:numId w:val="2"/>
        </w:num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其他事项说明</w:t>
      </w:r>
    </w:p>
    <w:p w14:paraId="4E142BDC" w14:textId="77777777" w:rsidR="00A55252" w:rsidRDefault="00000000">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无。</w:t>
      </w:r>
    </w:p>
    <w:p w14:paraId="76E382E4" w14:textId="77777777" w:rsidR="00A5525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sz w:val="32"/>
          <w:szCs w:val="32"/>
        </w:rPr>
        <w:t>、</w:t>
      </w:r>
      <w:r>
        <w:rPr>
          <w:rFonts w:ascii="黑体" w:eastAsia="黑体" w:hAnsi="黑体" w:cs="黑体" w:hint="eastAsia"/>
          <w:sz w:val="32"/>
          <w:szCs w:val="32"/>
        </w:rPr>
        <w:t>名词解释</w:t>
      </w:r>
    </w:p>
    <w:p w14:paraId="11215B38" w14:textId="77777777" w:rsidR="00A55252" w:rsidRDefault="00000000">
      <w:pPr>
        <w:widowControl/>
        <w:spacing w:line="560" w:lineRule="exact"/>
        <w:ind w:firstLineChars="200" w:firstLine="700"/>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预算：指遵循统筹兼顾、勤俭节约、量力而行、讲求绩效和收支平衡的原则编制，经法定程序审核批准的国家年度集中性财政收支计划。政府的全部收入和支出都应当纳入预算，地方各级预算一般不列赤字。</w:t>
      </w:r>
    </w:p>
    <w:p w14:paraId="47B52685" w14:textId="77777777" w:rsidR="00A55252" w:rsidRDefault="00000000">
      <w:pPr>
        <w:widowControl/>
        <w:spacing w:line="560" w:lineRule="exact"/>
        <w:ind w:firstLineChars="200" w:firstLine="700"/>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一般公共预算：对以税收为主体的财政收入，安排用于保障和改善民生、推动经济社会发展、维护国家安全、维持国家机构正常运转等方面的收支预算。</w:t>
      </w:r>
    </w:p>
    <w:p w14:paraId="0B93987B" w14:textId="77777777" w:rsidR="00A55252" w:rsidRDefault="00000000">
      <w:pPr>
        <w:widowControl/>
        <w:spacing w:line="560" w:lineRule="exact"/>
        <w:ind w:firstLineChars="200" w:firstLine="700"/>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lastRenderedPageBreak/>
        <w:t>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14:paraId="384D6A32" w14:textId="77777777" w:rsidR="00A55252" w:rsidRDefault="00000000">
      <w:pPr>
        <w:widowControl/>
        <w:spacing w:line="560" w:lineRule="exact"/>
        <w:ind w:firstLineChars="200" w:firstLine="700"/>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政府采购:指各级国家机关、事业单位和团体组织，使用财政性资金采购依法制定的集中采购目录以内的或者采购限额标准以上的货物、工程和服务的行为。政府采购是规范财政支出管理和强化预算约束的有效措施。</w:t>
      </w:r>
    </w:p>
    <w:p w14:paraId="0CEFCCE5" w14:textId="77777777" w:rsidR="00A55252" w:rsidRDefault="00000000">
      <w:pPr>
        <w:widowControl/>
        <w:spacing w:line="560" w:lineRule="exact"/>
        <w:ind w:firstLineChars="200" w:firstLine="700"/>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669420AA" w14:textId="77777777" w:rsidR="00A55252" w:rsidRDefault="00000000">
      <w:pPr>
        <w:widowControl/>
        <w:spacing w:line="560" w:lineRule="exact"/>
        <w:ind w:firstLineChars="200" w:firstLine="700"/>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政府购买服务：指通过发挥市场机制作用，把政府直接向社会公众提供的公共服务等事项，按照一定的方式和程序，交由具备条件的社会力量承担，并由政府根据服务数量和质量向其支付费用。</w:t>
      </w:r>
    </w:p>
    <w:p w14:paraId="5BB611CB" w14:textId="77777777" w:rsidR="00A55252" w:rsidRDefault="00000000">
      <w:pPr>
        <w:widowControl/>
        <w:spacing w:line="560" w:lineRule="exact"/>
        <w:ind w:firstLineChars="200" w:firstLine="700"/>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lastRenderedPageBreak/>
        <w:t>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D57222" w14:textId="77777777" w:rsidR="00A55252" w:rsidRDefault="00000000">
      <w:pPr>
        <w:widowControl/>
        <w:spacing w:line="560" w:lineRule="exact"/>
        <w:ind w:firstLineChars="200" w:firstLine="700"/>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行政事业性收费: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14:paraId="018876F2" w14:textId="77777777" w:rsidR="00A55252" w:rsidRDefault="00A55252">
      <w:pPr>
        <w:widowControl/>
        <w:spacing w:line="560" w:lineRule="exact"/>
        <w:ind w:firstLineChars="200" w:firstLine="700"/>
        <w:rPr>
          <w:rFonts w:ascii="仿宋_GB2312" w:eastAsia="仿宋_GB2312" w:hAnsi="宋体" w:cs="宋体"/>
          <w:color w:val="000000"/>
          <w:spacing w:val="15"/>
          <w:kern w:val="0"/>
          <w:sz w:val="32"/>
          <w:szCs w:val="32"/>
        </w:rPr>
      </w:pPr>
    </w:p>
    <w:p w14:paraId="6B47C74D" w14:textId="77777777" w:rsidR="00A55252" w:rsidRDefault="00000000">
      <w:pPr>
        <w:spacing w:line="560" w:lineRule="exact"/>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第二部分2024年部门预算报表</w:t>
      </w:r>
    </w:p>
    <w:p w14:paraId="3BB5C751" w14:textId="77777777" w:rsidR="00A55252" w:rsidRDefault="00000000">
      <w:pPr>
        <w:widowControl/>
        <w:adjustRightInd w:val="0"/>
        <w:spacing w:line="560" w:lineRule="exact"/>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 xml:space="preserve">    附件：区委组织部2024年部门预算报表</w:t>
      </w:r>
    </w:p>
    <w:sectPr w:rsidR="00A55252">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iberation Sans">
    <w:altName w:val="微软雅黑"/>
    <w:charset w:val="00"/>
    <w:family w:val="swiss"/>
    <w:pitch w:val="default"/>
    <w:sig w:usb0="00000000" w:usb1="00000000" w:usb2="00000000" w:usb3="00000000" w:csb0="00040001" w:csb1="00000000"/>
  </w:font>
  <w:font w:name="Noto Sans CJK SC Regular">
    <w:altName w:val="宋体"/>
    <w:charset w:val="86"/>
    <w:family w:val="auto"/>
    <w:pitch w:val="default"/>
    <w:sig w:usb0="00000000" w:usb1="00000000" w:usb2="00000016" w:usb3="00000000" w:csb0="602E0107"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0E44"/>
    <w:multiLevelType w:val="singleLevel"/>
    <w:tmpl w:val="B7460E44"/>
    <w:lvl w:ilvl="0">
      <w:start w:val="8"/>
      <w:numFmt w:val="chineseCounting"/>
      <w:suff w:val="nothing"/>
      <w:lvlText w:val="（%1）"/>
      <w:lvlJc w:val="left"/>
      <w:rPr>
        <w:rFonts w:hint="eastAsia"/>
      </w:rPr>
    </w:lvl>
  </w:abstractNum>
  <w:abstractNum w:abstractNumId="1" w15:restartNumberingAfterBreak="0">
    <w:nsid w:val="2DD128F2"/>
    <w:multiLevelType w:val="singleLevel"/>
    <w:tmpl w:val="2DD128F2"/>
    <w:lvl w:ilvl="0">
      <w:start w:val="2"/>
      <w:numFmt w:val="chineseCounting"/>
      <w:suff w:val="nothing"/>
      <w:lvlText w:val="（%1）"/>
      <w:lvlJc w:val="left"/>
      <w:rPr>
        <w:rFonts w:hint="eastAsia"/>
      </w:rPr>
    </w:lvl>
  </w:abstractNum>
  <w:num w:numId="1" w16cid:durableId="387995250">
    <w:abstractNumId w:val="1"/>
  </w:num>
  <w:num w:numId="2" w16cid:durableId="121596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
  <w:drawingGridVerticalSpacing w:val="1"/>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BB"/>
    <w:rsid w:val="000C53FD"/>
    <w:rsid w:val="00115AFA"/>
    <w:rsid w:val="0012178B"/>
    <w:rsid w:val="00165B48"/>
    <w:rsid w:val="001C7C28"/>
    <w:rsid w:val="001F44BC"/>
    <w:rsid w:val="00222774"/>
    <w:rsid w:val="0026573F"/>
    <w:rsid w:val="003509D5"/>
    <w:rsid w:val="003C6FD1"/>
    <w:rsid w:val="003F2933"/>
    <w:rsid w:val="00432825"/>
    <w:rsid w:val="00452970"/>
    <w:rsid w:val="00481AA6"/>
    <w:rsid w:val="004852F1"/>
    <w:rsid w:val="00534B1E"/>
    <w:rsid w:val="0058731F"/>
    <w:rsid w:val="005E56C1"/>
    <w:rsid w:val="006640BB"/>
    <w:rsid w:val="007B682B"/>
    <w:rsid w:val="007C0649"/>
    <w:rsid w:val="007D643D"/>
    <w:rsid w:val="007F4397"/>
    <w:rsid w:val="008E3720"/>
    <w:rsid w:val="009F2435"/>
    <w:rsid w:val="00A337C7"/>
    <w:rsid w:val="00A33AB3"/>
    <w:rsid w:val="00A34E3C"/>
    <w:rsid w:val="00A437A9"/>
    <w:rsid w:val="00A55252"/>
    <w:rsid w:val="00AD2FDC"/>
    <w:rsid w:val="00B45251"/>
    <w:rsid w:val="00BC793C"/>
    <w:rsid w:val="00BF7D5C"/>
    <w:rsid w:val="00C57139"/>
    <w:rsid w:val="00C966FA"/>
    <w:rsid w:val="00CE0F17"/>
    <w:rsid w:val="01C73A70"/>
    <w:rsid w:val="06CA1566"/>
    <w:rsid w:val="06DE7D56"/>
    <w:rsid w:val="0AD53FA9"/>
    <w:rsid w:val="0CF0304C"/>
    <w:rsid w:val="0DAB7EF6"/>
    <w:rsid w:val="0F6B4355"/>
    <w:rsid w:val="191C7D18"/>
    <w:rsid w:val="1A194442"/>
    <w:rsid w:val="1CBD7D2E"/>
    <w:rsid w:val="1CFF68F4"/>
    <w:rsid w:val="20A03A46"/>
    <w:rsid w:val="21A32B83"/>
    <w:rsid w:val="24110F49"/>
    <w:rsid w:val="249D5B37"/>
    <w:rsid w:val="27BF16B4"/>
    <w:rsid w:val="28546FC0"/>
    <w:rsid w:val="2A9C69D6"/>
    <w:rsid w:val="2AAC6377"/>
    <w:rsid w:val="2D97542A"/>
    <w:rsid w:val="2FE7105C"/>
    <w:rsid w:val="32C21411"/>
    <w:rsid w:val="35776221"/>
    <w:rsid w:val="373D475A"/>
    <w:rsid w:val="373F3050"/>
    <w:rsid w:val="3C214076"/>
    <w:rsid w:val="4128254D"/>
    <w:rsid w:val="443A1478"/>
    <w:rsid w:val="44862C77"/>
    <w:rsid w:val="452408D9"/>
    <w:rsid w:val="47153A80"/>
    <w:rsid w:val="49E16301"/>
    <w:rsid w:val="4A4273F5"/>
    <w:rsid w:val="4D5E5A62"/>
    <w:rsid w:val="4D7A636B"/>
    <w:rsid w:val="4E8423A4"/>
    <w:rsid w:val="4E8B1238"/>
    <w:rsid w:val="4FF4461E"/>
    <w:rsid w:val="501854BA"/>
    <w:rsid w:val="53147A40"/>
    <w:rsid w:val="54283BBD"/>
    <w:rsid w:val="5574205B"/>
    <w:rsid w:val="5595674B"/>
    <w:rsid w:val="563C5B6F"/>
    <w:rsid w:val="58827E72"/>
    <w:rsid w:val="58F1632E"/>
    <w:rsid w:val="5E4C5812"/>
    <w:rsid w:val="5F5F4E5B"/>
    <w:rsid w:val="61CA1F99"/>
    <w:rsid w:val="62BB0239"/>
    <w:rsid w:val="636E7C04"/>
    <w:rsid w:val="665E4AEA"/>
    <w:rsid w:val="69901F0B"/>
    <w:rsid w:val="6BC06FD2"/>
    <w:rsid w:val="6C1A1E04"/>
    <w:rsid w:val="6D9D309E"/>
    <w:rsid w:val="6F172A4A"/>
    <w:rsid w:val="709C6698"/>
    <w:rsid w:val="72E519EE"/>
    <w:rsid w:val="73FD2592"/>
    <w:rsid w:val="77424C64"/>
    <w:rsid w:val="7775298B"/>
    <w:rsid w:val="77F70503"/>
    <w:rsid w:val="7A2E40B5"/>
    <w:rsid w:val="7C354EC9"/>
    <w:rsid w:val="7FEBAC30"/>
    <w:rsid w:val="7FFB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924B21"/>
  <w15:docId w15:val="{2DE90910-D976-44E9-9F8F-8C9C0E9E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uppressAutoHyphens/>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caption"/>
    <w:basedOn w:val="a"/>
    <w:next w:val="a"/>
    <w:qFormat/>
    <w:pPr>
      <w:suppressLineNumbers/>
      <w:spacing w:before="120" w:after="120"/>
    </w:pPr>
    <w:rPr>
      <w:i/>
      <w:iCs/>
      <w:sz w:val="24"/>
    </w:rPr>
  </w:style>
  <w:style w:type="paragraph" w:styleId="a5">
    <w:name w:val="Body Text"/>
    <w:basedOn w:val="a"/>
    <w:qFormat/>
    <w:pPr>
      <w:spacing w:after="140" w:line="276" w:lineRule="auto"/>
    </w:p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List"/>
    <w:basedOn w:val="a5"/>
    <w:qFormat/>
  </w:style>
  <w:style w:type="character" w:styleId="aa">
    <w:name w:val="page number"/>
    <w:basedOn w:val="a1"/>
    <w:qFormat/>
  </w:style>
  <w:style w:type="character" w:customStyle="1" w:styleId="1">
    <w:name w:val="默认段落字体1"/>
    <w:qFormat/>
  </w:style>
  <w:style w:type="paragraph" w:customStyle="1" w:styleId="Heading">
    <w:name w:val="Heading"/>
    <w:basedOn w:val="a"/>
    <w:next w:val="a5"/>
    <w:qFormat/>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pPr>
  </w:style>
  <w:style w:type="character" w:customStyle="1" w:styleId="a8">
    <w:name w:val="页眉 字符"/>
    <w:link w:val="a7"/>
    <w:qFormat/>
    <w:rPr>
      <w:rFonts w:ascii="Calibri" w:hAnsi="Calibri"/>
      <w:kern w:val="2"/>
      <w:sz w:val="18"/>
      <w:szCs w:val="18"/>
    </w:rPr>
  </w:style>
  <w:style w:type="paragraph" w:customStyle="1" w:styleId="02">
    <w:name w:val="0稿标2"/>
    <w:basedOn w:val="0"/>
    <w:next w:val="0"/>
    <w:qFormat/>
    <w:pPr>
      <w:outlineLvl w:val="1"/>
    </w:pPr>
    <w:rPr>
      <w:rFonts w:eastAsia="楷体_GB2312"/>
    </w:rPr>
  </w:style>
  <w:style w:type="paragraph" w:customStyle="1" w:styleId="0">
    <w:name w:val="0稿正文"/>
    <w:basedOn w:val="00"/>
    <w:qFormat/>
    <w:pPr>
      <w:spacing w:line="600" w:lineRule="exact"/>
      <w:ind w:firstLine="720"/>
    </w:pPr>
    <w:rPr>
      <w:rFonts w:ascii="仿宋_GB2312" w:hAnsi="Times New Roman" w:cs="仿宋_GB2312" w:hint="default"/>
      <w:kern w:val="0"/>
      <w:sz w:val="36"/>
      <w:szCs w:val="36"/>
    </w:rPr>
  </w:style>
  <w:style w:type="paragraph" w:customStyle="1" w:styleId="00">
    <w:name w:val="0公正文"/>
    <w:basedOn w:val="a"/>
    <w:qFormat/>
    <w:pPr>
      <w:spacing w:line="560" w:lineRule="exact"/>
      <w:ind w:firstLineChars="200" w:firstLine="200"/>
    </w:pPr>
    <w:rPr>
      <w:rFonts w:asciiTheme="minorHAnsi" w:eastAsia="仿宋_GB2312" w:hAnsiTheme="minorHAnsi" w:cstheme="minorBidi"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BD6C201-C223-4508-9AEA-D0E13343A9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10</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XuLiang Li</cp:lastModifiedBy>
  <cp:revision>15</cp:revision>
  <cp:lastPrinted>2024-01-29T07:30:00Z</cp:lastPrinted>
  <dcterms:created xsi:type="dcterms:W3CDTF">2024-01-24T12:44:00Z</dcterms:created>
  <dcterms:modified xsi:type="dcterms:W3CDTF">2024-02-01T02:13:00Z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