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 w:hAnsiTheme="minorEastAsia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2021年</w:t>
      </w:r>
      <w:r>
        <w:rPr>
          <w:rFonts w:hint="eastAsia" w:ascii="方正小标宋简体" w:eastAsia="方正小标宋简体" w:hAnsiTheme="minorEastAsia"/>
          <w:sz w:val="44"/>
          <w:szCs w:val="44"/>
        </w:rPr>
        <w:t>1—11月丰台区经济运行情况</w:t>
      </w:r>
    </w:p>
    <w:bookmarkEnd w:id="0"/>
    <w:p>
      <w:pPr>
        <w:pStyle w:val="2"/>
        <w:jc w:val="center"/>
      </w:pP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一、工业生产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1—11月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规模以上工业企业实现工业总产值283.8亿元，比上年同期下降0.6%。从主要行业看，非金属矿物制品业增长33.5%，铁路、船舶、航空航天和其他运输设备制造业增长28.5%，计算机、通信和其他电子设备制造业增长13.7%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黑体" w:eastAsia="黑体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1—11月，</w:t>
      </w:r>
      <w:r>
        <w:rPr>
          <w:rFonts w:hint="eastAsia" w:ascii="仿宋_GB2312" w:eastAsia="仿宋_GB2312"/>
          <w:sz w:val="28"/>
          <w:szCs w:val="28"/>
        </w:rPr>
        <w:t>全区规模以上工业企业实现销售产值277亿元，比上年同期下降1%，其中出口交货值9.3亿元，下降48.7%。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二、固定资产投资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1—11月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全区固定资产投资（不含农户）比上年同期增长16.6%。其中，基础设施投资增长12.2%；民间投资增长14.2%。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分产业看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，第一产业投资比上年同期下降75.3%；第二产业投资下降49.7%；第三产业投资增长19.2%。</w:t>
      </w:r>
    </w:p>
    <w:p>
      <w:pPr>
        <w:pStyle w:val="2"/>
        <w:tabs>
          <w:tab w:val="left" w:pos="5520"/>
        </w:tabs>
        <w:spacing w:line="500" w:lineRule="exact"/>
        <w:ind w:right="18" w:firstLine="551" w:firstLineChars="196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三、房地产开发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1—11月，全区房地产开发投资比上年同期增长12.2%。其中，住宅投资增长18.3%。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11月，全区商品房施工面积1392.2万平方米，比上年同期增长3%。其中，住宅施工面积718.7万平方米，增长13.9%。全区商品房新开工面积167.5万平方米，下降26%。全区商品房竣工面积151.4万平方米，比上年同期增长2.5倍。其中，住宅竣工面积88.2万平方米，增长3.1倍。</w:t>
      </w:r>
    </w:p>
    <w:p>
      <w:pPr>
        <w:pStyle w:val="2"/>
        <w:tabs>
          <w:tab w:val="left" w:pos="5520"/>
        </w:tabs>
        <w:spacing w:line="500" w:lineRule="exact"/>
        <w:ind w:right="18" w:firstLine="548" w:firstLineChars="196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1—11月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全区</w:t>
      </w:r>
      <w:r>
        <w:rPr>
          <w:rFonts w:hint="eastAsia" w:ascii="仿宋_GB2312" w:eastAsia="仿宋_GB2312"/>
          <w:sz w:val="28"/>
          <w:szCs w:val="28"/>
        </w:rPr>
        <w:t>销售商品房130.9万平方米，比上年同期增长71.6%，其中住宅104.5万平方米，增长88%。</w:t>
      </w:r>
    </w:p>
    <w:p>
      <w:pPr>
        <w:tabs>
          <w:tab w:val="left" w:pos="5760"/>
        </w:tabs>
        <w:spacing w:line="500" w:lineRule="exact"/>
        <w:ind w:right="-15" w:firstLine="63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四、消费品市场</w:t>
      </w:r>
    </w:p>
    <w:p>
      <w:pPr>
        <w:tabs>
          <w:tab w:val="left" w:pos="5760"/>
        </w:tabs>
        <w:spacing w:line="500" w:lineRule="exact"/>
        <w:ind w:right="-15" w:firstLine="630"/>
      </w:pPr>
      <w:r>
        <w:rPr>
          <w:rFonts w:hint="eastAsia" w:ascii="仿宋_GB2312" w:eastAsia="仿宋_GB2312"/>
          <w:sz w:val="28"/>
          <w:szCs w:val="28"/>
        </w:rPr>
        <w:t>1—11月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</w:rPr>
        <w:t>全区实现社会消费品零售额1295.2亿元，比上年同期增长9.8%。其中，限额以上企业实现零售额719.7亿元，增长14.9%；限额以下单位实现零售额575.5亿元，增长4%。在限额以上企业中，汽车类实现零售额131.6亿元，增长3.4%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36"/>
    <w:rsid w:val="005F63FD"/>
    <w:rsid w:val="006F4536"/>
    <w:rsid w:val="00E84D22"/>
    <w:rsid w:val="00F12723"/>
    <w:rsid w:val="66AD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106</Words>
  <Characters>610</Characters>
  <Lines>5</Lines>
  <Paragraphs>1</Paragraphs>
  <TotalTime>1</TotalTime>
  <ScaleCrop>false</ScaleCrop>
  <LinksUpToDate>false</LinksUpToDate>
  <CharactersWithSpaces>715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2021-12-20T02:51:00Z</dcterms:created>
  <dc:creator>hp</dc:creator>
  <cp:lastModifiedBy>信息员</cp:lastModifiedBy>
  <dcterms:modified xsi:type="dcterms:W3CDTF">2021-12-21T06:18:06Z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