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 w:hAnsiTheme="minorEastAsia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2023年</w:t>
      </w:r>
      <w:r>
        <w:rPr>
          <w:rFonts w:hint="eastAsia" w:ascii="方正小标宋简体" w:eastAsia="方正小标宋简体" w:hAnsiTheme="minorEastAsia"/>
          <w:sz w:val="44"/>
          <w:szCs w:val="44"/>
        </w:rPr>
        <w:t>1—2月丰台区经济运行情况</w:t>
      </w:r>
    </w:p>
    <w:bookmarkEnd w:id="0"/>
    <w:p>
      <w:pPr>
        <w:pStyle w:val="2"/>
        <w:jc w:val="center"/>
      </w:pP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一、工业生产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1—2月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全区规模以上工业企业实现工业总产值41.6亿元，比上年同期下降12.5%。从主要行业看，铁路、船舶、航空航天和其他运输设备制造业增长50.2%，专用设备制造业增长14.4%，非金属矿物制品业下降53.2%。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黑体" w:eastAsia="黑体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1—2月，</w:t>
      </w:r>
      <w:r>
        <w:rPr>
          <w:rFonts w:hint="eastAsia" w:ascii="仿宋_GB2312" w:eastAsia="仿宋_GB2312"/>
          <w:sz w:val="28"/>
          <w:szCs w:val="28"/>
        </w:rPr>
        <w:t>全区规模以上工业企业实现销售产值42.3亿元，比上年同期下降11.6%，其中出口交货值0.9亿元，下降54.2%。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二、固定资产投资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1—2月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全区固定资产投资（不含农户）比上年同期增长8.3%。其中，民间投资增长18.8%，基础设施投资下降56.9%。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分产业看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，第二产业投资比上年同期下降52.5%；第三产业投资增长9.8%。</w:t>
      </w:r>
    </w:p>
    <w:p>
      <w:pPr>
        <w:pStyle w:val="2"/>
        <w:tabs>
          <w:tab w:val="left" w:pos="5520"/>
        </w:tabs>
        <w:spacing w:line="500" w:lineRule="exact"/>
        <w:ind w:right="18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三、房地产开发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1—2月，全区房地产开发投资比上年同期增长24.4%。其中，住宅投资增长13.2%。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2月，全区商品房施工面积1165.9万平方米，比上年同期增长6.8%。其中，住宅施工面积603.1万平方米，增长5.4%。全区商品房新开工面积43.2万平方米，增长2.4倍。全区商品房竣工面积33.3万平方米，比上年同期增长13.5倍。其中，住宅竣工面积20.2万平方米，增长9.3倍。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1—2月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全区</w:t>
      </w:r>
      <w:r>
        <w:rPr>
          <w:rFonts w:hint="eastAsia" w:ascii="仿宋_GB2312" w:eastAsia="仿宋_GB2312"/>
          <w:sz w:val="28"/>
          <w:szCs w:val="28"/>
        </w:rPr>
        <w:t>销售商品房10.2万平方米，比上年同期增长6.8%，其中住宅8.6万平方米，增长23.9%。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四、消费品市场</w:t>
      </w:r>
    </w:p>
    <w:p>
      <w:pPr>
        <w:tabs>
          <w:tab w:val="left" w:pos="5760"/>
        </w:tabs>
        <w:spacing w:line="500" w:lineRule="exact"/>
        <w:ind w:right="-15" w:firstLine="630"/>
      </w:pPr>
      <w:r>
        <w:rPr>
          <w:rFonts w:hint="eastAsia" w:ascii="仿宋_GB2312" w:eastAsia="仿宋_GB2312"/>
          <w:sz w:val="28"/>
          <w:szCs w:val="28"/>
        </w:rPr>
        <w:t>1—2月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实现社会消费品零售额218.8亿元，比上年同期下降4.4%。其中，限额以上企业实现零售额111.9亿元，下降8.4%；限额以下单位实现零售额106.9亿元，增长0.2%。在限额以上企业中，汽车类实现零售额16.9亿元，下降10.8%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79"/>
    <w:rsid w:val="00193EE2"/>
    <w:rsid w:val="00483574"/>
    <w:rsid w:val="004D2AE0"/>
    <w:rsid w:val="00586051"/>
    <w:rsid w:val="00592D79"/>
    <w:rsid w:val="00D74048"/>
    <w:rsid w:val="00F12723"/>
    <w:rsid w:val="00FE4539"/>
    <w:rsid w:val="2892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rPr>
      <w:rFonts w:ascii="宋体" w:hAnsi="Courier New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</Words>
  <Characters>584</Characters>
  <Lines>4</Lines>
  <Paragraphs>1</Paragraphs>
  <TotalTime>2</TotalTime>
  <ScaleCrop>false</ScaleCrop>
  <LinksUpToDate>false</LinksUpToDate>
  <CharactersWithSpaces>685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2021-03-19T07:24:00Z</dcterms:created>
  <dc:creator>hp</dc:creator>
  <cp:lastModifiedBy>信息员</cp:lastModifiedBy>
  <dcterms:modified xsi:type="dcterms:W3CDTF">2023-03-22T08:24:21Z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