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丰台区经济运行情况</w:t>
      </w:r>
    </w:p>
    <w:p>
      <w:pPr>
        <w:pStyle w:val="2"/>
        <w:jc w:val="center"/>
      </w:pPr>
    </w:p>
    <w:p>
      <w:pPr>
        <w:pStyle w:val="2"/>
        <w:spacing w:line="440" w:lineRule="exact"/>
        <w:ind w:firstLine="56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hAnsi="Segoe UI" w:eastAsia="仿宋_GB2312" w:cs="Segoe UI"/>
          <w:color w:val="232930"/>
          <w:sz w:val="28"/>
          <w:szCs w:val="28"/>
          <w:shd w:val="clear" w:color="auto" w:fill="FFFFFF"/>
        </w:rPr>
        <w:t>一季度，在区委、区政府的坚强领导下，全区上下坚决贯彻落实党中央、国务院和市委、市政府决策部署，坚持稳中求进、以进促稳，着力扩内需、优结构、提信心、防风险，扎实推动高质量发展，生产需求继续好转，市场预期不断改善，总体经济回升向好。</w:t>
      </w:r>
    </w:p>
    <w:p>
      <w:pPr>
        <w:pStyle w:val="2"/>
        <w:spacing w:line="44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一、农业</w:t>
      </w:r>
    </w:p>
    <w:p>
      <w:pPr>
        <w:pStyle w:val="2"/>
        <w:spacing w:line="440" w:lineRule="exact"/>
        <w:ind w:left="-2" w:firstLine="560" w:firstLineChars="200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</w:t>
      </w:r>
      <w:r>
        <w:rPr>
          <w:rFonts w:ascii="仿宋_GB2312" w:eastAsia="仿宋_GB2312"/>
          <w:sz w:val="28"/>
          <w:szCs w:val="28"/>
        </w:rPr>
        <w:t>农</w:t>
      </w:r>
      <w:r>
        <w:rPr>
          <w:rFonts w:hint="eastAsia" w:ascii="仿宋_GB2312" w:eastAsia="仿宋_GB2312"/>
          <w:sz w:val="28"/>
          <w:szCs w:val="28"/>
        </w:rPr>
        <w:t>林牧渔</w:t>
      </w:r>
      <w:r>
        <w:rPr>
          <w:rFonts w:ascii="仿宋_GB2312" w:eastAsia="仿宋_GB2312"/>
          <w:sz w:val="28"/>
          <w:szCs w:val="28"/>
        </w:rPr>
        <w:t>业总产值</w:t>
      </w:r>
      <w:r>
        <w:rPr>
          <w:rFonts w:hint="eastAsia" w:ascii="仿宋_GB2312" w:eastAsia="仿宋_GB2312"/>
          <w:sz w:val="28"/>
          <w:szCs w:val="28"/>
        </w:rPr>
        <w:t>2377.3万元</w:t>
      </w:r>
      <w:r>
        <w:rPr>
          <w:rFonts w:ascii="仿宋_GB2312" w:eastAsia="仿宋_GB2312"/>
          <w:sz w:val="28"/>
          <w:szCs w:val="28"/>
        </w:rPr>
        <w:t>，比上年</w:t>
      </w:r>
      <w:r>
        <w:rPr>
          <w:rFonts w:hint="eastAsia" w:ascii="仿宋_GB2312" w:eastAsia="仿宋_GB2312"/>
          <w:sz w:val="28"/>
          <w:szCs w:val="28"/>
        </w:rPr>
        <w:t>同期下降5%</w:t>
      </w:r>
      <w:r>
        <w:rPr>
          <w:rFonts w:ascii="仿宋_GB2312" w:eastAsia="仿宋_GB2312"/>
          <w:sz w:val="28"/>
          <w:szCs w:val="28"/>
        </w:rPr>
        <w:t>。其中</w:t>
      </w:r>
      <w:r>
        <w:rPr>
          <w:rFonts w:hint="eastAsia" w:ascii="仿宋_GB2312" w:eastAsia="仿宋_GB2312"/>
          <w:sz w:val="28"/>
          <w:szCs w:val="28"/>
        </w:rPr>
        <w:t>，林业产值2070.3万元,下降8.9%；农业产值277.8万元,增长38.2%。</w:t>
      </w:r>
    </w:p>
    <w:p>
      <w:pPr>
        <w:pStyle w:val="2"/>
        <w:tabs>
          <w:tab w:val="left" w:pos="5520"/>
        </w:tabs>
        <w:spacing w:line="440" w:lineRule="exact"/>
        <w:ind w:right="18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一季度，</w:t>
      </w:r>
      <w:r>
        <w:rPr>
          <w:rFonts w:hint="eastAsia" w:ascii="仿宋_GB2312" w:eastAsia="仿宋_GB2312"/>
          <w:sz w:val="28"/>
          <w:szCs w:val="28"/>
        </w:rPr>
        <w:t>全区农业观光园共接待40万人次，比上年同期下降12.6%，实现总收入4795.6万元，下降2.1%。</w:t>
      </w:r>
    </w:p>
    <w:p>
      <w:pPr>
        <w:tabs>
          <w:tab w:val="left" w:pos="5760"/>
        </w:tabs>
        <w:spacing w:line="44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二、工业生产</w:t>
      </w:r>
    </w:p>
    <w:p>
      <w:pPr>
        <w:tabs>
          <w:tab w:val="left" w:pos="5760"/>
        </w:tabs>
        <w:spacing w:line="44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全区规模以上工业企业实现工业总产值68.5亿元，比上年同期增长6.1%。</w:t>
      </w:r>
    </w:p>
    <w:p>
      <w:pPr>
        <w:tabs>
          <w:tab w:val="left" w:pos="5760"/>
        </w:tabs>
        <w:spacing w:line="44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一季度，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全区规模以上工业企业实现销售产值62.5亿元，比上年同期下降6.9%，其中出口交货值1.7亿元，下降0.9%。</w:t>
      </w:r>
    </w:p>
    <w:p>
      <w:pPr>
        <w:pStyle w:val="2"/>
        <w:tabs>
          <w:tab w:val="left" w:pos="5520"/>
        </w:tabs>
        <w:spacing w:line="44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三、建筑业</w:t>
      </w:r>
    </w:p>
    <w:p>
      <w:pPr>
        <w:pStyle w:val="2"/>
        <w:tabs>
          <w:tab w:val="left" w:pos="5520"/>
        </w:tabs>
        <w:spacing w:line="440" w:lineRule="exact"/>
        <w:ind w:right="18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全区具有资质等级的建筑业企业</w:t>
      </w:r>
      <w:r>
        <w:rPr>
          <w:rFonts w:hint="eastAsia" w:ascii="仿宋_GB2312" w:eastAsia="仿宋_GB2312"/>
          <w:sz w:val="28"/>
          <w:szCs w:val="28"/>
        </w:rPr>
        <w:t>完成总产值538.5亿元，与上年同期持平。其中，在北京地区完成产值106.8亿元，增长14.6%；在外省完成产值431.7亿元，下降3.1%。</w:t>
      </w:r>
    </w:p>
    <w:p>
      <w:pPr>
        <w:tabs>
          <w:tab w:val="left" w:pos="5760"/>
        </w:tabs>
        <w:spacing w:line="44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四、固定资产投资</w:t>
      </w:r>
    </w:p>
    <w:p>
      <w:pPr>
        <w:tabs>
          <w:tab w:val="left" w:pos="5760"/>
        </w:tabs>
        <w:spacing w:line="44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全区固定资产投资（不含农户）比上年同期增长17%。其中，民间投资增长39.3%；建安投资下降0.3%。</w:t>
      </w:r>
    </w:p>
    <w:p>
      <w:pPr>
        <w:tabs>
          <w:tab w:val="left" w:pos="5760"/>
        </w:tabs>
        <w:spacing w:line="44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，第二产业投资比上年同期下降10.8%；第三产业投资增长17.3%。</w:t>
      </w:r>
    </w:p>
    <w:p>
      <w:pPr>
        <w:pStyle w:val="2"/>
        <w:tabs>
          <w:tab w:val="left" w:pos="5520"/>
        </w:tabs>
        <w:spacing w:line="44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五、房地产开发</w:t>
      </w:r>
    </w:p>
    <w:p>
      <w:pPr>
        <w:pStyle w:val="2"/>
        <w:tabs>
          <w:tab w:val="left" w:pos="5520"/>
        </w:tabs>
        <w:spacing w:line="44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一季度，全区房地产开发投资比上年同期增长11.3%。其中，住宅投资增长32.1%。</w:t>
      </w:r>
    </w:p>
    <w:p>
      <w:pPr>
        <w:pStyle w:val="2"/>
        <w:tabs>
          <w:tab w:val="left" w:pos="5520"/>
        </w:tabs>
        <w:spacing w:line="44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，全区房屋施工面积1092万平方米，比上年同期下降7.5%。其中，住宅施工面积595.6万平方米，下降2.4%。全区房屋新开工面积14.1万平方米，下降77.8%。全区房屋竣工面积53.8万平方米，比上年同期下降12.4%。其中，住宅竣工面积28.3万平方米，增长35.4%。</w:t>
      </w:r>
    </w:p>
    <w:p>
      <w:pPr>
        <w:pStyle w:val="2"/>
        <w:spacing w:line="440" w:lineRule="exact"/>
        <w:ind w:right="18"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销售商品房24.6万平方米，比上年同期下降10.4%，其中住宅11.2万平方米，下降48.2%。</w:t>
      </w:r>
    </w:p>
    <w:p>
      <w:pPr>
        <w:tabs>
          <w:tab w:val="left" w:pos="5760"/>
        </w:tabs>
        <w:spacing w:line="44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六、消费品市场</w:t>
      </w:r>
    </w:p>
    <w:p>
      <w:pPr>
        <w:tabs>
          <w:tab w:val="left" w:pos="5760"/>
        </w:tabs>
        <w:spacing w:line="440" w:lineRule="exact"/>
        <w:ind w:right="-15"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全区实现社会消费品零售总额339.1亿元，比上年同期增长0.4%。其中，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限额以上批发零售业和住宿餐饮业</w:t>
      </w:r>
      <w:r>
        <w:rPr>
          <w:rFonts w:hint="eastAsia" w:ascii="仿宋_GB2312" w:eastAsia="仿宋_GB2312"/>
          <w:sz w:val="28"/>
          <w:szCs w:val="28"/>
        </w:rPr>
        <w:t>实现网上零售额95.5亿元，下降2.1%。按消费形态分，商品零售311.8亿元，比上年同期增长0.4%；餐饮收入27.3亿元，增长0.7%。</w:t>
      </w:r>
    </w:p>
    <w:p>
      <w:pPr>
        <w:pStyle w:val="2"/>
        <w:spacing w:line="44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七、居民收支</w:t>
      </w:r>
    </w:p>
    <w:p>
      <w:pPr>
        <w:pStyle w:val="2"/>
        <w:spacing w:line="440" w:lineRule="exact"/>
        <w:ind w:right="18" w:firstLine="560" w:firstLineChars="200"/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全区居民人均可支配收入22945元，比上年同期增长7.3%。人均消费支出13904元，增长9%。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12C25"/>
    <w:rsid w:val="000147ED"/>
    <w:rsid w:val="00026A23"/>
    <w:rsid w:val="00042138"/>
    <w:rsid w:val="000461D8"/>
    <w:rsid w:val="00061738"/>
    <w:rsid w:val="00072011"/>
    <w:rsid w:val="000745D0"/>
    <w:rsid w:val="000755DC"/>
    <w:rsid w:val="00081D93"/>
    <w:rsid w:val="000835A3"/>
    <w:rsid w:val="000B6B29"/>
    <w:rsid w:val="000C1C9D"/>
    <w:rsid w:val="00104B41"/>
    <w:rsid w:val="00141144"/>
    <w:rsid w:val="00145693"/>
    <w:rsid w:val="001556E2"/>
    <w:rsid w:val="00172FB4"/>
    <w:rsid w:val="00183C75"/>
    <w:rsid w:val="001E438C"/>
    <w:rsid w:val="00200E43"/>
    <w:rsid w:val="00204D8B"/>
    <w:rsid w:val="00221ADA"/>
    <w:rsid w:val="002431BD"/>
    <w:rsid w:val="00246755"/>
    <w:rsid w:val="002B05F4"/>
    <w:rsid w:val="002B2610"/>
    <w:rsid w:val="002B40BF"/>
    <w:rsid w:val="002C0542"/>
    <w:rsid w:val="002C375E"/>
    <w:rsid w:val="00303E06"/>
    <w:rsid w:val="00322E70"/>
    <w:rsid w:val="003833B0"/>
    <w:rsid w:val="00400FA9"/>
    <w:rsid w:val="00422EB0"/>
    <w:rsid w:val="0043019B"/>
    <w:rsid w:val="004A58D3"/>
    <w:rsid w:val="004F6259"/>
    <w:rsid w:val="005362E4"/>
    <w:rsid w:val="00581FDF"/>
    <w:rsid w:val="005933F1"/>
    <w:rsid w:val="00621EAB"/>
    <w:rsid w:val="00640EB6"/>
    <w:rsid w:val="00645BC8"/>
    <w:rsid w:val="00657BA0"/>
    <w:rsid w:val="006613BE"/>
    <w:rsid w:val="006E0A30"/>
    <w:rsid w:val="00717111"/>
    <w:rsid w:val="0072294C"/>
    <w:rsid w:val="00752E86"/>
    <w:rsid w:val="00765135"/>
    <w:rsid w:val="00767F7F"/>
    <w:rsid w:val="007925C4"/>
    <w:rsid w:val="007A55AC"/>
    <w:rsid w:val="007A7E1E"/>
    <w:rsid w:val="007B108A"/>
    <w:rsid w:val="008045D3"/>
    <w:rsid w:val="00822374"/>
    <w:rsid w:val="00871E1C"/>
    <w:rsid w:val="008B421F"/>
    <w:rsid w:val="008F71CC"/>
    <w:rsid w:val="00957F77"/>
    <w:rsid w:val="00971758"/>
    <w:rsid w:val="009928BF"/>
    <w:rsid w:val="009C54A8"/>
    <w:rsid w:val="009E7C97"/>
    <w:rsid w:val="009F3A91"/>
    <w:rsid w:val="00A70ED0"/>
    <w:rsid w:val="00A735EA"/>
    <w:rsid w:val="00A8399B"/>
    <w:rsid w:val="00AB5D90"/>
    <w:rsid w:val="00AE1F63"/>
    <w:rsid w:val="00AE6CFA"/>
    <w:rsid w:val="00AF7140"/>
    <w:rsid w:val="00B00D04"/>
    <w:rsid w:val="00B1536C"/>
    <w:rsid w:val="00B36B6E"/>
    <w:rsid w:val="00B719F5"/>
    <w:rsid w:val="00B91259"/>
    <w:rsid w:val="00B959C7"/>
    <w:rsid w:val="00B96E88"/>
    <w:rsid w:val="00BB1291"/>
    <w:rsid w:val="00BF46EB"/>
    <w:rsid w:val="00BF5E7F"/>
    <w:rsid w:val="00C02450"/>
    <w:rsid w:val="00C16807"/>
    <w:rsid w:val="00C51A35"/>
    <w:rsid w:val="00C562B2"/>
    <w:rsid w:val="00CB243C"/>
    <w:rsid w:val="00CD0D3E"/>
    <w:rsid w:val="00CD4D4F"/>
    <w:rsid w:val="00CF20ED"/>
    <w:rsid w:val="00D07A68"/>
    <w:rsid w:val="00D219F2"/>
    <w:rsid w:val="00D271F5"/>
    <w:rsid w:val="00D47A0C"/>
    <w:rsid w:val="00D549DA"/>
    <w:rsid w:val="00D6187B"/>
    <w:rsid w:val="00D83A04"/>
    <w:rsid w:val="00DC77A0"/>
    <w:rsid w:val="00DD2BAC"/>
    <w:rsid w:val="00DE08CA"/>
    <w:rsid w:val="00DE2FD6"/>
    <w:rsid w:val="00E00EE7"/>
    <w:rsid w:val="00E03C4E"/>
    <w:rsid w:val="00E25D33"/>
    <w:rsid w:val="00E93D6C"/>
    <w:rsid w:val="00F558B5"/>
    <w:rsid w:val="00F76AE8"/>
    <w:rsid w:val="00F87595"/>
    <w:rsid w:val="00F96D26"/>
    <w:rsid w:val="00FF4381"/>
    <w:rsid w:val="55AB50FB"/>
    <w:rsid w:val="7344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866</Characters>
  <Lines>7</Lines>
  <Paragraphs>2</Paragraphs>
  <TotalTime>266</TotalTime>
  <ScaleCrop>false</ScaleCrop>
  <LinksUpToDate>false</LinksUpToDate>
  <CharactersWithSpaces>1015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2019-04-24T02:06:00Z</dcterms:created>
  <dc:creator>hp</dc:creator>
  <cp:lastModifiedBy>信息员</cp:lastModifiedBy>
  <dcterms:modified xsi:type="dcterms:W3CDTF">2024-04-26T03:08:43Z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