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Calibri" w:eastAsia="方正小标宋简体"/>
          <w:kern w:val="2"/>
          <w:sz w:val="44"/>
          <w:szCs w:val="44"/>
          <w:lang w:eastAsia="zh-CN"/>
        </w:rPr>
      </w:pPr>
      <w:r>
        <w:rPr>
          <w:rFonts w:hint="eastAsia" w:ascii="方正小标宋简体" w:hAnsi="宋体" w:eastAsia="方正小标宋简体" w:cs="宋体"/>
          <w:kern w:val="0"/>
          <w:sz w:val="44"/>
          <w:szCs w:val="44"/>
          <w:lang w:val="en-US" w:eastAsia="zh-CN"/>
        </w:rPr>
        <w:t>马家堡街道办事处2022</w:t>
      </w:r>
      <w:r>
        <w:rPr>
          <w:rFonts w:hint="eastAsia" w:ascii="方正小标宋简体" w:hAnsi="Calibri" w:eastAsia="方正小标宋简体"/>
          <w:kern w:val="2"/>
          <w:sz w:val="44"/>
          <w:szCs w:val="44"/>
          <w:lang w:eastAsia="zh-CN"/>
        </w:rPr>
        <w:t>年法治政府建设</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Calibri" w:eastAsia="方正小标宋简体"/>
          <w:kern w:val="2"/>
          <w:sz w:val="44"/>
          <w:szCs w:val="44"/>
          <w:lang w:eastAsia="zh-CN"/>
        </w:rPr>
      </w:pPr>
      <w:bookmarkStart w:id="0" w:name="_GoBack"/>
      <w:bookmarkEnd w:id="0"/>
      <w:r>
        <w:rPr>
          <w:rFonts w:hint="eastAsia" w:ascii="方正小标宋简体" w:eastAsia="方正小标宋简体"/>
          <w:kern w:val="2"/>
          <w:sz w:val="44"/>
          <w:szCs w:val="44"/>
          <w:lang w:eastAsia="zh-CN"/>
        </w:rPr>
        <w:t>年度情况</w:t>
      </w:r>
      <w:r>
        <w:rPr>
          <w:rFonts w:hint="eastAsia" w:ascii="方正小标宋简体" w:hAnsi="Calibri" w:eastAsia="方正小标宋简体"/>
          <w:kern w:val="2"/>
          <w:sz w:val="44"/>
          <w:szCs w:val="44"/>
          <w:lang w:eastAsia="zh-CN"/>
        </w:rPr>
        <w:t>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s="Calibri"/>
          <w:kern w:val="0"/>
          <w:sz w:val="32"/>
          <w:szCs w:val="32"/>
          <w:lang w:eastAsia="zh-CN"/>
        </w:rPr>
      </w:pPr>
      <w:r>
        <w:rPr>
          <w:rFonts w:hint="eastAsia" w:ascii="仿宋_GB2312" w:eastAsia="仿宋_GB2312" w:cs="Calibri"/>
          <w:kern w:val="0"/>
          <w:sz w:val="32"/>
          <w:szCs w:val="32"/>
          <w:lang w:eastAsia="zh-CN"/>
        </w:rPr>
        <w:t>2022年以来，我街道办事处的法治政府建设工作在区委全面依法治区委员会的精心指导下，在街道党工委的正确领导下，认真贯彻落实全国和市、区法治工作精神，坚持以科学发展观和社会主义法治理念为指导，坚持宪法和法律至上的价值取向，以维护社会公平为主旨，紧紧围绕“法治街道”创建工作目标，着眼于四个文明建设协调发展，全面深化法治政府建设，全面提升依法行政水平，法治建设工作取得了明显的成效，现将有关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一、202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年法治政府建设主要举措和成效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（一）强化组织领导，依法执政水平不断提升</w:t>
      </w:r>
    </w:p>
    <w:p>
      <w:pPr>
        <w:pStyle w:val="4"/>
        <w:keepNext w:val="0"/>
        <w:keepLines w:val="0"/>
        <w:pageBreakBefore w:val="0"/>
        <w:widowControl w:val="0"/>
        <w:numPr>
          <w:ilvl w:val="0"/>
          <w:numId w:val="0"/>
        </w:numPr>
        <w:kinsoku/>
        <w:wordWrap/>
        <w:overflowPunct/>
        <w:topLinePunct w:val="0"/>
        <w:autoSpaceDE w:val="0"/>
        <w:autoSpaceDN/>
        <w:bidi w:val="0"/>
        <w:adjustRightInd/>
        <w:snapToGrid/>
        <w:spacing w:beforeAutospacing="0" w:after="0" w:afterAutospacing="0" w:line="560" w:lineRule="exact"/>
        <w:ind w:leftChars="0" w:right="0" w:rightChars="0" w:firstLine="640" w:firstLineChars="200"/>
        <w:textAlignment w:val="auto"/>
        <w:rPr>
          <w:rFonts w:hint="eastAsia"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1.党工委办事处依法执政能力得到增强。完善和建立了法治建设工作领导小组、依法行政协调指导小组、“八五”普法领导小组等一系列创建工作组织。党工委健全依法决策、科学决策、民主决策机制，积极推进党务政务公开，党政主要负责人切实履行第一责任人职责，将法治建设纳入党工委重要议事范围，基本形成主要领导亲自抓，分管领导具体抓，相关科室、所队配合抓的工作局势，进一步健全了党政主要领导权力监督机制和党风廉政建设责任制，党工委依法执政能力得到了进一步提高。</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Calibri"/>
          <w:kern w:val="0"/>
          <w:sz w:val="32"/>
          <w:szCs w:val="32"/>
          <w:lang w:val="en-US" w:eastAsia="zh-CN" w:bidi="ar-SA"/>
        </w:rPr>
        <w:t>2.</w:t>
      </w:r>
      <w:r>
        <w:rPr>
          <w:rFonts w:hint="eastAsia" w:ascii="仿宋_GB2312" w:hAnsi="Calibri" w:eastAsia="仿宋_GB2312" w:cs="Calibri"/>
          <w:kern w:val="0"/>
          <w:sz w:val="32"/>
          <w:szCs w:val="32"/>
          <w:lang w:val="en-US" w:eastAsia="zh-CN" w:bidi="ar-SA"/>
        </w:rPr>
        <w:t>严实推进合法性审查全覆盖。</w:t>
      </w:r>
      <w:r>
        <w:rPr>
          <w:rFonts w:ascii="仿宋_GB2312" w:eastAsia="仿宋_GB2312" w:cs="仿宋_GB2312"/>
          <w:sz w:val="32"/>
          <w:szCs w:val="32"/>
        </w:rPr>
        <w:t>一是建章立制压实责任。在区司法局指导下，我街道根据市、区有关文件精神，成立了由办事处主任任组长、党工委副书记任常务副组长、政法委员任副组长的工作小组，构建了以“司法所+街道法律顾问+党工办”三位一体的合法性审查队伍，全面落实“统一管理、分工负责、全面审查”的工作责任，并制定了《马家堡街道办事处重大行政执法案件集体讨论制度》。二是配强力量规范流程。目前司法所共有政法专项编制人员3名，</w:t>
      </w:r>
      <w:r>
        <w:rPr>
          <w:rFonts w:hint="eastAsia" w:ascii="仿宋_GB2312" w:eastAsia="仿宋_GB2312" w:cs="仿宋_GB2312"/>
          <w:sz w:val="32"/>
          <w:szCs w:val="32"/>
          <w:lang w:val="en-US" w:eastAsia="zh-CN"/>
        </w:rPr>
        <w:t>3</w:t>
      </w:r>
      <w:r>
        <w:rPr>
          <w:rFonts w:ascii="仿宋_GB2312" w:eastAsia="仿宋_GB2312" w:cs="仿宋_GB2312"/>
          <w:sz w:val="32"/>
          <w:szCs w:val="32"/>
        </w:rPr>
        <w:t>人</w:t>
      </w:r>
      <w:r>
        <w:rPr>
          <w:rFonts w:hint="eastAsia" w:ascii="仿宋_GB2312" w:eastAsia="仿宋_GB2312" w:cs="仿宋_GB2312"/>
          <w:sz w:val="32"/>
          <w:szCs w:val="32"/>
          <w:lang w:val="en-US" w:eastAsia="zh-CN"/>
        </w:rPr>
        <w:t>均</w:t>
      </w:r>
      <w:r>
        <w:rPr>
          <w:rFonts w:ascii="仿宋_GB2312" w:eastAsia="仿宋_GB2312" w:cs="仿宋_GB2312"/>
          <w:sz w:val="32"/>
          <w:szCs w:val="32"/>
        </w:rPr>
        <w:t>为法学专业毕业，参与街道级合法性审查工作合作律师2名。为切实推进合法性审查全覆盖，提供专业优势。三是创新制度提高实效。街道根据事项难易复杂程度，分级分类抓好落实，对于格式合同、简单租赁合同等由司法所人员负责审查；重大政府合同、重大行政决策等审查事项由司法所协同街道法律顾问进行联合审查；居委会自治章程、社区公约由社区法律顾问进行审查。同时，针对涉及重大决策事项较多的城管、城建、市民活动中心等部门，由党工办牵头，会同司法所以及法律顾问定期与相关科室负责人沟通交流，将审查端口前移至决策形成初期，通过前期介入、预审预判、法律解读等方式，促进合法性审查工作提质增效。今年以来，共开展合法性审查</w:t>
      </w:r>
      <w:r>
        <w:rPr>
          <w:rFonts w:hint="eastAsia" w:ascii="仿宋_GB2312" w:eastAsia="仿宋_GB2312" w:cs="仿宋_GB2312"/>
          <w:sz w:val="32"/>
          <w:szCs w:val="32"/>
          <w:lang w:val="en-US" w:eastAsia="zh-CN"/>
        </w:rPr>
        <w:t>230</w:t>
      </w:r>
      <w:r>
        <w:rPr>
          <w:rFonts w:ascii="仿宋_GB2312" w:eastAsia="仿宋_GB2312" w:cs="仿宋_GB2312"/>
          <w:sz w:val="32"/>
          <w:szCs w:val="32"/>
        </w:rPr>
        <w:t>件，主要包括协议、合同等重大事项。提供法律意见书5件。</w:t>
      </w:r>
    </w:p>
    <w:p>
      <w:pPr>
        <w:pStyle w:val="4"/>
        <w:keepNext w:val="0"/>
        <w:keepLines w:val="0"/>
        <w:pageBreakBefore w:val="0"/>
        <w:widowControl w:val="0"/>
        <w:numPr>
          <w:ilvl w:val="0"/>
          <w:numId w:val="0"/>
        </w:numPr>
        <w:kinsoku/>
        <w:wordWrap/>
        <w:overflowPunct/>
        <w:topLinePunct w:val="0"/>
        <w:autoSpaceDE w:val="0"/>
        <w:autoSpaceDN/>
        <w:bidi w:val="0"/>
        <w:adjustRightInd/>
        <w:snapToGrid/>
        <w:spacing w:beforeAutospacing="0" w:after="0" w:afterAutospacing="0" w:line="560" w:lineRule="exact"/>
        <w:ind w:right="0" w:rightChars="0" w:firstLine="640" w:firstLineChars="200"/>
        <w:textAlignment w:val="auto"/>
        <w:rPr>
          <w:rFonts w:hint="eastAsia"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（二）加大宣教力度，学法守法意识不断深入</w:t>
      </w:r>
    </w:p>
    <w:p>
      <w:pPr>
        <w:pStyle w:val="4"/>
        <w:keepNext w:val="0"/>
        <w:keepLines w:val="0"/>
        <w:pageBreakBefore w:val="0"/>
        <w:widowControl w:val="0"/>
        <w:numPr>
          <w:ilvl w:val="0"/>
          <w:numId w:val="0"/>
        </w:numPr>
        <w:kinsoku/>
        <w:wordWrap/>
        <w:overflowPunct/>
        <w:topLinePunct w:val="0"/>
        <w:autoSpaceDE w:val="0"/>
        <w:autoSpaceDN/>
        <w:bidi w:val="0"/>
        <w:adjustRightInd/>
        <w:snapToGrid/>
        <w:spacing w:beforeAutospacing="0" w:after="0" w:afterAutospacing="0" w:line="560" w:lineRule="exact"/>
        <w:ind w:right="0" w:rightChars="0" w:firstLine="640" w:firstLineChars="200"/>
        <w:textAlignment w:val="auto"/>
        <w:rPr>
          <w:rFonts w:hint="eastAsia"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1.动员部署。年初召开专题会议进行动员部署，不同层面广泛宣传，司法所拟定普法宣传教育工作计划，不定期深入基层开展普法宣传。</w:t>
      </w:r>
    </w:p>
    <w:p>
      <w:pPr>
        <w:pStyle w:val="4"/>
        <w:keepNext w:val="0"/>
        <w:keepLines w:val="0"/>
        <w:pageBreakBefore w:val="0"/>
        <w:widowControl w:val="0"/>
        <w:numPr>
          <w:ilvl w:val="0"/>
          <w:numId w:val="0"/>
        </w:numPr>
        <w:kinsoku/>
        <w:wordWrap/>
        <w:overflowPunct/>
        <w:topLinePunct w:val="0"/>
        <w:autoSpaceDE w:val="0"/>
        <w:autoSpaceDN/>
        <w:bidi w:val="0"/>
        <w:adjustRightInd/>
        <w:snapToGrid/>
        <w:spacing w:beforeAutospacing="0" w:after="0" w:afterAutospacing="0" w:line="560" w:lineRule="exact"/>
        <w:ind w:right="0" w:rightChars="0" w:firstLine="640" w:firstLineChars="200"/>
        <w:textAlignment w:val="auto"/>
        <w:rPr>
          <w:rFonts w:hint="eastAsia"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2.学法守法。党工委健全党政领导干部学法治度，把法治建设列入街道领导班子理论中心组学习的重要内容，中心组学习法律知识和政策理论，每年不少于四次，机关干部每年均组织开展普法知识测试。今年街道还举办了社区法律明白人普法知识培训班，辖区楼宇线上普法讲座，组织基层社区妇女主任学习妇女权益保障法等，多形式、多内容、多层面进行培训教育。</w:t>
      </w:r>
    </w:p>
    <w:p>
      <w:pPr>
        <w:pStyle w:val="4"/>
        <w:keepNext w:val="0"/>
        <w:keepLines w:val="0"/>
        <w:pageBreakBefore w:val="0"/>
        <w:widowControl w:val="0"/>
        <w:numPr>
          <w:ilvl w:val="0"/>
          <w:numId w:val="0"/>
        </w:numPr>
        <w:kinsoku/>
        <w:wordWrap/>
        <w:overflowPunct/>
        <w:topLinePunct w:val="0"/>
        <w:autoSpaceDE w:val="0"/>
        <w:autoSpaceDN/>
        <w:bidi w:val="0"/>
        <w:adjustRightInd/>
        <w:snapToGrid/>
        <w:spacing w:beforeAutospacing="0" w:after="0" w:afterAutospacing="0" w:line="560" w:lineRule="exact"/>
        <w:ind w:right="0" w:rightChars="0" w:firstLine="640" w:firstLineChars="200"/>
        <w:textAlignment w:val="auto"/>
        <w:rPr>
          <w:rFonts w:hint="eastAsia"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3.营造氛围。为了使法治政府建设深入人心，我街道各社区在主要街道、路口、住宅小区悬挂普法横幅、定期不定期利用橱窗、微信公众号专栏刊登法治建设内容进行宣传。</w:t>
      </w:r>
    </w:p>
    <w:p>
      <w:pPr>
        <w:pStyle w:val="4"/>
        <w:autoSpaceDE w:val="0"/>
        <w:spacing w:beforeAutospacing="0" w:after="0" w:afterAutospacing="0" w:line="560" w:lineRule="exact"/>
        <w:ind w:firstLine="640" w:firstLineChars="200"/>
        <w:rPr>
          <w:rFonts w:ascii="黑体" w:hAnsi="黑体" w:eastAsia="黑体" w:cs="仿宋_GB2312"/>
          <w:sz w:val="32"/>
          <w:szCs w:val="32"/>
        </w:rPr>
      </w:pPr>
      <w:r>
        <w:rPr>
          <w:rFonts w:hint="eastAsia" w:ascii="仿宋_GB2312" w:hAnsi="Calibri" w:eastAsia="仿宋_GB2312" w:cs="Calibri"/>
          <w:kern w:val="0"/>
          <w:sz w:val="32"/>
          <w:szCs w:val="32"/>
          <w:lang w:val="en-US" w:eastAsia="zh-CN" w:bidi="ar-SA"/>
        </w:rPr>
        <w:t>（三）着力打造法治马家堡特色，推进法治政府建设</w:t>
      </w:r>
    </w:p>
    <w:p>
      <w:pPr>
        <w:pStyle w:val="4"/>
        <w:autoSpaceDE w:val="0"/>
        <w:spacing w:beforeAutospacing="0" w:after="0" w:afterAutospacing="0" w:line="560" w:lineRule="exact"/>
        <w:ind w:firstLine="640" w:firstLineChars="200"/>
        <w:rPr>
          <w:rFonts w:ascii="仿宋_GB2312" w:eastAsia="仿宋_GB2312" w:cs="仿宋_GB2312"/>
          <w:sz w:val="32"/>
          <w:szCs w:val="32"/>
        </w:rPr>
      </w:pPr>
      <w:r>
        <w:rPr>
          <w:rFonts w:hint="eastAsia" w:ascii="仿宋_GB2312" w:hAnsi="Calibri" w:eastAsia="仿宋_GB2312" w:cs="Calibri"/>
          <w:kern w:val="0"/>
          <w:sz w:val="32"/>
          <w:szCs w:val="32"/>
          <w:lang w:val="en-US" w:eastAsia="zh-CN" w:bidi="ar-SA"/>
        </w:rPr>
        <w:t>1.建立惩防体系基本框架。</w:t>
      </w:r>
      <w:r>
        <w:rPr>
          <w:rFonts w:ascii="仿宋_GB2312" w:eastAsia="仿宋_GB2312" w:cs="仿宋_GB2312"/>
          <w:sz w:val="32"/>
          <w:szCs w:val="32"/>
        </w:rPr>
        <w:t>我街道坚持以三大载体建设为抓手，以构建惩防体系为载体，建立健全教育、制度、监督并重的惩治和预防腐败新机制</w:t>
      </w:r>
      <w:r>
        <w:rPr>
          <w:rFonts w:hint="eastAsia" w:ascii="仿宋_GB2312" w:eastAsia="仿宋_GB2312" w:cs="仿宋_GB2312"/>
          <w:sz w:val="32"/>
          <w:szCs w:val="32"/>
          <w:lang w:eastAsia="zh-CN"/>
        </w:rPr>
        <w:t>，</w:t>
      </w:r>
      <w:r>
        <w:rPr>
          <w:rFonts w:ascii="仿宋_GB2312" w:eastAsia="仿宋_GB2312" w:cs="仿宋_GB2312"/>
          <w:sz w:val="32"/>
          <w:szCs w:val="32"/>
        </w:rPr>
        <w:t>主要内容</w:t>
      </w:r>
      <w:r>
        <w:rPr>
          <w:rFonts w:hint="eastAsia" w:ascii="仿宋_GB2312" w:eastAsia="仿宋_GB2312" w:cs="仿宋_GB2312"/>
          <w:sz w:val="32"/>
          <w:szCs w:val="32"/>
          <w:lang w:eastAsia="zh-CN"/>
        </w:rPr>
        <w:t>如下：</w:t>
      </w:r>
      <w:r>
        <w:rPr>
          <w:rFonts w:ascii="仿宋_GB2312" w:eastAsia="仿宋_GB2312" w:cs="仿宋_GB2312"/>
          <w:sz w:val="32"/>
          <w:szCs w:val="32"/>
        </w:rPr>
        <w:t>加强宣教力度，筑牢拒腐防变的思想道德防线；健全制度，规范管理，依纪管党；强化监督，健全监控机制；依法办案，强化惩处和责任追究；加强领导，明确责任，抓好落实。通过惩防体系建设，</w:t>
      </w:r>
      <w:r>
        <w:rPr>
          <w:rFonts w:hint="eastAsia" w:ascii="仿宋_GB2312" w:eastAsia="仿宋_GB2312" w:cs="仿宋_GB2312"/>
          <w:sz w:val="32"/>
          <w:szCs w:val="32"/>
          <w:lang w:eastAsia="zh-CN"/>
        </w:rPr>
        <w:t>深化政务、党务公开，打造阳光政府，</w:t>
      </w:r>
      <w:r>
        <w:rPr>
          <w:rFonts w:ascii="仿宋_GB2312" w:eastAsia="仿宋_GB2312" w:cs="仿宋_GB2312"/>
          <w:sz w:val="32"/>
          <w:szCs w:val="32"/>
        </w:rPr>
        <w:t>全街道党员、干部依法行政、依法执政的理念、水平得到进一步提升。</w:t>
      </w:r>
    </w:p>
    <w:p>
      <w:pPr>
        <w:pStyle w:val="4"/>
        <w:autoSpaceDE w:val="0"/>
        <w:spacing w:beforeAutospacing="0" w:after="0" w:afterAutospacing="0" w:line="560" w:lineRule="exact"/>
        <w:ind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2.夯实各项举措，有效保障街道工作落实。</w:t>
      </w:r>
      <w:r>
        <w:rPr>
          <w:rFonts w:ascii="仿宋_GB2312" w:eastAsia="仿宋_GB2312" w:cs="仿宋_GB2312"/>
          <w:sz w:val="32"/>
          <w:szCs w:val="32"/>
        </w:rPr>
        <w:t>深入推进法治政府创建活动，必须坚持以人为本，维护好人民群众的经济、政治和文化利益，为富民安民服务。因此，我街道把解决人民群众最关注的热点难点问题，作为深入推进“法治政府”建设的重要切入点</w:t>
      </w:r>
      <w:r>
        <w:rPr>
          <w:rFonts w:hint="eastAsia" w:ascii="仿宋_GB2312" w:eastAsia="仿宋_GB2312" w:cs="仿宋_GB2312"/>
          <w:sz w:val="32"/>
          <w:szCs w:val="32"/>
          <w:lang w:eastAsia="zh-CN"/>
        </w:rPr>
        <w:t>；此外，</w:t>
      </w:r>
      <w:r>
        <w:rPr>
          <w:rFonts w:hint="eastAsia" w:ascii="仿宋_GB2312" w:eastAsia="仿宋_GB2312" w:cs="仿宋_GB2312"/>
          <w:sz w:val="32"/>
          <w:szCs w:val="32"/>
        </w:rPr>
        <w:t>我街道</w:t>
      </w:r>
      <w:r>
        <w:rPr>
          <w:rFonts w:hint="eastAsia" w:ascii="仿宋_GB2312" w:eastAsia="仿宋_GB2312" w:cs="仿宋_GB2312"/>
          <w:sz w:val="32"/>
          <w:szCs w:val="32"/>
          <w:lang w:eastAsia="zh-CN"/>
        </w:rPr>
        <w:t>始终</w:t>
      </w:r>
      <w:r>
        <w:rPr>
          <w:rFonts w:hint="eastAsia" w:ascii="仿宋_GB2312" w:eastAsia="仿宋_GB2312" w:cs="仿宋_GB2312"/>
          <w:sz w:val="32"/>
          <w:szCs w:val="32"/>
        </w:rPr>
        <w:t>将法治政府建设作为推进经济发展、城市更新、精细化管理、组织换届等中心任务的重要支撑，确保相关工作依法依规有力推进。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年法治政府建设存在的问题与不足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1.依法行政阻力较大。我街道辖区面积小人口多，街道老旧小区多，常住人口老年人多，流动人口多，街道依法行政工作开展难度较大。</w:t>
      </w:r>
    </w:p>
    <w:p>
      <w:pPr>
        <w:pStyle w:val="4"/>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firstLine="640" w:firstLineChars="200"/>
        <w:textAlignment w:val="auto"/>
        <w:rPr>
          <w:rFonts w:hint="eastAsia"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2. 整体干部队伍法治水平有待提高。部分行政人员自身的法律综合素质和业务能力还不能完全适应依法行政的要求，对如何依法依规依程序开展行政执法的认识仍有待提高。</w:t>
      </w:r>
    </w:p>
    <w:p>
      <w:pPr>
        <w:pStyle w:val="4"/>
        <w:autoSpaceDE w:val="0"/>
        <w:spacing w:beforeAutospacing="0" w:after="0" w:afterAutospacing="0" w:line="560" w:lineRule="exact"/>
        <w:ind w:firstLine="640" w:firstLineChars="200"/>
        <w:rPr>
          <w:rFonts w:hint="default"/>
          <w:lang w:val="en-US" w:eastAsia="zh-CN"/>
        </w:rPr>
      </w:pPr>
      <w:r>
        <w:rPr>
          <w:rFonts w:hint="eastAsia" w:ascii="仿宋_GB2312" w:hAnsi="Calibri" w:eastAsia="仿宋_GB2312" w:cs="Calibri"/>
          <w:kern w:val="0"/>
          <w:sz w:val="32"/>
          <w:szCs w:val="32"/>
          <w:lang w:val="en-US" w:eastAsia="zh-CN" w:bidi="ar-SA"/>
        </w:rPr>
        <w:t>3.法治宣传教育工作不够深入。街道的法治宣传教育工作形式影响力不足，基层群众主动学法、懂法的意识不足，没有在群众中充分形成自觉学法、守法、用法的风气。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三、202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年党政主要负责人履行推进法治政府建设第一责任人职责情况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1.高度重视法治政府建设工作，带头学习相关法律法规。为全面贯彻落实党中央、市、区关于法治建设的重大决策部署，统筹推进科学立法、严格执法、公正司法、全民守法，我街道党政主要负责人坚持对法治建设重要工作亲自部署、重大问题亲自过问、重点环节亲自协调、重要任务亲自督办，高度重视并全力完成全面法治建设各项工作任务，将相关法律法规列为重要培训内容，带头学习，教育引导广大干部不断提高运用法治思维和法治方法的能力，切实增强思想自觉和行动自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2.切实发挥党支部在推进我街道法治建设中的领导核心作用。今年以来，我街道主要负责人严格履行推进法治政府建设第一责任人的职责，作为重要的组织者、推动者和实践者，充分发挥党支部统揽全局、协调各方的作用，党支部成员带头学法、模范用法，促使各部门及相关工作人员依法依规开展行政工作，共同推进法治政府、法治社会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3.强化监督作用，履行第一责任人职责。为树立鲜明的用人导向，确保党政主要负责人切实履行推进法治政府建设第一责任人职责，我街道将本单位党政主要负责人履行推进法治政府建设第一责任人职责情况纳入综合考核指标体系，使其作为考察干部工作实效的重要依据，加强对党政主要负责人履职情况的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w:t>
      </w:r>
      <w:r>
        <w:rPr>
          <w:rFonts w:hint="default" w:ascii="黑体" w:hAnsi="黑体" w:eastAsia="黑体" w:cs="黑体"/>
          <w:sz w:val="32"/>
          <w:szCs w:val="36"/>
          <w:lang w:val="en-US" w:eastAsia="zh-CN"/>
        </w:rPr>
        <w:t>3</w:t>
      </w:r>
      <w:r>
        <w:rPr>
          <w:rFonts w:hint="eastAsia" w:ascii="黑体" w:hAnsi="黑体" w:eastAsia="黑体" w:cs="黑体"/>
          <w:sz w:val="32"/>
          <w:szCs w:val="36"/>
          <w:lang w:val="en-US" w:eastAsia="zh-CN"/>
        </w:rPr>
        <w:t>年法治政府建设工作初步安排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Calibri"/>
          <w:kern w:val="0"/>
          <w:sz w:val="32"/>
          <w:szCs w:val="32"/>
          <w:lang w:val="en-US" w:eastAsia="zh-CN" w:bidi="ar-SA"/>
        </w:rPr>
      </w:pPr>
      <w:r>
        <w:rPr>
          <w:rFonts w:hint="eastAsia" w:ascii="仿宋_GB2312" w:eastAsia="仿宋_GB2312" w:cs="Calibri"/>
          <w:kern w:val="0"/>
          <w:sz w:val="32"/>
          <w:szCs w:val="32"/>
          <w:lang w:val="en-US" w:eastAsia="zh-CN" w:bidi="ar-SA"/>
        </w:rPr>
        <w:t>1.</w:t>
      </w:r>
      <w:r>
        <w:rPr>
          <w:rFonts w:hint="eastAsia" w:ascii="仿宋_GB2312" w:hAnsi="Calibri" w:eastAsia="仿宋_GB2312" w:cs="Calibri"/>
          <w:kern w:val="0"/>
          <w:sz w:val="32"/>
          <w:szCs w:val="32"/>
          <w:lang w:val="en-US" w:eastAsia="zh-CN" w:bidi="ar-SA"/>
        </w:rPr>
        <w:t>加强法治建设工作组织领导，进一步提高法治政府建设水平。我街道将继续深入学习党的二十大精神、习近平法治思想，切实履行党政主要负责人推行法治政府建设第一责任人职责，加强党对全面依法行政工作的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Calibri"/>
          <w:kern w:val="0"/>
          <w:sz w:val="32"/>
          <w:szCs w:val="32"/>
          <w:lang w:val="en-US" w:eastAsia="zh-CN" w:bidi="ar-SA"/>
        </w:rPr>
      </w:pPr>
      <w:r>
        <w:rPr>
          <w:rFonts w:hint="eastAsia" w:ascii="仿宋_GB2312" w:hAnsi="Calibri" w:eastAsia="仿宋_GB2312" w:cs="Calibri"/>
          <w:kern w:val="0"/>
          <w:sz w:val="32"/>
          <w:szCs w:val="32"/>
          <w:lang w:val="en-US" w:eastAsia="zh-CN" w:bidi="ar-SA"/>
        </w:rPr>
        <w:t>2.建立健全各项工作机制，巩固提高干部依法行政的能力。我街道将不断总结工作经验，探索工作路径，培育先进典型，结合辖区内实际情况，建立健全各项工作机制，推进法治建设各项工作任务全面落实；加大对干部的依法行政培训力度，切实提高干部依法行政的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Calibri"/>
          <w:kern w:val="0"/>
          <w:sz w:val="32"/>
          <w:szCs w:val="32"/>
          <w:lang w:val="en-US" w:eastAsia="zh-CN" w:bidi="ar-SA"/>
        </w:rPr>
      </w:pPr>
      <w:r>
        <w:rPr>
          <w:rFonts w:hint="eastAsia" w:ascii="仿宋_GB2312" w:eastAsia="仿宋_GB2312" w:cs="Calibri"/>
          <w:kern w:val="0"/>
          <w:sz w:val="32"/>
          <w:szCs w:val="32"/>
          <w:lang w:val="en-US" w:eastAsia="zh-CN" w:bidi="ar-SA"/>
        </w:rPr>
        <w:t>3.深化普法教育，形成群众自觉学法、用法、守法的新风尚。切实加强对法治宣传教育公祖的领导检查和督促，确保法治宣传教育规划落到实处；丰富普法教育的内容和形式，广泛开展法治宣传教育进机关、进社区、进学校、进单位活动，培育群众守法、用法、守法的自觉性。</w:t>
      </w:r>
      <w:r>
        <w:rPr>
          <w:rFonts w:hint="eastAsia" w:ascii="仿宋_GB2312" w:hAnsi="Calibri" w:eastAsia="仿宋_GB2312" w:cs="Calibri"/>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Calibri"/>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Calibri"/>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Calibri"/>
          <w:kern w:val="0"/>
          <w:sz w:val="32"/>
          <w:szCs w:val="32"/>
          <w:lang w:val="en-US" w:eastAsia="zh-CN" w:bidi="ar-SA"/>
        </w:rPr>
      </w:pPr>
    </w:p>
    <w:p>
      <w:pPr>
        <w:pStyle w:val="2"/>
        <w:rPr>
          <w:rFonts w:hint="eastAsia"/>
          <w:lang w:val="en-US" w:eastAsia="zh-CN"/>
        </w:rPr>
      </w:pPr>
    </w:p>
    <w:p>
      <w:pPr>
        <w:keepNext w:val="0"/>
        <w:keepLines w:val="0"/>
        <w:pageBreakBefore w:val="0"/>
        <w:kinsoku/>
        <w:wordWrap/>
        <w:overflowPunct/>
        <w:topLinePunct w:val="0"/>
        <w:autoSpaceDE/>
        <w:autoSpaceDN/>
        <w:bidi w:val="0"/>
        <w:spacing w:line="560" w:lineRule="exact"/>
        <w:textAlignment w:val="auto"/>
        <w:rPr>
          <w:rFonts w:hint="eastAsia" w:ascii="FangSong_GB2312" w:hAnsi="FangSong_GB2312" w:eastAsia="FangSong_GB2312" w:cs="宋体"/>
          <w:kern w:val="2"/>
          <w:sz w:val="32"/>
          <w:szCs w:val="22"/>
          <w:lang w:val="en-US" w:eastAsia="zh-CN" w:bidi="ar-SA"/>
        </w:rPr>
      </w:pPr>
    </w:p>
    <w:p>
      <w:pPr>
        <w:keepNext w:val="0"/>
        <w:keepLines w:val="0"/>
        <w:pageBreakBefore w:val="0"/>
        <w:kinsoku/>
        <w:wordWrap/>
        <w:overflowPunct/>
        <w:topLinePunct w:val="0"/>
        <w:autoSpaceDE/>
        <w:autoSpaceDN/>
        <w:bidi w:val="0"/>
        <w:spacing w:line="560" w:lineRule="exact"/>
        <w:jc w:val="right"/>
        <w:textAlignment w:val="auto"/>
        <w:rPr>
          <w:rFonts w:hint="eastAsia" w:ascii="FangSong_GB2312" w:hAnsi="FangSong_GB2312" w:eastAsia="FangSong_GB2312" w:cs="宋体"/>
          <w:kern w:val="2"/>
          <w:sz w:val="32"/>
          <w:szCs w:val="22"/>
          <w:lang w:val="en-US" w:eastAsia="zh-CN" w:bidi="ar-SA"/>
        </w:rPr>
      </w:pPr>
      <w:r>
        <w:rPr>
          <w:rFonts w:hint="eastAsia" w:ascii="FangSong_GB2312" w:hAnsi="FangSong_GB2312" w:eastAsia="FangSong_GB2312" w:cs="宋体"/>
          <w:kern w:val="2"/>
          <w:sz w:val="32"/>
          <w:szCs w:val="22"/>
          <w:lang w:val="en-US" w:eastAsia="zh-CN" w:bidi="ar-SA"/>
        </w:rPr>
        <w:t>马家堡街道办事处</w:t>
      </w:r>
    </w:p>
    <w:p>
      <w:pPr>
        <w:keepNext w:val="0"/>
        <w:keepLines w:val="0"/>
        <w:pageBreakBefore w:val="0"/>
        <w:kinsoku/>
        <w:wordWrap/>
        <w:overflowPunct/>
        <w:topLinePunct w:val="0"/>
        <w:autoSpaceDE/>
        <w:autoSpaceDN/>
        <w:bidi w:val="0"/>
        <w:spacing w:line="560" w:lineRule="exact"/>
        <w:jc w:val="right"/>
        <w:textAlignment w:val="auto"/>
        <w:rPr>
          <w:rFonts w:hint="default"/>
          <w:lang w:val="en-US" w:eastAsia="zh-CN"/>
        </w:rPr>
      </w:pPr>
      <w:r>
        <w:rPr>
          <w:rFonts w:hint="eastAsia" w:ascii="FangSong_GB2312" w:hAnsi="FangSong_GB2312" w:eastAsia="FangSong_GB2312" w:cs="宋体"/>
          <w:kern w:val="2"/>
          <w:sz w:val="32"/>
          <w:szCs w:val="22"/>
          <w:lang w:val="en-US" w:eastAsia="zh-CN" w:bidi="ar-SA"/>
        </w:rPr>
        <w:t xml:space="preserve">                                      2022年 12月15日</w:t>
      </w:r>
    </w:p>
    <w:p>
      <w:pPr>
        <w:jc w:val="right"/>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EE5C85-1C9A-4756-B42E-D16D13997E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F6489F6-906C-4191-9F41-5C4745C4E911}"/>
  </w:font>
  <w:font w:name="方正小标宋简体">
    <w:panose1 w:val="02000000000000000000"/>
    <w:charset w:val="86"/>
    <w:family w:val="script"/>
    <w:pitch w:val="default"/>
    <w:sig w:usb0="00000001" w:usb1="08000000" w:usb2="00000000" w:usb3="00000000" w:csb0="00040000" w:csb1="00000000"/>
    <w:embedRegular r:id="rId3" w:fontKey="{70BC77A0-6D29-401A-9EBE-332282143883}"/>
  </w:font>
  <w:font w:name="仿宋_GB2312">
    <w:panose1 w:val="02010609030101010101"/>
    <w:charset w:val="86"/>
    <w:family w:val="modern"/>
    <w:pitch w:val="default"/>
    <w:sig w:usb0="00000001" w:usb1="080E0000" w:usb2="00000000" w:usb3="00000000" w:csb0="00040000" w:csb1="00000000"/>
    <w:embedRegular r:id="rId4" w:fontKey="{C3DD563F-7E19-4F23-97FA-311CB09E8918}"/>
  </w:font>
  <w:font w:name="FangSong_GB2312">
    <w:altName w:val="仿宋_GB2312"/>
    <w:panose1 w:val="00000000000000000000"/>
    <w:charset w:val="86"/>
    <w:family w:val="auto"/>
    <w:pitch w:val="default"/>
    <w:sig w:usb0="00000000" w:usb1="00000000" w:usb2="00000000" w:usb3="00000000" w:csb0="00040000" w:csb1="00000000"/>
    <w:embedRegular r:id="rId5" w:fontKey="{DA24FDE7-6AD5-407A-BB83-8980177A6E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MmQ1NDRhN2Q3MTBlYmY2MjNlNTM3MGUyYWQ1MTIifQ=="/>
  </w:docVars>
  <w:rsids>
    <w:rsidRoot w:val="00000000"/>
    <w:rsid w:val="022963AB"/>
    <w:rsid w:val="02BF3353"/>
    <w:rsid w:val="02D037B2"/>
    <w:rsid w:val="03A26EFC"/>
    <w:rsid w:val="05634469"/>
    <w:rsid w:val="09570789"/>
    <w:rsid w:val="0ACA5794"/>
    <w:rsid w:val="0B057D70"/>
    <w:rsid w:val="0B892750"/>
    <w:rsid w:val="0D2A0EA6"/>
    <w:rsid w:val="0E056A05"/>
    <w:rsid w:val="0F3D3F7D"/>
    <w:rsid w:val="11967974"/>
    <w:rsid w:val="13B14F39"/>
    <w:rsid w:val="13CE7899"/>
    <w:rsid w:val="15A22D8C"/>
    <w:rsid w:val="16353C00"/>
    <w:rsid w:val="174028D7"/>
    <w:rsid w:val="18FC27B3"/>
    <w:rsid w:val="19C01A32"/>
    <w:rsid w:val="1AD5775F"/>
    <w:rsid w:val="1B267FBB"/>
    <w:rsid w:val="1C14186A"/>
    <w:rsid w:val="1C6C40F3"/>
    <w:rsid w:val="1EB15DEE"/>
    <w:rsid w:val="20B971DB"/>
    <w:rsid w:val="246D6C5B"/>
    <w:rsid w:val="2492221D"/>
    <w:rsid w:val="25381017"/>
    <w:rsid w:val="25F211C5"/>
    <w:rsid w:val="2940493E"/>
    <w:rsid w:val="2BD27BD7"/>
    <w:rsid w:val="2C245E51"/>
    <w:rsid w:val="3251196A"/>
    <w:rsid w:val="348E0C53"/>
    <w:rsid w:val="35411821"/>
    <w:rsid w:val="35B244CD"/>
    <w:rsid w:val="372B09DB"/>
    <w:rsid w:val="37ED3075"/>
    <w:rsid w:val="39BF365D"/>
    <w:rsid w:val="3A2F2590"/>
    <w:rsid w:val="3C2974B3"/>
    <w:rsid w:val="3D4C5207"/>
    <w:rsid w:val="3DBF1E7D"/>
    <w:rsid w:val="425E41C3"/>
    <w:rsid w:val="44AB4F09"/>
    <w:rsid w:val="463D7DE3"/>
    <w:rsid w:val="49A2064A"/>
    <w:rsid w:val="4A8561FD"/>
    <w:rsid w:val="4AC565F9"/>
    <w:rsid w:val="4C2F01CE"/>
    <w:rsid w:val="4D2E2774"/>
    <w:rsid w:val="4FC21359"/>
    <w:rsid w:val="51322546"/>
    <w:rsid w:val="53D25803"/>
    <w:rsid w:val="54A35BFD"/>
    <w:rsid w:val="55E96E7B"/>
    <w:rsid w:val="5639745C"/>
    <w:rsid w:val="56B20379"/>
    <w:rsid w:val="57955FCF"/>
    <w:rsid w:val="58351707"/>
    <w:rsid w:val="5C82259C"/>
    <w:rsid w:val="5D4E247E"/>
    <w:rsid w:val="5E225DE5"/>
    <w:rsid w:val="5F313E05"/>
    <w:rsid w:val="5FA32F55"/>
    <w:rsid w:val="61B256D1"/>
    <w:rsid w:val="6299078C"/>
    <w:rsid w:val="6401649C"/>
    <w:rsid w:val="64243F39"/>
    <w:rsid w:val="64C5571C"/>
    <w:rsid w:val="652C579B"/>
    <w:rsid w:val="665F74AA"/>
    <w:rsid w:val="69F87A80"/>
    <w:rsid w:val="6A274783"/>
    <w:rsid w:val="6AAB7162"/>
    <w:rsid w:val="6C276CBC"/>
    <w:rsid w:val="6E260253"/>
    <w:rsid w:val="6F370FC4"/>
    <w:rsid w:val="705B5186"/>
    <w:rsid w:val="7137174F"/>
    <w:rsid w:val="72895FDA"/>
    <w:rsid w:val="729F135A"/>
    <w:rsid w:val="74E25E76"/>
    <w:rsid w:val="75AE7B06"/>
    <w:rsid w:val="776E1C43"/>
    <w:rsid w:val="796230E1"/>
    <w:rsid w:val="7A252A8D"/>
    <w:rsid w:val="7AD41DBD"/>
    <w:rsid w:val="7AEF4E49"/>
    <w:rsid w:val="7DDA3B8E"/>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2866</Words>
  <Characters>2907</Characters>
  <Paragraphs>24</Paragraphs>
  <TotalTime>58</TotalTime>
  <ScaleCrop>false</ScaleCrop>
  <LinksUpToDate>false</LinksUpToDate>
  <CharactersWithSpaces>2957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2022-10-26T06:36:00Z</dcterms:created>
  <dc:creator>doudou0818</dc:creator>
  <cp:lastModifiedBy>马家堡司法所 王以晴</cp:lastModifiedBy>
  <dcterms:modified xsi:type="dcterms:W3CDTF">2023-02-21T02:12:39Z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9B9F586BB76141B0A033CA56A01E3A19</vt:lpwstr>
  </property>
</Properties>
</file>