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288A5">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jc w:val="center"/>
        <w:textAlignment w:val="auto"/>
        <w:outlineLvl w:val="0"/>
        <w:rPr>
          <w:rFonts w:hint="eastAsia" w:ascii="方正小标宋简体" w:hAnsi="方正小标宋简体" w:eastAsia="方正小标宋简体" w:cs="方正小标宋简体"/>
          <w:color w:val="auto"/>
          <w:sz w:val="44"/>
          <w:szCs w:val="44"/>
          <w:highlight w:val="none"/>
          <w:lang w:val="en-US" w:eastAsia="zh-CN"/>
        </w:rPr>
      </w:pPr>
      <w:r>
        <w:rPr>
          <w:rFonts w:hint="eastAsia" w:ascii="微软雅黑" w:hAnsi="微软雅黑" w:eastAsia="微软雅黑" w:cs="微软雅黑"/>
          <w:i w:val="0"/>
          <w:iCs w:val="0"/>
          <w:caps w:val="0"/>
          <w:color w:val="4C4C4C"/>
          <w:spacing w:val="0"/>
          <w:sz w:val="27"/>
          <w:szCs w:val="27"/>
          <w:shd w:val="clear" w:fill="FFFFFF"/>
          <w:lang w:val="en-US" w:eastAsia="zh-CN"/>
        </w:rPr>
        <w:t xml:space="preserve">  </w:t>
      </w:r>
      <w:r>
        <w:rPr>
          <w:rFonts w:hint="eastAsia" w:ascii="仿宋_GB2312" w:hAnsi="仿宋_GB2312" w:eastAsia="仿宋_GB2312" w:cs="仿宋_GB2312"/>
          <w:color w:val="auto"/>
          <w:sz w:val="32"/>
          <w:szCs w:val="32"/>
          <w:highlight w:val="none"/>
          <w:lang w:val="en-US" w:eastAsia="zh-CN"/>
        </w:rPr>
        <w:t xml:space="preserve"> </w:t>
      </w:r>
      <w:bookmarkStart w:id="0" w:name="OLE_LINK6"/>
      <w:bookmarkStart w:id="1" w:name="OLE_LINK4"/>
      <w:r>
        <w:rPr>
          <w:rFonts w:hint="eastAsia" w:ascii="方正小标宋简体" w:hAnsi="方正小标宋简体" w:eastAsia="方正小标宋简体" w:cs="方正小标宋简体"/>
          <w:color w:val="auto"/>
          <w:sz w:val="44"/>
          <w:szCs w:val="44"/>
          <w:highlight w:val="none"/>
          <w:lang w:val="en-US" w:eastAsia="zh-CN"/>
        </w:rPr>
        <w:t>北京市丰台区生态环境局</w:t>
      </w:r>
    </w:p>
    <w:p w14:paraId="05363C89">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jc w:val="center"/>
        <w:textAlignment w:val="auto"/>
        <w:outlineLvl w:val="0"/>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val="en-US" w:eastAsia="zh-CN"/>
        </w:rPr>
        <w:t>2023年法治政府建设年度情况报告</w:t>
      </w:r>
      <w:bookmarkEnd w:id="0"/>
    </w:p>
    <w:bookmarkEnd w:id="1"/>
    <w:p w14:paraId="2F0DCAD4">
      <w:pPr>
        <w:keepNext w:val="0"/>
        <w:keepLines w:val="0"/>
        <w:pageBreakBefore w:val="0"/>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bCs/>
          <w:spacing w:val="-6"/>
          <w:kern w:val="0"/>
          <w:sz w:val="32"/>
          <w:szCs w:val="32"/>
          <w:lang w:val="en-US" w:eastAsia="zh-CN"/>
        </w:rPr>
      </w:pPr>
    </w:p>
    <w:p w14:paraId="434EA6E8">
      <w:pPr>
        <w:keepNext w:val="0"/>
        <w:keepLines w:val="0"/>
        <w:pageBreakBefore w:val="0"/>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bCs/>
          <w:spacing w:val="-6"/>
          <w:kern w:val="0"/>
          <w:sz w:val="32"/>
          <w:szCs w:val="32"/>
          <w:lang w:val="en-US" w:eastAsia="zh-CN"/>
        </w:rPr>
      </w:pPr>
      <w:r>
        <w:rPr>
          <w:rFonts w:hint="eastAsia" w:ascii="仿宋_GB2312" w:hAnsi="仿宋_GB2312" w:eastAsia="仿宋_GB2312" w:cs="仿宋_GB2312"/>
          <w:bCs/>
          <w:spacing w:val="-6"/>
          <w:kern w:val="0"/>
          <w:sz w:val="32"/>
          <w:szCs w:val="32"/>
          <w:lang w:val="en-US" w:eastAsia="zh-CN"/>
        </w:rPr>
        <w:t>2023年是全面贯彻</w:t>
      </w:r>
      <w:bookmarkStart w:id="5" w:name="_GoBack"/>
      <w:bookmarkEnd w:id="5"/>
      <w:r>
        <w:rPr>
          <w:rFonts w:hint="eastAsia" w:ascii="仿宋_GB2312" w:hAnsi="仿宋_GB2312" w:eastAsia="仿宋_GB2312" w:cs="仿宋_GB2312"/>
          <w:bCs/>
          <w:spacing w:val="-6"/>
          <w:kern w:val="0"/>
          <w:sz w:val="32"/>
          <w:szCs w:val="32"/>
          <w:lang w:val="en-US" w:eastAsia="zh-CN"/>
        </w:rPr>
        <w:t>落实党的二十大精神开局之年，是迈上全面建设社会主义现代化国家新征程的关键之年。丰台区生态环境局坚持把学习宣传贯彻落实习近平法治思想作为重要政治任务和重大政治责任，聚焦服务大局、法治为民、改革创新，扎实推进依法行政工作。现将2023年法治政府建设情况和2024年法治政府建设主要安排报告如下：</w:t>
      </w:r>
    </w:p>
    <w:p w14:paraId="3029C9B3">
      <w:pPr>
        <w:keepNext w:val="0"/>
        <w:keepLines w:val="0"/>
        <w:pageBreakBefore w:val="0"/>
        <w:kinsoku/>
        <w:wordWrap/>
        <w:overflowPunct/>
        <w:topLinePunct w:val="0"/>
        <w:autoSpaceDE/>
        <w:autoSpaceDN/>
        <w:bidi w:val="0"/>
        <w:adjustRightInd/>
        <w:snapToGrid/>
        <w:spacing w:line="560" w:lineRule="exact"/>
        <w:ind w:firstLine="616" w:firstLineChars="200"/>
        <w:jc w:val="left"/>
        <w:textAlignment w:val="auto"/>
        <w:outlineLvl w:val="0"/>
        <w:rPr>
          <w:rFonts w:hint="eastAsia" w:ascii="黑体" w:hAnsi="黑体" w:eastAsia="黑体" w:cs="黑体"/>
          <w:bCs/>
          <w:spacing w:val="-6"/>
          <w:kern w:val="0"/>
          <w:sz w:val="32"/>
          <w:szCs w:val="32"/>
          <w:lang w:val="en-US" w:eastAsia="zh-CN"/>
        </w:rPr>
      </w:pPr>
      <w:r>
        <w:rPr>
          <w:rFonts w:hint="eastAsia" w:ascii="黑体" w:hAnsi="黑体" w:eastAsia="黑体" w:cs="黑体"/>
          <w:bCs/>
          <w:spacing w:val="-6"/>
          <w:kern w:val="0"/>
          <w:sz w:val="32"/>
          <w:szCs w:val="32"/>
          <w:lang w:val="en-US" w:eastAsia="zh-CN"/>
        </w:rPr>
        <w:t>一、2023年推进法治政府建设情况</w:t>
      </w:r>
    </w:p>
    <w:p w14:paraId="641F879D">
      <w:pPr>
        <w:keepNext w:val="0"/>
        <w:keepLines w:val="0"/>
        <w:pageBreakBefore w:val="0"/>
        <w:kinsoku/>
        <w:wordWrap/>
        <w:overflowPunct/>
        <w:topLinePunct w:val="0"/>
        <w:autoSpaceDE/>
        <w:autoSpaceDN/>
        <w:bidi w:val="0"/>
        <w:adjustRightInd/>
        <w:snapToGrid/>
        <w:spacing w:line="560" w:lineRule="exact"/>
        <w:ind w:firstLine="616" w:firstLineChars="200"/>
        <w:jc w:val="left"/>
        <w:textAlignment w:val="auto"/>
        <w:outlineLvl w:val="1"/>
        <w:rPr>
          <w:rFonts w:hint="eastAsia" w:ascii="楷体" w:hAnsi="楷体" w:eastAsia="楷体" w:cs="楷体"/>
          <w:bCs/>
          <w:spacing w:val="-6"/>
          <w:kern w:val="0"/>
          <w:sz w:val="32"/>
          <w:szCs w:val="32"/>
          <w:lang w:val="en-US" w:eastAsia="zh-CN"/>
        </w:rPr>
      </w:pPr>
      <w:r>
        <w:rPr>
          <w:rFonts w:hint="eastAsia" w:ascii="楷体" w:hAnsi="楷体" w:eastAsia="楷体" w:cs="楷体"/>
          <w:bCs/>
          <w:spacing w:val="-6"/>
          <w:kern w:val="0"/>
          <w:sz w:val="32"/>
          <w:szCs w:val="32"/>
          <w:lang w:val="en-US" w:eastAsia="zh-CN"/>
        </w:rPr>
        <w:t>（一）深入学习贯彻习近平法治思想</w:t>
      </w:r>
    </w:p>
    <w:p w14:paraId="253D8ED2">
      <w:pPr>
        <w:keepNext w:val="0"/>
        <w:keepLines w:val="0"/>
        <w:pageBreakBefore w:val="0"/>
        <w:kinsoku/>
        <w:wordWrap/>
        <w:overflowPunct/>
        <w:topLinePunct w:val="0"/>
        <w:autoSpaceDE/>
        <w:autoSpaceDN/>
        <w:bidi w:val="0"/>
        <w:adjustRightInd/>
        <w:snapToGrid/>
        <w:spacing w:line="560" w:lineRule="exact"/>
        <w:ind w:firstLine="616" w:firstLineChars="200"/>
        <w:jc w:val="left"/>
        <w:textAlignment w:val="auto"/>
        <w:rPr>
          <w:rFonts w:hint="default" w:ascii="仿宋_GB2312" w:hAnsi="仿宋_GB2312" w:eastAsia="仿宋_GB2312" w:cs="仿宋_GB2312"/>
          <w:bCs/>
          <w:spacing w:val="-6"/>
          <w:kern w:val="0"/>
          <w:sz w:val="32"/>
          <w:szCs w:val="32"/>
          <w:lang w:val="en-US" w:eastAsia="zh-CN"/>
        </w:rPr>
      </w:pPr>
      <w:r>
        <w:rPr>
          <w:rFonts w:hint="eastAsia" w:ascii="仿宋_GB2312" w:hAnsi="仿宋_GB2312" w:eastAsia="仿宋_GB2312" w:cs="仿宋_GB2312"/>
          <w:b w:val="0"/>
          <w:bCs/>
          <w:spacing w:val="-6"/>
          <w:kern w:val="0"/>
          <w:sz w:val="32"/>
          <w:szCs w:val="32"/>
          <w:lang w:val="en-US" w:eastAsia="zh-CN"/>
        </w:rPr>
        <w:t>1.</w:t>
      </w:r>
      <w:r>
        <w:rPr>
          <w:rFonts w:hint="default" w:ascii="仿宋_GB2312" w:hAnsi="仿宋_GB2312" w:eastAsia="仿宋_GB2312" w:cs="仿宋_GB2312"/>
          <w:b w:val="0"/>
          <w:bCs/>
          <w:spacing w:val="-6"/>
          <w:kern w:val="0"/>
          <w:sz w:val="32"/>
          <w:szCs w:val="32"/>
          <w:lang w:val="en-US" w:eastAsia="zh-CN"/>
        </w:rPr>
        <w:t>领导干部率先学法。</w:t>
      </w:r>
      <w:r>
        <w:rPr>
          <w:rFonts w:hint="default" w:ascii="仿宋_GB2312" w:hAnsi="仿宋_GB2312" w:eastAsia="仿宋_GB2312" w:cs="仿宋_GB2312"/>
          <w:bCs/>
          <w:spacing w:val="-6"/>
          <w:kern w:val="0"/>
          <w:sz w:val="32"/>
          <w:szCs w:val="32"/>
          <w:lang w:val="en-US" w:eastAsia="zh-CN"/>
        </w:rPr>
        <w:t>建立领导干部会前学法制度，坚持领导干部带头学法、带头讲法、带头用法、带头守法，将习近平法治思想及</w:t>
      </w:r>
      <w:r>
        <w:rPr>
          <w:rFonts w:hint="eastAsia" w:ascii="仿宋_GB2312" w:hAnsi="仿宋_GB2312" w:eastAsia="仿宋_GB2312" w:cs="仿宋_GB2312"/>
          <w:bCs/>
          <w:spacing w:val="-6"/>
          <w:kern w:val="0"/>
          <w:sz w:val="32"/>
          <w:szCs w:val="32"/>
          <w:lang w:val="en-US" w:eastAsia="zh-CN"/>
        </w:rPr>
        <w:t>市</w:t>
      </w:r>
      <w:r>
        <w:rPr>
          <w:rFonts w:hint="default" w:ascii="仿宋_GB2312" w:hAnsi="仿宋_GB2312" w:eastAsia="仿宋_GB2312" w:cs="仿宋_GB2312"/>
          <w:bCs/>
          <w:spacing w:val="-6"/>
          <w:kern w:val="0"/>
          <w:sz w:val="32"/>
          <w:szCs w:val="32"/>
          <w:lang w:val="en-US" w:eastAsia="zh-CN"/>
        </w:rPr>
        <w:t>、</w:t>
      </w:r>
      <w:r>
        <w:rPr>
          <w:rFonts w:hint="eastAsia" w:ascii="仿宋_GB2312" w:hAnsi="仿宋_GB2312" w:eastAsia="仿宋_GB2312" w:cs="仿宋_GB2312"/>
          <w:bCs/>
          <w:spacing w:val="-6"/>
          <w:kern w:val="0"/>
          <w:sz w:val="32"/>
          <w:szCs w:val="32"/>
          <w:lang w:val="en-US" w:eastAsia="zh-CN"/>
        </w:rPr>
        <w:t>区</w:t>
      </w:r>
      <w:r>
        <w:rPr>
          <w:rFonts w:hint="default" w:ascii="仿宋_GB2312" w:hAnsi="仿宋_GB2312" w:eastAsia="仿宋_GB2312" w:cs="仿宋_GB2312"/>
          <w:bCs/>
          <w:spacing w:val="-6"/>
          <w:kern w:val="0"/>
          <w:sz w:val="32"/>
          <w:szCs w:val="32"/>
          <w:lang w:val="en-US" w:eastAsia="zh-CN"/>
        </w:rPr>
        <w:t>对法治政府建设的决策部署和法律法规纳入党组理论学习中心组学习计划，全年组织党组会、</w:t>
      </w:r>
      <w:r>
        <w:rPr>
          <w:rFonts w:hint="eastAsia" w:ascii="仿宋_GB2312" w:hAnsi="仿宋_GB2312" w:eastAsia="仿宋_GB2312" w:cs="仿宋_GB2312"/>
          <w:bCs/>
          <w:spacing w:val="-6"/>
          <w:kern w:val="0"/>
          <w:sz w:val="32"/>
          <w:szCs w:val="32"/>
          <w:lang w:val="en-US" w:eastAsia="zh-CN"/>
        </w:rPr>
        <w:t>局长办公会会</w:t>
      </w:r>
      <w:r>
        <w:rPr>
          <w:rFonts w:hint="default" w:ascii="仿宋_GB2312" w:hAnsi="仿宋_GB2312" w:eastAsia="仿宋_GB2312" w:cs="仿宋_GB2312"/>
          <w:bCs/>
          <w:spacing w:val="-6"/>
          <w:kern w:val="0"/>
          <w:sz w:val="32"/>
          <w:szCs w:val="32"/>
          <w:lang w:val="en-US" w:eastAsia="zh-CN"/>
        </w:rPr>
        <w:t>前学法</w:t>
      </w:r>
      <w:r>
        <w:rPr>
          <w:rFonts w:hint="eastAsia" w:ascii="仿宋_GB2312" w:hAnsi="仿宋_GB2312" w:eastAsia="仿宋_GB2312" w:cs="仿宋_GB2312"/>
          <w:bCs/>
          <w:spacing w:val="-6"/>
          <w:kern w:val="0"/>
          <w:sz w:val="32"/>
          <w:szCs w:val="32"/>
          <w:lang w:val="en-US" w:eastAsia="zh-CN"/>
        </w:rPr>
        <w:t>5</w:t>
      </w:r>
      <w:r>
        <w:rPr>
          <w:rFonts w:hint="default" w:ascii="仿宋_GB2312" w:hAnsi="仿宋_GB2312" w:eastAsia="仿宋_GB2312" w:cs="仿宋_GB2312"/>
          <w:bCs/>
          <w:spacing w:val="-6"/>
          <w:kern w:val="0"/>
          <w:sz w:val="32"/>
          <w:szCs w:val="32"/>
          <w:lang w:val="en-US" w:eastAsia="zh-CN"/>
        </w:rPr>
        <w:t>次，开展领导干部讲法活动</w:t>
      </w:r>
      <w:r>
        <w:rPr>
          <w:rFonts w:hint="eastAsia" w:ascii="仿宋_GB2312" w:hAnsi="仿宋_GB2312" w:eastAsia="仿宋_GB2312" w:cs="仿宋_GB2312"/>
          <w:bCs/>
          <w:spacing w:val="-6"/>
          <w:kern w:val="0"/>
          <w:sz w:val="32"/>
          <w:szCs w:val="32"/>
          <w:lang w:val="en-US" w:eastAsia="zh-CN"/>
        </w:rPr>
        <w:t>2</w:t>
      </w:r>
      <w:r>
        <w:rPr>
          <w:rFonts w:hint="default" w:ascii="仿宋_GB2312" w:hAnsi="仿宋_GB2312" w:eastAsia="仿宋_GB2312" w:cs="仿宋_GB2312"/>
          <w:bCs/>
          <w:spacing w:val="-6"/>
          <w:kern w:val="0"/>
          <w:sz w:val="32"/>
          <w:szCs w:val="32"/>
          <w:lang w:val="en-US" w:eastAsia="zh-CN"/>
        </w:rPr>
        <w:t>次。</w:t>
      </w:r>
    </w:p>
    <w:p w14:paraId="36931759">
      <w:pPr>
        <w:keepNext w:val="0"/>
        <w:keepLines w:val="0"/>
        <w:pageBreakBefore w:val="0"/>
        <w:kinsoku/>
        <w:wordWrap/>
        <w:overflowPunct/>
        <w:topLinePunct w:val="0"/>
        <w:autoSpaceDE/>
        <w:autoSpaceDN/>
        <w:bidi w:val="0"/>
        <w:adjustRightInd/>
        <w:snapToGrid/>
        <w:spacing w:line="560" w:lineRule="exact"/>
        <w:ind w:firstLine="616" w:firstLineChars="200"/>
        <w:jc w:val="left"/>
        <w:textAlignment w:val="auto"/>
        <w:rPr>
          <w:rFonts w:hint="default" w:ascii="仿宋_GB2312" w:hAnsi="仿宋_GB2312" w:eastAsia="仿宋_GB2312" w:cs="仿宋_GB2312"/>
          <w:bCs/>
          <w:spacing w:val="-6"/>
          <w:kern w:val="0"/>
          <w:sz w:val="32"/>
          <w:szCs w:val="32"/>
          <w:lang w:val="en-US" w:eastAsia="zh-CN"/>
        </w:rPr>
      </w:pPr>
      <w:r>
        <w:rPr>
          <w:rFonts w:hint="eastAsia" w:ascii="仿宋_GB2312" w:hAnsi="仿宋_GB2312" w:eastAsia="仿宋_GB2312" w:cs="仿宋_GB2312"/>
          <w:b w:val="0"/>
          <w:bCs/>
          <w:spacing w:val="-6"/>
          <w:kern w:val="0"/>
          <w:sz w:val="32"/>
          <w:szCs w:val="32"/>
          <w:lang w:val="en-US" w:eastAsia="zh-CN"/>
        </w:rPr>
        <w:t>2.</w:t>
      </w:r>
      <w:r>
        <w:rPr>
          <w:rFonts w:hint="default" w:ascii="仿宋_GB2312" w:hAnsi="仿宋_GB2312" w:eastAsia="仿宋_GB2312" w:cs="仿宋_GB2312"/>
          <w:b w:val="0"/>
          <w:bCs/>
          <w:spacing w:val="-6"/>
          <w:kern w:val="0"/>
          <w:sz w:val="32"/>
          <w:szCs w:val="32"/>
          <w:lang w:val="en-US" w:eastAsia="zh-CN"/>
        </w:rPr>
        <w:t>干部职工常态化学法。</w:t>
      </w:r>
      <w:r>
        <w:rPr>
          <w:rFonts w:hint="default" w:ascii="仿宋_GB2312" w:hAnsi="仿宋_GB2312" w:eastAsia="仿宋_GB2312" w:cs="仿宋_GB2312"/>
          <w:bCs/>
          <w:spacing w:val="-6"/>
          <w:kern w:val="0"/>
          <w:sz w:val="32"/>
          <w:szCs w:val="32"/>
          <w:lang w:val="en-US" w:eastAsia="zh-CN"/>
        </w:rPr>
        <w:t>把干部职工普法宣传教育作为常态化工作常抓不懈，202</w:t>
      </w:r>
      <w:r>
        <w:rPr>
          <w:rFonts w:hint="eastAsia" w:ascii="仿宋_GB2312" w:hAnsi="仿宋_GB2312" w:eastAsia="仿宋_GB2312" w:cs="仿宋_GB2312"/>
          <w:bCs/>
          <w:spacing w:val="-6"/>
          <w:kern w:val="0"/>
          <w:sz w:val="32"/>
          <w:szCs w:val="32"/>
          <w:lang w:val="en-US" w:eastAsia="zh-CN"/>
        </w:rPr>
        <w:t>3</w:t>
      </w:r>
      <w:r>
        <w:rPr>
          <w:rFonts w:hint="default" w:ascii="仿宋_GB2312" w:hAnsi="仿宋_GB2312" w:eastAsia="仿宋_GB2312" w:cs="仿宋_GB2312"/>
          <w:bCs/>
          <w:spacing w:val="-6"/>
          <w:kern w:val="0"/>
          <w:sz w:val="32"/>
          <w:szCs w:val="32"/>
          <w:lang w:val="en-US" w:eastAsia="zh-CN"/>
        </w:rPr>
        <w:t>年举办法律法规专题学习培训班</w:t>
      </w:r>
      <w:r>
        <w:rPr>
          <w:rFonts w:hint="eastAsia" w:ascii="仿宋_GB2312" w:hAnsi="仿宋_GB2312" w:eastAsia="仿宋_GB2312" w:cs="仿宋_GB2312"/>
          <w:bCs/>
          <w:spacing w:val="-6"/>
          <w:kern w:val="0"/>
          <w:sz w:val="32"/>
          <w:szCs w:val="32"/>
          <w:lang w:val="en-US" w:eastAsia="zh-CN"/>
        </w:rPr>
        <w:t>8</w:t>
      </w:r>
      <w:r>
        <w:rPr>
          <w:rFonts w:hint="default" w:ascii="仿宋_GB2312" w:hAnsi="仿宋_GB2312" w:eastAsia="仿宋_GB2312" w:cs="仿宋_GB2312"/>
          <w:bCs/>
          <w:spacing w:val="-6"/>
          <w:kern w:val="0"/>
          <w:sz w:val="32"/>
          <w:szCs w:val="32"/>
          <w:lang w:val="en-US" w:eastAsia="zh-CN"/>
        </w:rPr>
        <w:t>次，邀请法律顾问对《中华人民共和国行政处罚法》《中华人民共和国民法典》等相关法律法规作了解读；同时利用学习强国</w:t>
      </w:r>
      <w:r>
        <w:rPr>
          <w:rFonts w:hint="eastAsia" w:ascii="仿宋_GB2312" w:hAnsi="仿宋_GB2312" w:eastAsia="仿宋_GB2312" w:cs="仿宋_GB2312"/>
          <w:bCs/>
          <w:spacing w:val="-6"/>
          <w:kern w:val="0"/>
          <w:sz w:val="32"/>
          <w:szCs w:val="32"/>
          <w:lang w:val="en-US" w:eastAsia="zh-CN"/>
        </w:rPr>
        <w:t>、北京干部教育网</w:t>
      </w:r>
      <w:r>
        <w:rPr>
          <w:rFonts w:hint="default" w:ascii="仿宋_GB2312" w:hAnsi="仿宋_GB2312" w:eastAsia="仿宋_GB2312" w:cs="仿宋_GB2312"/>
          <w:bCs/>
          <w:spacing w:val="-6"/>
          <w:kern w:val="0"/>
          <w:sz w:val="32"/>
          <w:szCs w:val="32"/>
          <w:lang w:val="en-US" w:eastAsia="zh-CN"/>
        </w:rPr>
        <w:t>等平台，推进干部职工线上学习培训，提高干部职工学法、用法、守法意识和执法人员依法行政能力。</w:t>
      </w:r>
    </w:p>
    <w:p w14:paraId="3DA19F92">
      <w:pPr>
        <w:keepNext w:val="0"/>
        <w:keepLines w:val="0"/>
        <w:pageBreakBefore w:val="0"/>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bCs/>
          <w:spacing w:val="-6"/>
          <w:kern w:val="0"/>
          <w:sz w:val="32"/>
          <w:szCs w:val="32"/>
          <w:lang w:val="en-US" w:eastAsia="zh-CN"/>
        </w:rPr>
      </w:pPr>
      <w:r>
        <w:rPr>
          <w:rFonts w:hint="eastAsia" w:ascii="仿宋_GB2312" w:hAnsi="仿宋_GB2312" w:eastAsia="仿宋_GB2312" w:cs="仿宋_GB2312"/>
          <w:b w:val="0"/>
          <w:bCs/>
          <w:spacing w:val="-6"/>
          <w:kern w:val="0"/>
          <w:sz w:val="32"/>
          <w:szCs w:val="32"/>
          <w:lang w:val="en-US" w:eastAsia="zh-CN"/>
        </w:rPr>
        <w:t>3.</w:t>
      </w:r>
      <w:r>
        <w:rPr>
          <w:rFonts w:hint="default" w:ascii="仿宋_GB2312" w:hAnsi="仿宋_GB2312" w:eastAsia="仿宋_GB2312" w:cs="仿宋_GB2312"/>
          <w:b w:val="0"/>
          <w:bCs/>
          <w:spacing w:val="-6"/>
          <w:kern w:val="0"/>
          <w:sz w:val="32"/>
          <w:szCs w:val="32"/>
          <w:lang w:val="en-US" w:eastAsia="zh-CN"/>
        </w:rPr>
        <w:t>持续推进普法宣传教育。</w:t>
      </w:r>
      <w:r>
        <w:rPr>
          <w:rFonts w:hint="default" w:ascii="仿宋_GB2312" w:hAnsi="仿宋_GB2312" w:eastAsia="仿宋_GB2312" w:cs="仿宋_GB2312"/>
          <w:bCs/>
          <w:spacing w:val="-6"/>
          <w:kern w:val="0"/>
          <w:sz w:val="32"/>
          <w:szCs w:val="32"/>
          <w:lang w:val="en-US" w:eastAsia="zh-CN"/>
        </w:rPr>
        <w:t>严格落实环保法普法主体责任，广泛深入开展法制宣传教育。坚持普法与执法相结合，寓普法于污染防治攻坚和环境执法之中，用普法推进解决环保难点问题。</w:t>
      </w:r>
      <w:r>
        <w:rPr>
          <w:rFonts w:hint="eastAsia" w:ascii="仿宋_GB2312" w:hAnsi="仿宋_GB2312" w:eastAsia="仿宋_GB2312" w:cs="仿宋_GB2312"/>
          <w:bCs/>
          <w:spacing w:val="-6"/>
          <w:kern w:val="0"/>
          <w:sz w:val="32"/>
          <w:szCs w:val="32"/>
          <w:lang w:val="en-US" w:eastAsia="zh-CN"/>
        </w:rPr>
        <w:t>发挥“一报、一网、两微”等主流媒体优势，播发报纸新闻23篇、电视新闻13条；策划发布“阅FENG·丰丰环保科普图鉴”等五大“双微”系列主题内容，发布政务微博922条、政务微信965条，宣传受众达760万人次。</w:t>
      </w:r>
    </w:p>
    <w:p w14:paraId="2899796F">
      <w:pPr>
        <w:keepNext w:val="0"/>
        <w:keepLines w:val="0"/>
        <w:pageBreakBefore w:val="0"/>
        <w:kinsoku/>
        <w:wordWrap/>
        <w:overflowPunct/>
        <w:topLinePunct w:val="0"/>
        <w:autoSpaceDE/>
        <w:autoSpaceDN/>
        <w:bidi w:val="0"/>
        <w:adjustRightInd/>
        <w:snapToGrid/>
        <w:spacing w:line="560" w:lineRule="exact"/>
        <w:ind w:firstLine="616" w:firstLineChars="200"/>
        <w:jc w:val="left"/>
        <w:textAlignment w:val="auto"/>
        <w:outlineLvl w:val="1"/>
        <w:rPr>
          <w:rFonts w:hint="eastAsia" w:ascii="楷体" w:hAnsi="楷体" w:eastAsia="楷体" w:cs="楷体"/>
          <w:bCs/>
          <w:spacing w:val="-6"/>
          <w:kern w:val="0"/>
          <w:sz w:val="32"/>
          <w:szCs w:val="32"/>
          <w:lang w:val="en-US" w:eastAsia="zh-CN"/>
        </w:rPr>
      </w:pPr>
      <w:r>
        <w:rPr>
          <w:rFonts w:hint="eastAsia" w:ascii="楷体" w:hAnsi="楷体" w:eastAsia="楷体" w:cs="楷体"/>
          <w:bCs/>
          <w:spacing w:val="-6"/>
          <w:kern w:val="0"/>
          <w:sz w:val="32"/>
          <w:szCs w:val="32"/>
          <w:lang w:val="en-US" w:eastAsia="zh-CN"/>
        </w:rPr>
        <w:t>（二）科学民主决策，依法规范行政权力运行</w:t>
      </w:r>
    </w:p>
    <w:p w14:paraId="1E287574">
      <w:pPr>
        <w:keepNext w:val="0"/>
        <w:keepLines w:val="0"/>
        <w:pageBreakBefore w:val="0"/>
        <w:kinsoku/>
        <w:wordWrap/>
        <w:overflowPunct/>
        <w:topLinePunct w:val="0"/>
        <w:autoSpaceDE/>
        <w:autoSpaceDN/>
        <w:bidi w:val="0"/>
        <w:adjustRightInd/>
        <w:snapToGrid/>
        <w:spacing w:line="560" w:lineRule="exact"/>
        <w:ind w:firstLine="616" w:firstLineChars="200"/>
        <w:jc w:val="left"/>
        <w:textAlignment w:val="auto"/>
        <w:rPr>
          <w:rFonts w:hint="default" w:ascii="仿宋_GB2312" w:hAnsi="仿宋_GB2312" w:eastAsia="仿宋_GB2312" w:cs="仿宋_GB2312"/>
          <w:bCs/>
          <w:spacing w:val="-6"/>
          <w:kern w:val="0"/>
          <w:sz w:val="32"/>
          <w:szCs w:val="32"/>
          <w:lang w:val="en-US" w:eastAsia="zh-CN"/>
        </w:rPr>
      </w:pPr>
      <w:r>
        <w:rPr>
          <w:rFonts w:hint="eastAsia" w:ascii="仿宋_GB2312" w:hAnsi="仿宋_GB2312" w:eastAsia="仿宋_GB2312" w:cs="仿宋_GB2312"/>
          <w:bCs/>
          <w:spacing w:val="-6"/>
          <w:kern w:val="0"/>
          <w:sz w:val="32"/>
          <w:szCs w:val="32"/>
          <w:lang w:val="en-US" w:eastAsia="zh-CN"/>
        </w:rPr>
        <w:t>1.</w:t>
      </w:r>
      <w:r>
        <w:rPr>
          <w:rFonts w:hint="default" w:ascii="仿宋_GB2312" w:hAnsi="仿宋_GB2312" w:eastAsia="仿宋_GB2312" w:cs="仿宋_GB2312"/>
          <w:bCs/>
          <w:spacing w:val="-6"/>
          <w:kern w:val="0"/>
          <w:sz w:val="32"/>
          <w:szCs w:val="32"/>
          <w:lang w:val="en-US" w:eastAsia="zh-CN"/>
        </w:rPr>
        <w:t>坚持民主集中制。进一步健全内部议事、决策规则和程序，认真落实“三重一大”决策制度，对重大事项决策、重点项目安排、大额资金使用等重要事项</w:t>
      </w:r>
      <w:r>
        <w:rPr>
          <w:rFonts w:hint="eastAsia" w:ascii="仿宋_GB2312" w:hAnsi="仿宋_GB2312" w:eastAsia="仿宋_GB2312" w:cs="仿宋_GB2312"/>
          <w:bCs/>
          <w:spacing w:val="-6"/>
          <w:kern w:val="0"/>
          <w:sz w:val="32"/>
          <w:szCs w:val="32"/>
          <w:lang w:val="en-US" w:eastAsia="zh-CN"/>
        </w:rPr>
        <w:t>进行专题研究。</w:t>
      </w:r>
      <w:r>
        <w:rPr>
          <w:rFonts w:hint="default" w:ascii="仿宋_GB2312" w:hAnsi="仿宋_GB2312" w:eastAsia="仿宋_GB2312" w:cs="仿宋_GB2312"/>
          <w:bCs/>
          <w:spacing w:val="-6"/>
          <w:kern w:val="0"/>
          <w:sz w:val="32"/>
          <w:szCs w:val="32"/>
          <w:lang w:val="en-US" w:eastAsia="zh-CN"/>
        </w:rPr>
        <w:t>全年研究“三重一大”事项</w:t>
      </w:r>
      <w:r>
        <w:rPr>
          <w:rFonts w:hint="eastAsia" w:ascii="仿宋_GB2312" w:hAnsi="仿宋_GB2312" w:eastAsia="仿宋_GB2312" w:cs="仿宋_GB2312"/>
          <w:bCs/>
          <w:spacing w:val="-6"/>
          <w:kern w:val="0"/>
          <w:sz w:val="32"/>
          <w:szCs w:val="32"/>
          <w:lang w:val="en-US" w:eastAsia="zh-CN"/>
        </w:rPr>
        <w:t>52</w:t>
      </w:r>
      <w:r>
        <w:rPr>
          <w:rFonts w:hint="default" w:ascii="仿宋_GB2312" w:hAnsi="仿宋_GB2312" w:eastAsia="仿宋_GB2312" w:cs="仿宋_GB2312"/>
          <w:bCs/>
          <w:spacing w:val="-6"/>
          <w:kern w:val="0"/>
          <w:sz w:val="32"/>
          <w:szCs w:val="32"/>
          <w:lang w:val="en-US" w:eastAsia="zh-CN"/>
        </w:rPr>
        <w:t>项，民主决策</w:t>
      </w:r>
      <w:r>
        <w:rPr>
          <w:rFonts w:hint="eastAsia" w:ascii="仿宋_GB2312" w:hAnsi="仿宋_GB2312" w:eastAsia="仿宋_GB2312" w:cs="仿宋_GB2312"/>
          <w:bCs/>
          <w:spacing w:val="-6"/>
          <w:kern w:val="0"/>
          <w:sz w:val="32"/>
          <w:szCs w:val="32"/>
          <w:lang w:val="en-US" w:eastAsia="zh-CN"/>
        </w:rPr>
        <w:t>328</w:t>
      </w:r>
      <w:r>
        <w:rPr>
          <w:rFonts w:hint="default" w:ascii="仿宋_GB2312" w:hAnsi="仿宋_GB2312" w:eastAsia="仿宋_GB2312" w:cs="仿宋_GB2312"/>
          <w:bCs/>
          <w:spacing w:val="-6"/>
          <w:kern w:val="0"/>
          <w:sz w:val="32"/>
          <w:szCs w:val="32"/>
          <w:lang w:val="en-US" w:eastAsia="zh-CN"/>
        </w:rPr>
        <w:t>个议题。</w:t>
      </w:r>
    </w:p>
    <w:p w14:paraId="70626404">
      <w:pPr>
        <w:keepNext w:val="0"/>
        <w:keepLines w:val="0"/>
        <w:pageBreakBefore w:val="0"/>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bCs/>
          <w:spacing w:val="-6"/>
          <w:kern w:val="0"/>
          <w:sz w:val="32"/>
          <w:szCs w:val="32"/>
          <w:lang w:val="en-US" w:eastAsia="zh-CN"/>
        </w:rPr>
      </w:pPr>
      <w:r>
        <w:rPr>
          <w:rFonts w:hint="eastAsia" w:ascii="仿宋_GB2312" w:hAnsi="仿宋_GB2312" w:eastAsia="仿宋_GB2312" w:cs="仿宋_GB2312"/>
          <w:bCs/>
          <w:spacing w:val="-6"/>
          <w:kern w:val="0"/>
          <w:sz w:val="32"/>
          <w:szCs w:val="32"/>
          <w:lang w:val="en-US" w:eastAsia="zh-CN"/>
        </w:rPr>
        <w:t>2.</w:t>
      </w:r>
      <w:r>
        <w:rPr>
          <w:rFonts w:hint="default" w:ascii="仿宋_GB2312" w:hAnsi="仿宋_GB2312" w:eastAsia="仿宋_GB2312" w:cs="仿宋_GB2312"/>
          <w:bCs/>
          <w:spacing w:val="-6"/>
          <w:kern w:val="0"/>
          <w:sz w:val="32"/>
          <w:szCs w:val="32"/>
          <w:lang w:val="en-US" w:eastAsia="zh-CN"/>
        </w:rPr>
        <w:t>强化</w:t>
      </w:r>
      <w:r>
        <w:rPr>
          <w:rFonts w:hint="eastAsia" w:ascii="仿宋_GB2312" w:hAnsi="仿宋_GB2312" w:eastAsia="仿宋_GB2312" w:cs="仿宋_GB2312"/>
          <w:bCs/>
          <w:spacing w:val="-6"/>
          <w:kern w:val="0"/>
          <w:sz w:val="32"/>
          <w:szCs w:val="32"/>
          <w:lang w:val="en-US" w:eastAsia="zh-CN"/>
        </w:rPr>
        <w:t>管理和监督。全面推进决策公开、执行公开、管理公开、服务公开、结果公开</w:t>
      </w:r>
      <w:bookmarkStart w:id="2" w:name="OLE_LINK7"/>
      <w:r>
        <w:rPr>
          <w:rFonts w:hint="eastAsia" w:ascii="仿宋_GB2312" w:hAnsi="仿宋_GB2312" w:eastAsia="仿宋_GB2312" w:cs="仿宋_GB2312"/>
          <w:bCs/>
          <w:spacing w:val="-6"/>
          <w:kern w:val="0"/>
          <w:sz w:val="32"/>
          <w:szCs w:val="32"/>
          <w:lang w:val="en-US" w:eastAsia="zh-CN"/>
        </w:rPr>
        <w:t>，</w:t>
      </w:r>
      <w:r>
        <w:rPr>
          <w:rFonts w:hint="default" w:ascii="仿宋_GB2312" w:hAnsi="仿宋_GB2312" w:eastAsia="仿宋_GB2312" w:cs="仿宋_GB2312"/>
          <w:bCs/>
          <w:spacing w:val="-6"/>
          <w:kern w:val="0"/>
          <w:sz w:val="32"/>
          <w:szCs w:val="32"/>
          <w:lang w:val="en-US" w:eastAsia="zh-CN"/>
        </w:rPr>
        <w:t>提高信息透明度，确保公众知情权，接受社会监督</w:t>
      </w:r>
      <w:r>
        <w:rPr>
          <w:rFonts w:hint="eastAsia" w:ascii="仿宋_GB2312" w:hAnsi="仿宋_GB2312" w:eastAsia="仿宋_GB2312" w:cs="仿宋_GB2312"/>
          <w:bCs/>
          <w:spacing w:val="-6"/>
          <w:kern w:val="0"/>
          <w:sz w:val="32"/>
          <w:szCs w:val="32"/>
          <w:lang w:val="en-US" w:eastAsia="zh-CN"/>
        </w:rPr>
        <w:t>，全年共主动公开政府信息2339条，电子化率达100%。通过网站公开258条，微博公开信息1026条、微信公众号公开信息1055条。</w:t>
      </w:r>
      <w:bookmarkEnd w:id="2"/>
      <w:r>
        <w:rPr>
          <w:rFonts w:hint="default" w:ascii="仿宋_GB2312" w:hAnsi="仿宋_GB2312" w:eastAsia="仿宋_GB2312" w:cs="仿宋_GB2312"/>
          <w:bCs/>
          <w:spacing w:val="-6"/>
          <w:kern w:val="0"/>
          <w:sz w:val="32"/>
          <w:szCs w:val="32"/>
          <w:lang w:val="en-US" w:eastAsia="zh-CN"/>
        </w:rPr>
        <w:t>每年向人大常委会报告生态环境保护工作情况，自觉接受人大执法检查。</w:t>
      </w:r>
    </w:p>
    <w:p w14:paraId="7C1BBCBD">
      <w:pPr>
        <w:keepNext w:val="0"/>
        <w:keepLines w:val="0"/>
        <w:pageBreakBefore w:val="0"/>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bCs/>
          <w:spacing w:val="-6"/>
          <w:kern w:val="0"/>
          <w:sz w:val="32"/>
          <w:szCs w:val="32"/>
          <w:lang w:val="en-US" w:eastAsia="zh-CN"/>
        </w:rPr>
      </w:pPr>
      <w:r>
        <w:rPr>
          <w:rFonts w:hint="eastAsia" w:ascii="仿宋_GB2312" w:hAnsi="仿宋_GB2312" w:eastAsia="仿宋_GB2312" w:cs="仿宋_GB2312"/>
          <w:bCs/>
          <w:spacing w:val="-6"/>
          <w:kern w:val="0"/>
          <w:sz w:val="32"/>
          <w:szCs w:val="32"/>
          <w:lang w:val="en-US" w:eastAsia="zh-CN"/>
        </w:rPr>
        <w:t>3.充分发挥法律顾问专业优势，在重大复杂规范性文件、行政处罚案件审核以及行政复议、行政诉讼等工作中，确保合法合规。在合同订立方面，将律师审核作为必经程序。同时，每年对外聘法律顾问年度工作进行考核，进一步促进提升法律顾问工作水平，推动丰台法务区建设。</w:t>
      </w:r>
    </w:p>
    <w:p w14:paraId="19E0AB24">
      <w:pPr>
        <w:keepNext w:val="0"/>
        <w:keepLines w:val="0"/>
        <w:pageBreakBefore w:val="0"/>
        <w:kinsoku/>
        <w:wordWrap/>
        <w:overflowPunct/>
        <w:topLinePunct w:val="0"/>
        <w:autoSpaceDE/>
        <w:autoSpaceDN/>
        <w:bidi w:val="0"/>
        <w:adjustRightInd/>
        <w:snapToGrid/>
        <w:spacing w:line="560" w:lineRule="exact"/>
        <w:ind w:firstLine="616" w:firstLineChars="200"/>
        <w:jc w:val="left"/>
        <w:textAlignment w:val="auto"/>
        <w:rPr>
          <w:rFonts w:hint="eastAsia" w:ascii="楷体" w:hAnsi="楷体" w:eastAsia="楷体" w:cs="楷体"/>
          <w:bCs/>
          <w:spacing w:val="-6"/>
          <w:kern w:val="0"/>
          <w:sz w:val="32"/>
          <w:szCs w:val="32"/>
          <w:lang w:val="en-US" w:eastAsia="zh-CN"/>
        </w:rPr>
      </w:pPr>
      <w:r>
        <w:rPr>
          <w:rFonts w:hint="eastAsia" w:ascii="楷体" w:hAnsi="楷体" w:eastAsia="楷体" w:cs="楷体"/>
          <w:bCs/>
          <w:spacing w:val="-6"/>
          <w:kern w:val="0"/>
          <w:sz w:val="32"/>
          <w:szCs w:val="32"/>
          <w:lang w:val="en-US" w:eastAsia="zh-CN"/>
        </w:rPr>
        <w:t>（三）全面提升依法行政能力，实现生态环境高水平保护</w:t>
      </w:r>
    </w:p>
    <w:p w14:paraId="2E5A6A8A">
      <w:pPr>
        <w:keepNext w:val="0"/>
        <w:keepLines w:val="0"/>
        <w:pageBreakBefore w:val="0"/>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bCs/>
          <w:spacing w:val="-6"/>
          <w:kern w:val="0"/>
          <w:sz w:val="32"/>
          <w:szCs w:val="32"/>
          <w:lang w:val="en-US" w:eastAsia="zh-CN"/>
        </w:rPr>
      </w:pPr>
      <w:r>
        <w:rPr>
          <w:rFonts w:hint="eastAsia" w:ascii="仿宋_GB2312" w:hAnsi="仿宋_GB2312" w:eastAsia="仿宋_GB2312" w:cs="仿宋_GB2312"/>
          <w:bCs/>
          <w:spacing w:val="-6"/>
          <w:kern w:val="0"/>
          <w:sz w:val="32"/>
          <w:szCs w:val="32"/>
          <w:lang w:val="en-US" w:eastAsia="zh-CN"/>
        </w:rPr>
        <w:t>1.依法推进污染防治攻坚战。坚持用法治的力量保护生态环境，推动“十四五”规划纲要确定的生态环境约束性指标圆满完成。深化“三监联动”工作机制，依托大气、水、土壤等精细化管理系统，推动跨部门、跨领域、跨层级联动，实现污染源管理信息共享、过程留痕、闭环管理。优良天数和比率排名均为全市第二、中心城区第一，2个国家和7个市级考核断面月均优良水体比例为100%，建设用地和农用地土壤环境风险得到有效管控，无受污染耕地。</w:t>
      </w:r>
    </w:p>
    <w:p w14:paraId="45BF8AF1">
      <w:pPr>
        <w:keepNext w:val="0"/>
        <w:keepLines w:val="0"/>
        <w:pageBreakBefore w:val="0"/>
        <w:kinsoku/>
        <w:wordWrap/>
        <w:overflowPunct/>
        <w:topLinePunct w:val="0"/>
        <w:autoSpaceDE/>
        <w:autoSpaceDN/>
        <w:bidi w:val="0"/>
        <w:adjustRightInd/>
        <w:snapToGrid/>
        <w:spacing w:line="560" w:lineRule="exact"/>
        <w:ind w:firstLine="616" w:firstLineChars="200"/>
        <w:jc w:val="left"/>
        <w:textAlignment w:val="auto"/>
        <w:rPr>
          <w:rFonts w:hint="default" w:ascii="仿宋_GB2312" w:hAnsi="仿宋_GB2312" w:eastAsia="仿宋_GB2312" w:cs="仿宋_GB2312"/>
          <w:bCs/>
          <w:spacing w:val="-6"/>
          <w:kern w:val="0"/>
          <w:sz w:val="32"/>
          <w:szCs w:val="32"/>
          <w:lang w:val="en-US" w:eastAsia="zh-CN"/>
        </w:rPr>
      </w:pPr>
      <w:r>
        <w:rPr>
          <w:rFonts w:hint="eastAsia" w:ascii="仿宋_GB2312" w:hAnsi="仿宋_GB2312" w:eastAsia="仿宋_GB2312" w:cs="仿宋_GB2312"/>
          <w:bCs/>
          <w:spacing w:val="-6"/>
          <w:kern w:val="0"/>
          <w:sz w:val="32"/>
          <w:szCs w:val="32"/>
          <w:lang w:val="en-US" w:eastAsia="zh-CN"/>
        </w:rPr>
        <w:t>2.深化行政审批制度改革。持续跟踪重点项目，全过程服务企业环评审批，落实惠企政策，实行即到即受理、即受理即评估、评估与审查同步，确保重点项目及早建成投用，指导9个重大项目环评编制，许可建设项目39个；开展规划环评与建设项目环评联动工作，根据入驻园区企业的不同情况，采取“打捆”环评、告知承诺、简化评价内容等措施，持续提升服务效能，促进园区高质量发展。</w:t>
      </w:r>
    </w:p>
    <w:p w14:paraId="162AAF4F">
      <w:pPr>
        <w:keepNext w:val="0"/>
        <w:keepLines w:val="0"/>
        <w:pageBreakBefore w:val="0"/>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bCs/>
          <w:spacing w:val="-6"/>
          <w:kern w:val="0"/>
          <w:sz w:val="32"/>
          <w:szCs w:val="32"/>
          <w:lang w:val="en-US" w:eastAsia="zh-CN"/>
        </w:rPr>
      </w:pPr>
      <w:r>
        <w:rPr>
          <w:rFonts w:hint="eastAsia" w:ascii="仿宋_GB2312" w:hAnsi="仿宋_GB2312" w:eastAsia="仿宋_GB2312" w:cs="仿宋_GB2312"/>
          <w:bCs/>
          <w:spacing w:val="-6"/>
          <w:kern w:val="0"/>
          <w:sz w:val="32"/>
          <w:szCs w:val="32"/>
          <w:lang w:val="en-US" w:eastAsia="zh-CN"/>
        </w:rPr>
        <w:t>3.依法服务区域高质量发展。发布实施生态环境领域倍增追赶、合作发展工作实施意见，明确6方面24项重点任务，成立“生态环保产业圈”，吸纳18家驻区环保企业打造绿色发展新平台。配合区委统战部承办首届“美丽北京大家谈”活动，为丰台绿色高质量发展把脉问诊、谋划良方。</w:t>
      </w:r>
      <w:bookmarkStart w:id="3" w:name="OLE_LINK5"/>
      <w:r>
        <w:rPr>
          <w:rFonts w:hint="eastAsia" w:ascii="仿宋_GB2312" w:hAnsi="仿宋_GB2312" w:eastAsia="仿宋_GB2312" w:cs="仿宋_GB2312"/>
          <w:bCs/>
          <w:spacing w:val="-6"/>
          <w:kern w:val="0"/>
          <w:sz w:val="32"/>
          <w:szCs w:val="32"/>
          <w:lang w:val="en-US" w:eastAsia="zh-CN"/>
        </w:rPr>
        <w:t>探索低碳发展，推进丽泽金融商务区“双碳”路径项目实施。丽泽金融商务区和公交集团获评生态环境部2022年绿色低碳典型案例。推选南中轴国际文化科技园综合能源应用等14个项目评选北京低碳试点。</w:t>
      </w:r>
      <w:bookmarkEnd w:id="3"/>
    </w:p>
    <w:p w14:paraId="13F6E294">
      <w:pPr>
        <w:keepNext w:val="0"/>
        <w:keepLines w:val="0"/>
        <w:pageBreakBefore w:val="0"/>
        <w:kinsoku/>
        <w:wordWrap/>
        <w:overflowPunct/>
        <w:topLinePunct w:val="0"/>
        <w:autoSpaceDE/>
        <w:autoSpaceDN/>
        <w:bidi w:val="0"/>
        <w:adjustRightInd/>
        <w:snapToGrid/>
        <w:spacing w:line="560" w:lineRule="exact"/>
        <w:ind w:firstLine="616" w:firstLineChars="200"/>
        <w:jc w:val="left"/>
        <w:textAlignment w:val="auto"/>
        <w:outlineLvl w:val="1"/>
        <w:rPr>
          <w:rFonts w:hint="eastAsia" w:ascii="楷体" w:hAnsi="楷体" w:eastAsia="楷体" w:cs="楷体"/>
          <w:bCs/>
          <w:spacing w:val="-6"/>
          <w:kern w:val="0"/>
          <w:sz w:val="32"/>
          <w:szCs w:val="32"/>
          <w:lang w:val="en-US" w:eastAsia="zh-CN"/>
        </w:rPr>
      </w:pPr>
      <w:r>
        <w:rPr>
          <w:rFonts w:hint="eastAsia" w:ascii="楷体" w:hAnsi="楷体" w:eastAsia="楷体" w:cs="楷体"/>
          <w:bCs/>
          <w:spacing w:val="-6"/>
          <w:kern w:val="0"/>
          <w:sz w:val="32"/>
          <w:szCs w:val="32"/>
          <w:lang w:val="en-US" w:eastAsia="zh-CN"/>
        </w:rPr>
        <w:t>（四）依法防范化解各类风险，解决突出问题</w:t>
      </w:r>
    </w:p>
    <w:p w14:paraId="7C96198E">
      <w:pPr>
        <w:keepNext w:val="0"/>
        <w:keepLines w:val="0"/>
        <w:pageBreakBefore w:val="0"/>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bCs/>
          <w:spacing w:val="-6"/>
          <w:kern w:val="0"/>
          <w:sz w:val="32"/>
          <w:szCs w:val="32"/>
          <w:lang w:val="en-US" w:eastAsia="zh-CN"/>
        </w:rPr>
      </w:pPr>
      <w:r>
        <w:rPr>
          <w:rFonts w:hint="eastAsia" w:ascii="仿宋_GB2312" w:hAnsi="仿宋_GB2312" w:eastAsia="仿宋_GB2312" w:cs="仿宋_GB2312"/>
          <w:bCs/>
          <w:spacing w:val="-6"/>
          <w:kern w:val="0"/>
          <w:sz w:val="32"/>
          <w:szCs w:val="32"/>
          <w:lang w:val="en-US" w:eastAsia="zh-CN"/>
        </w:rPr>
        <w:t>1.牵头修订《丰台区突发环境事件应急预案》、《丰台区空气重污染应急预案》等区级预案4个。深化“南阳实践”落地落实，编制重点河流“一河一策一图”应急响应方案，开展应急实战演练。开展环境风险隐患大排查大整治，编制环境隐患排查整治指导明白书，切实消除各类环境风险问题隐患。</w:t>
      </w:r>
    </w:p>
    <w:p w14:paraId="2AEF28B9">
      <w:pPr>
        <w:keepNext w:val="0"/>
        <w:keepLines w:val="0"/>
        <w:pageBreakBefore w:val="0"/>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bCs/>
          <w:spacing w:val="-6"/>
          <w:kern w:val="0"/>
          <w:sz w:val="32"/>
          <w:szCs w:val="32"/>
          <w:lang w:val="en-US" w:eastAsia="zh-CN"/>
        </w:rPr>
      </w:pPr>
      <w:r>
        <w:rPr>
          <w:rFonts w:hint="eastAsia" w:ascii="仿宋_GB2312" w:hAnsi="仿宋_GB2312" w:eastAsia="仿宋_GB2312" w:cs="仿宋_GB2312"/>
          <w:bCs/>
          <w:spacing w:val="-6"/>
          <w:kern w:val="0"/>
          <w:sz w:val="32"/>
          <w:szCs w:val="32"/>
          <w:lang w:val="en-US" w:eastAsia="zh-CN"/>
        </w:rPr>
        <w:t>2.牵头抓好生态环保督察整改。制定第二轮市级环保督察整改方案和销号工作办法，办结群众信访件116件，完成整改任务18项。指导全部办结第二轮中央督察信访件248件。</w:t>
      </w:r>
    </w:p>
    <w:p w14:paraId="6C922B23">
      <w:pPr>
        <w:keepNext w:val="0"/>
        <w:keepLines w:val="0"/>
        <w:pageBreakBefore w:val="0"/>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bCs/>
          <w:spacing w:val="-6"/>
          <w:kern w:val="0"/>
          <w:sz w:val="32"/>
          <w:szCs w:val="32"/>
          <w:lang w:val="en-US" w:eastAsia="zh-CN"/>
        </w:rPr>
      </w:pPr>
      <w:r>
        <w:rPr>
          <w:rFonts w:hint="eastAsia" w:ascii="仿宋_GB2312" w:hAnsi="仿宋_GB2312" w:eastAsia="仿宋_GB2312" w:cs="仿宋_GB2312"/>
          <w:bCs/>
          <w:spacing w:val="-6"/>
          <w:kern w:val="0"/>
          <w:sz w:val="32"/>
          <w:szCs w:val="32"/>
          <w:lang w:val="en-US" w:eastAsia="zh-CN"/>
        </w:rPr>
        <w:t>3.有效化解社会矛盾纠纷。牢固树立执法为民、服务于民的思想认识，加强群众投诉举报和信访事项的办理力度，依法查处群众反映强烈的违法排污企业，细致排查、有效化解环境矛盾纠纷，以实际行动得到群众的认可。</w:t>
      </w:r>
      <w:bookmarkStart w:id="4" w:name="OLE_LINK8"/>
      <w:r>
        <w:rPr>
          <w:rFonts w:hint="eastAsia" w:ascii="仿宋_GB2312" w:hAnsi="仿宋_GB2312" w:eastAsia="仿宋_GB2312" w:cs="仿宋_GB2312"/>
          <w:bCs/>
          <w:spacing w:val="-6"/>
          <w:kern w:val="0"/>
          <w:sz w:val="32"/>
          <w:szCs w:val="32"/>
          <w:lang w:val="en-US" w:eastAsia="zh-CN"/>
        </w:rPr>
        <w:t>全年共受理各渠道转接信访件1082件；目前已办结1072件，均按时按规定回复，未发生逾期现象。</w:t>
      </w:r>
    </w:p>
    <w:bookmarkEnd w:id="4"/>
    <w:p w14:paraId="25F214A6">
      <w:pPr>
        <w:keepNext w:val="0"/>
        <w:keepLines w:val="0"/>
        <w:pageBreakBefore w:val="0"/>
        <w:kinsoku/>
        <w:wordWrap/>
        <w:overflowPunct/>
        <w:topLinePunct w:val="0"/>
        <w:autoSpaceDE/>
        <w:autoSpaceDN/>
        <w:bidi w:val="0"/>
        <w:adjustRightInd/>
        <w:snapToGrid/>
        <w:spacing w:line="560" w:lineRule="exact"/>
        <w:ind w:firstLine="616" w:firstLineChars="200"/>
        <w:jc w:val="left"/>
        <w:textAlignment w:val="auto"/>
        <w:outlineLvl w:val="1"/>
        <w:rPr>
          <w:rFonts w:hint="default" w:ascii="楷体" w:hAnsi="楷体" w:eastAsia="楷体" w:cs="楷体"/>
          <w:bCs/>
          <w:spacing w:val="-6"/>
          <w:kern w:val="0"/>
          <w:sz w:val="32"/>
          <w:szCs w:val="32"/>
          <w:lang w:val="en-US" w:eastAsia="zh-CN"/>
        </w:rPr>
      </w:pPr>
      <w:r>
        <w:rPr>
          <w:rFonts w:hint="eastAsia" w:ascii="楷体" w:hAnsi="楷体" w:eastAsia="楷体" w:cs="楷体"/>
          <w:bCs/>
          <w:spacing w:val="-6"/>
          <w:kern w:val="0"/>
          <w:sz w:val="32"/>
          <w:szCs w:val="32"/>
          <w:lang w:val="en-US" w:eastAsia="zh-CN"/>
        </w:rPr>
        <w:t>（五）严格规范公正文明执法，全面提升执法效能</w:t>
      </w:r>
    </w:p>
    <w:p w14:paraId="42286CBE">
      <w:pPr>
        <w:keepNext w:val="0"/>
        <w:keepLines w:val="0"/>
        <w:pageBreakBefore w:val="0"/>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bCs/>
          <w:spacing w:val="-6"/>
          <w:kern w:val="0"/>
          <w:sz w:val="32"/>
          <w:szCs w:val="32"/>
          <w:lang w:val="en-US" w:eastAsia="zh-CN"/>
        </w:rPr>
      </w:pPr>
      <w:r>
        <w:rPr>
          <w:rFonts w:hint="eastAsia" w:ascii="仿宋_GB2312" w:hAnsi="仿宋_GB2312" w:eastAsia="仿宋_GB2312" w:cs="仿宋_GB2312"/>
          <w:bCs/>
          <w:spacing w:val="-6"/>
          <w:kern w:val="0"/>
          <w:sz w:val="32"/>
          <w:szCs w:val="32"/>
          <w:lang w:val="en-US" w:eastAsia="zh-CN"/>
        </w:rPr>
        <w:t>1.规范执法行为。深入推进行政执法“三项制度”，修订《丰台区生态环境局行政处罚工作程序》、《丰台区生态环境局重大行政处罚案件集体审查决定制度》等制度，动态调整并公示权力清单409项、责任清单7项、全面检查（涉企）检查单标准35项、丰台区“涉企”类全面检查单12项。</w:t>
      </w:r>
    </w:p>
    <w:p w14:paraId="7E9CE60B">
      <w:pPr>
        <w:keepNext w:val="0"/>
        <w:keepLines w:val="0"/>
        <w:pageBreakBefore w:val="0"/>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bCs/>
          <w:spacing w:val="-6"/>
          <w:kern w:val="0"/>
          <w:sz w:val="32"/>
          <w:szCs w:val="32"/>
          <w:lang w:val="en-US" w:eastAsia="zh-CN"/>
        </w:rPr>
      </w:pPr>
      <w:r>
        <w:rPr>
          <w:rFonts w:hint="eastAsia" w:ascii="仿宋_GB2312" w:hAnsi="仿宋_GB2312" w:eastAsia="仿宋_GB2312" w:cs="仿宋_GB2312"/>
          <w:bCs/>
          <w:spacing w:val="-6"/>
          <w:kern w:val="0"/>
          <w:sz w:val="32"/>
          <w:szCs w:val="32"/>
          <w:lang w:val="en-US" w:eastAsia="zh-CN"/>
        </w:rPr>
        <w:t>2.执法队伍规范化建设。从“打基础、强素质、固根本”出发，进一步规范行政执法行为，严格</w:t>
      </w:r>
      <w:r>
        <w:rPr>
          <w:rFonts w:hint="default" w:ascii="仿宋_GB2312" w:hAnsi="仿宋_GB2312" w:eastAsia="仿宋_GB2312" w:cs="仿宋_GB2312"/>
          <w:bCs/>
          <w:spacing w:val="-6"/>
          <w:kern w:val="0"/>
          <w:sz w:val="32"/>
          <w:szCs w:val="32"/>
          <w:lang w:val="en-US" w:eastAsia="zh-CN"/>
        </w:rPr>
        <w:t>落实行政执法“三项制度”</w:t>
      </w:r>
      <w:r>
        <w:rPr>
          <w:rFonts w:hint="eastAsia" w:ascii="仿宋_GB2312" w:hAnsi="仿宋_GB2312" w:eastAsia="仿宋_GB2312" w:cs="仿宋_GB2312"/>
          <w:bCs/>
          <w:spacing w:val="-6"/>
          <w:kern w:val="0"/>
          <w:sz w:val="32"/>
          <w:szCs w:val="32"/>
          <w:lang w:val="en-US" w:eastAsia="zh-CN"/>
        </w:rPr>
        <w:t>，提高执法人员办案能力和水平，开展新版自由裁量基准解读和执法中队长岗位脱产封闭式培训。11月24日，率先通过市级规范化建设验收，入围全市首批生态环境保护综合行政执法机构规范化建设示范达标单位。</w:t>
      </w:r>
    </w:p>
    <w:p w14:paraId="3E017BE4">
      <w:pPr>
        <w:keepNext w:val="0"/>
        <w:keepLines w:val="0"/>
        <w:pageBreakBefore w:val="0"/>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bCs/>
          <w:spacing w:val="-6"/>
          <w:kern w:val="0"/>
          <w:sz w:val="32"/>
          <w:szCs w:val="32"/>
          <w:lang w:val="en-US" w:eastAsia="zh-CN"/>
        </w:rPr>
      </w:pPr>
      <w:r>
        <w:rPr>
          <w:rFonts w:hint="eastAsia" w:ascii="仿宋_GB2312" w:hAnsi="仿宋_GB2312" w:eastAsia="仿宋_GB2312" w:cs="仿宋_GB2312"/>
          <w:bCs/>
          <w:spacing w:val="-6"/>
          <w:kern w:val="0"/>
          <w:sz w:val="32"/>
          <w:szCs w:val="32"/>
          <w:lang w:val="en-US" w:eastAsia="zh-CN"/>
        </w:rPr>
        <w:t>3.创新执法方式。深化综合执法改革，健全网格化监管体系，将26个街镇划分为54个网格，实现固定源、移动源“双源”执法融合；实行“一案双查”，组织召开全区生态环境损害赔偿筛查会3次，牵头对10起案件启动生态环境损害赔偿索赔工作。先后荣获执法大练兵全国先进集体、北京市工人先锋号等荣誉称号，1名同志荣获全国最美基层环保人称号，1名同志纳入生态环境部“百千万”执法人才库，3名同志纳入市级人才库。</w:t>
      </w:r>
    </w:p>
    <w:p w14:paraId="48954B06">
      <w:pPr>
        <w:keepNext w:val="0"/>
        <w:keepLines w:val="0"/>
        <w:pageBreakBefore w:val="0"/>
        <w:kinsoku/>
        <w:wordWrap/>
        <w:overflowPunct/>
        <w:topLinePunct w:val="0"/>
        <w:autoSpaceDE/>
        <w:autoSpaceDN/>
        <w:bidi w:val="0"/>
        <w:adjustRightInd/>
        <w:snapToGrid/>
        <w:spacing w:line="560" w:lineRule="exact"/>
        <w:ind w:firstLine="616" w:firstLineChars="200"/>
        <w:jc w:val="left"/>
        <w:textAlignment w:val="auto"/>
        <w:outlineLvl w:val="0"/>
        <w:rPr>
          <w:rFonts w:hint="eastAsia" w:ascii="黑体" w:hAnsi="黑体" w:eastAsia="黑体" w:cs="黑体"/>
          <w:bCs/>
          <w:spacing w:val="-6"/>
          <w:kern w:val="0"/>
          <w:sz w:val="32"/>
          <w:szCs w:val="32"/>
          <w:lang w:val="en-US" w:eastAsia="zh-CN"/>
        </w:rPr>
      </w:pPr>
      <w:r>
        <w:rPr>
          <w:rFonts w:hint="eastAsia" w:ascii="黑体" w:hAnsi="黑体" w:eastAsia="黑体" w:cs="黑体"/>
          <w:bCs/>
          <w:spacing w:val="-6"/>
          <w:kern w:val="0"/>
          <w:sz w:val="32"/>
          <w:szCs w:val="32"/>
          <w:lang w:val="en-US" w:eastAsia="zh-CN"/>
        </w:rPr>
        <w:t>二、党政主要负责同志履行推进法治建设第一责任人职责的情况</w:t>
      </w:r>
    </w:p>
    <w:p w14:paraId="1A4395A7">
      <w:pPr>
        <w:keepNext w:val="0"/>
        <w:keepLines w:val="0"/>
        <w:pageBreakBefore w:val="0"/>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bCs/>
          <w:spacing w:val="-6"/>
          <w:kern w:val="0"/>
          <w:sz w:val="32"/>
          <w:szCs w:val="32"/>
          <w:lang w:val="en-US" w:eastAsia="zh-CN"/>
        </w:rPr>
      </w:pPr>
      <w:r>
        <w:rPr>
          <w:rFonts w:hint="eastAsia" w:ascii="楷体" w:hAnsi="楷体" w:eastAsia="楷体" w:cs="楷体"/>
          <w:bCs/>
          <w:spacing w:val="-6"/>
          <w:kern w:val="0"/>
          <w:sz w:val="32"/>
          <w:szCs w:val="32"/>
          <w:lang w:val="en-US" w:eastAsia="zh-CN"/>
        </w:rPr>
        <w:t>（一）认真做好统筹谋划。</w:t>
      </w:r>
      <w:r>
        <w:rPr>
          <w:rFonts w:hint="eastAsia" w:ascii="仿宋_GB2312" w:hAnsi="仿宋_GB2312" w:eastAsia="仿宋_GB2312" w:cs="仿宋_GB2312"/>
          <w:bCs/>
          <w:spacing w:val="-6"/>
          <w:kern w:val="0"/>
          <w:sz w:val="32"/>
          <w:szCs w:val="32"/>
          <w:lang w:val="en-US" w:eastAsia="zh-CN"/>
        </w:rPr>
        <w:t>局党组坚决贯彻落实党中央国务院、市委市政府和区委味区政府有关法治建设的重大决策部署，组织召开局长办公会审议法治政府建设年度情况报告、法治政府建设实施意见等，全力推进法治政府建设各项工作。</w:t>
      </w:r>
    </w:p>
    <w:p w14:paraId="47A6B939">
      <w:pPr>
        <w:keepNext w:val="0"/>
        <w:keepLines w:val="0"/>
        <w:pageBreakBefore w:val="0"/>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bCs/>
          <w:spacing w:val="-6"/>
          <w:kern w:val="0"/>
          <w:sz w:val="32"/>
          <w:szCs w:val="32"/>
          <w:lang w:val="en-US" w:eastAsia="zh-CN"/>
        </w:rPr>
      </w:pPr>
      <w:r>
        <w:rPr>
          <w:rFonts w:hint="eastAsia" w:ascii="楷体" w:hAnsi="楷体" w:eastAsia="楷体" w:cs="楷体"/>
          <w:bCs/>
          <w:spacing w:val="-6"/>
          <w:kern w:val="0"/>
          <w:sz w:val="32"/>
          <w:szCs w:val="32"/>
          <w:lang w:val="en-US" w:eastAsia="zh-CN"/>
        </w:rPr>
        <w:t>（二）发挥引领示范作用。</w:t>
      </w:r>
      <w:r>
        <w:rPr>
          <w:rFonts w:hint="eastAsia" w:ascii="仿宋_GB2312" w:hAnsi="仿宋_GB2312" w:eastAsia="仿宋_GB2312" w:cs="仿宋_GB2312"/>
          <w:bCs/>
          <w:spacing w:val="-6"/>
          <w:kern w:val="0"/>
          <w:sz w:val="32"/>
          <w:szCs w:val="32"/>
          <w:lang w:val="en-US" w:eastAsia="zh-CN"/>
        </w:rPr>
        <w:t>健全完善党组理论学习中心组学习制度和局长办公会前学法制度，深入学习党的二十大精神和习近平生态文明思想、《宪法》、《民法典》、《行政处罚法》、《北京市土壤污染防治条例》等法律法规。坚持全面从严治党、依规治党，提高党内法规制度执行力，牢固树立忠于宪法、遵守宪法、维护宪法的自觉意识。</w:t>
      </w:r>
    </w:p>
    <w:p w14:paraId="5AD593DC">
      <w:pPr>
        <w:keepNext w:val="0"/>
        <w:keepLines w:val="0"/>
        <w:pageBreakBefore w:val="0"/>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bCs/>
          <w:spacing w:val="-6"/>
          <w:kern w:val="0"/>
          <w:sz w:val="32"/>
          <w:szCs w:val="32"/>
          <w:lang w:val="en-US" w:eastAsia="zh-CN"/>
        </w:rPr>
      </w:pPr>
      <w:r>
        <w:rPr>
          <w:rFonts w:hint="eastAsia" w:ascii="楷体" w:hAnsi="楷体" w:eastAsia="楷体" w:cs="楷体"/>
          <w:bCs/>
          <w:spacing w:val="-6"/>
          <w:kern w:val="0"/>
          <w:sz w:val="32"/>
          <w:szCs w:val="32"/>
          <w:lang w:val="en-US" w:eastAsia="zh-CN"/>
        </w:rPr>
        <w:t>（三）严格依法履职尽责。</w:t>
      </w:r>
      <w:r>
        <w:rPr>
          <w:rFonts w:hint="eastAsia" w:ascii="仿宋_GB2312" w:hAnsi="仿宋_GB2312" w:eastAsia="仿宋_GB2312" w:cs="仿宋_GB2312"/>
          <w:bCs/>
          <w:spacing w:val="-6"/>
          <w:kern w:val="0"/>
          <w:sz w:val="32"/>
          <w:szCs w:val="32"/>
          <w:lang w:val="en-US" w:eastAsia="zh-CN"/>
        </w:rPr>
        <w:t>局党组始终坚持依法决策，通过党组会议、局长办公会、专题会等方式，专题听取生态环境局2023年各项工作推进情况和工作思路汇报，对重大事项进行集体决策，对污染防治攻坚战、专项资金使用等工作进行具体部署；深入开展调查研究，广泛听取相关委办局和街镇的意见和建议；制定党风廉政建设责任清单，明确“一把手”和班子成员的“一岗双责”，坚持党风廉政建设不松懈。</w:t>
      </w:r>
    </w:p>
    <w:p w14:paraId="60BE25B8">
      <w:pPr>
        <w:keepNext w:val="0"/>
        <w:keepLines w:val="0"/>
        <w:pageBreakBefore w:val="0"/>
        <w:kinsoku/>
        <w:wordWrap/>
        <w:overflowPunct/>
        <w:topLinePunct w:val="0"/>
        <w:autoSpaceDE/>
        <w:autoSpaceDN/>
        <w:bidi w:val="0"/>
        <w:adjustRightInd/>
        <w:snapToGrid/>
        <w:spacing w:line="560" w:lineRule="exact"/>
        <w:ind w:firstLine="616" w:firstLineChars="200"/>
        <w:jc w:val="left"/>
        <w:textAlignment w:val="auto"/>
        <w:outlineLvl w:val="0"/>
        <w:rPr>
          <w:rFonts w:hint="eastAsia" w:ascii="黑体" w:hAnsi="黑体" w:eastAsia="黑体" w:cs="黑体"/>
          <w:bCs/>
          <w:spacing w:val="-6"/>
          <w:kern w:val="0"/>
          <w:sz w:val="32"/>
          <w:szCs w:val="32"/>
          <w:lang w:val="en-US" w:eastAsia="zh-CN"/>
        </w:rPr>
      </w:pPr>
      <w:r>
        <w:rPr>
          <w:rFonts w:hint="eastAsia" w:ascii="黑体" w:hAnsi="黑体" w:eastAsia="黑体" w:cs="黑体"/>
          <w:bCs/>
          <w:spacing w:val="-6"/>
          <w:kern w:val="0"/>
          <w:sz w:val="32"/>
          <w:szCs w:val="32"/>
          <w:lang w:val="en-US" w:eastAsia="zh-CN"/>
        </w:rPr>
        <w:t>三、存在的主要不足</w:t>
      </w:r>
    </w:p>
    <w:p w14:paraId="28B90704">
      <w:pPr>
        <w:keepNext w:val="0"/>
        <w:keepLines w:val="0"/>
        <w:pageBreakBefore w:val="0"/>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bCs/>
          <w:spacing w:val="-6"/>
          <w:kern w:val="0"/>
          <w:sz w:val="32"/>
          <w:szCs w:val="32"/>
          <w:lang w:val="en-US" w:eastAsia="zh-CN"/>
        </w:rPr>
      </w:pPr>
      <w:r>
        <w:rPr>
          <w:rFonts w:hint="eastAsia" w:ascii="仿宋_GB2312" w:hAnsi="仿宋_GB2312" w:eastAsia="仿宋_GB2312" w:cs="仿宋_GB2312"/>
          <w:bCs/>
          <w:spacing w:val="-6"/>
          <w:kern w:val="0"/>
          <w:sz w:val="32"/>
          <w:szCs w:val="32"/>
          <w:lang w:val="en-US" w:eastAsia="zh-CN"/>
        </w:rPr>
        <w:t>2023年，丰台区生态环境局法治政府建设各项工作稳步推进，取得了一定的成绩，但仍然存在以下不足：</w:t>
      </w:r>
    </w:p>
    <w:p w14:paraId="3A5FC362">
      <w:pPr>
        <w:keepNext w:val="0"/>
        <w:keepLines w:val="0"/>
        <w:pageBreakBefore w:val="0"/>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bCs/>
          <w:spacing w:val="-6"/>
          <w:kern w:val="0"/>
          <w:sz w:val="32"/>
          <w:szCs w:val="32"/>
          <w:lang w:val="en-US" w:eastAsia="zh-CN"/>
        </w:rPr>
      </w:pPr>
      <w:r>
        <w:rPr>
          <w:rFonts w:hint="eastAsia" w:ascii="仿宋_GB2312" w:hAnsi="仿宋_GB2312" w:eastAsia="仿宋_GB2312" w:cs="仿宋_GB2312"/>
          <w:bCs/>
          <w:spacing w:val="-6"/>
          <w:kern w:val="0"/>
          <w:sz w:val="32"/>
          <w:szCs w:val="32"/>
          <w:lang w:val="en-US" w:eastAsia="zh-CN"/>
        </w:rPr>
        <w:t>一是环境执法能力有待加强。综合执法改革之后，执法人员要开展全要素执法，执法队员全面掌握固定源、移动源、辐射执法能力还有待进一步提高。</w:t>
      </w:r>
    </w:p>
    <w:p w14:paraId="3CF48B4F">
      <w:pPr>
        <w:keepNext w:val="0"/>
        <w:keepLines w:val="0"/>
        <w:pageBreakBefore w:val="0"/>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bCs/>
          <w:spacing w:val="-6"/>
          <w:kern w:val="0"/>
          <w:sz w:val="32"/>
          <w:szCs w:val="32"/>
          <w:lang w:val="en-US" w:eastAsia="zh-CN"/>
        </w:rPr>
      </w:pPr>
      <w:r>
        <w:rPr>
          <w:rFonts w:hint="eastAsia" w:ascii="仿宋_GB2312" w:hAnsi="仿宋_GB2312" w:eastAsia="仿宋_GB2312" w:cs="仿宋_GB2312"/>
          <w:bCs/>
          <w:spacing w:val="-6"/>
          <w:kern w:val="0"/>
          <w:sz w:val="32"/>
          <w:szCs w:val="32"/>
          <w:lang w:val="en-US" w:eastAsia="zh-CN"/>
        </w:rPr>
        <w:t>二是普法宣传工作需进一步加强。创新运用新媒体、新方式开展法治宣传工作能力有待加强。</w:t>
      </w:r>
    </w:p>
    <w:p w14:paraId="30A6DF67">
      <w:pPr>
        <w:keepNext w:val="0"/>
        <w:keepLines w:val="0"/>
        <w:pageBreakBefore w:val="0"/>
        <w:kinsoku/>
        <w:wordWrap/>
        <w:overflowPunct/>
        <w:topLinePunct w:val="0"/>
        <w:autoSpaceDE/>
        <w:autoSpaceDN/>
        <w:bidi w:val="0"/>
        <w:adjustRightInd/>
        <w:snapToGrid/>
        <w:spacing w:line="560" w:lineRule="exact"/>
        <w:ind w:firstLine="616" w:firstLineChars="200"/>
        <w:jc w:val="left"/>
        <w:textAlignment w:val="auto"/>
        <w:rPr>
          <w:rFonts w:hint="eastAsia" w:ascii="黑体" w:hAnsi="黑体" w:eastAsia="黑体" w:cs="黑体"/>
          <w:bCs/>
          <w:spacing w:val="-6"/>
          <w:kern w:val="0"/>
          <w:sz w:val="32"/>
          <w:szCs w:val="32"/>
          <w:lang w:val="en-US" w:eastAsia="zh-CN"/>
        </w:rPr>
      </w:pPr>
      <w:r>
        <w:rPr>
          <w:rFonts w:hint="eastAsia" w:ascii="黑体" w:hAnsi="黑体" w:eastAsia="黑体" w:cs="黑体"/>
          <w:bCs/>
          <w:spacing w:val="-6"/>
          <w:kern w:val="0"/>
          <w:sz w:val="32"/>
          <w:szCs w:val="32"/>
          <w:lang w:val="en-US" w:eastAsia="zh-CN"/>
        </w:rPr>
        <w:t>四、2024年法治政府建设工作初步安排</w:t>
      </w:r>
    </w:p>
    <w:p w14:paraId="17517AEB">
      <w:pPr>
        <w:keepNext w:val="0"/>
        <w:keepLines w:val="0"/>
        <w:pageBreakBefore w:val="0"/>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bCs/>
          <w:spacing w:val="-6"/>
          <w:kern w:val="0"/>
          <w:sz w:val="32"/>
          <w:szCs w:val="32"/>
          <w:lang w:val="en-US" w:eastAsia="zh-CN"/>
        </w:rPr>
      </w:pPr>
      <w:r>
        <w:rPr>
          <w:rFonts w:hint="eastAsia" w:ascii="楷体" w:hAnsi="楷体" w:eastAsia="楷体" w:cs="楷体"/>
          <w:bCs/>
          <w:spacing w:val="-6"/>
          <w:kern w:val="0"/>
          <w:sz w:val="32"/>
          <w:szCs w:val="32"/>
          <w:lang w:val="en-US" w:eastAsia="zh-CN"/>
        </w:rPr>
        <w:t>（一）深入学习贯彻习近平法治思想</w:t>
      </w:r>
      <w:r>
        <w:rPr>
          <w:rFonts w:hint="eastAsia" w:ascii="仿宋_GB2312" w:hAnsi="仿宋_GB2312" w:eastAsia="仿宋_GB2312" w:cs="仿宋_GB2312"/>
          <w:bCs/>
          <w:spacing w:val="-6"/>
          <w:kern w:val="0"/>
          <w:sz w:val="32"/>
          <w:szCs w:val="32"/>
          <w:lang w:val="en-US" w:eastAsia="zh-CN"/>
        </w:rPr>
        <w:t>。深刻领会习近平总书记在全国生态环境保护大会重要讲话精神，全力以赴加强丰台区生态文明建设，协同推进降碳、减污、扩绿、增长，以高品质生态环境支撑丰台高质量发展。</w:t>
      </w:r>
    </w:p>
    <w:p w14:paraId="1FF902C4">
      <w:pPr>
        <w:keepNext w:val="0"/>
        <w:keepLines w:val="0"/>
        <w:pageBreakBefore w:val="0"/>
        <w:kinsoku/>
        <w:wordWrap/>
        <w:overflowPunct/>
        <w:topLinePunct w:val="0"/>
        <w:autoSpaceDE/>
        <w:autoSpaceDN/>
        <w:bidi w:val="0"/>
        <w:adjustRightInd/>
        <w:snapToGrid/>
        <w:spacing w:line="560" w:lineRule="exact"/>
        <w:ind w:firstLine="420" w:firstLineChars="200"/>
        <w:jc w:val="left"/>
        <w:textAlignment w:val="auto"/>
        <w:rPr>
          <w:rFonts w:hint="default" w:ascii="仿宋_GB2312" w:hAnsi="仿宋_GB2312" w:eastAsia="仿宋_GB2312" w:cs="仿宋_GB2312"/>
          <w:bCs/>
          <w:spacing w:val="-6"/>
          <w:kern w:val="0"/>
          <w:sz w:val="32"/>
          <w:szCs w:val="32"/>
          <w:lang w:val="en-US" w:eastAsia="zh-CN"/>
        </w:rPr>
      </w:pPr>
      <w:r>
        <w:rPr>
          <w:rFonts w:hint="eastAsia" w:ascii="楷体" w:hAnsi="楷体" w:eastAsia="楷体" w:cs="楷体"/>
        </w:rPr>
        <w:t>　</w:t>
      </w:r>
      <w:r>
        <w:rPr>
          <w:rFonts w:hint="eastAsia" w:ascii="楷体" w:hAnsi="楷体" w:eastAsia="楷体" w:cs="楷体"/>
          <w:bCs/>
          <w:spacing w:val="-6"/>
          <w:kern w:val="0"/>
          <w:sz w:val="32"/>
          <w:szCs w:val="32"/>
          <w:lang w:val="en-US" w:eastAsia="zh-CN"/>
        </w:rPr>
        <w:t>（二）完善依法行政工作体系。</w:t>
      </w:r>
      <w:r>
        <w:rPr>
          <w:rFonts w:hint="eastAsia" w:ascii="仿宋_GB2312" w:hAnsi="仿宋_GB2312" w:eastAsia="仿宋_GB2312" w:cs="仿宋_GB2312"/>
          <w:bCs/>
          <w:spacing w:val="-6"/>
          <w:kern w:val="0"/>
          <w:sz w:val="32"/>
          <w:szCs w:val="32"/>
          <w:lang w:val="en-US" w:eastAsia="zh-CN"/>
        </w:rPr>
        <w:t>加强内部制度体系建设，坚持重大行政决策集体讨论，推进行政决策科学化、民主化、法治化，全面提升依法行政工作能力和水平。</w:t>
      </w:r>
    </w:p>
    <w:p w14:paraId="5CAE9F16">
      <w:pPr>
        <w:keepNext w:val="0"/>
        <w:keepLines w:val="0"/>
        <w:pageBreakBefore w:val="0"/>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bCs/>
          <w:spacing w:val="-6"/>
          <w:kern w:val="0"/>
          <w:sz w:val="32"/>
          <w:szCs w:val="32"/>
          <w:lang w:val="en-US" w:eastAsia="zh-CN"/>
        </w:rPr>
      </w:pPr>
      <w:r>
        <w:rPr>
          <w:rFonts w:hint="eastAsia" w:ascii="楷体" w:hAnsi="楷体" w:eastAsia="楷体" w:cs="楷体"/>
          <w:bCs/>
          <w:spacing w:val="-6"/>
          <w:kern w:val="0"/>
          <w:sz w:val="32"/>
          <w:szCs w:val="32"/>
          <w:lang w:val="en-US" w:eastAsia="zh-CN"/>
        </w:rPr>
        <w:t>（三）持续提高执法效能。</w:t>
      </w:r>
      <w:r>
        <w:rPr>
          <w:rFonts w:hint="eastAsia" w:ascii="仿宋_GB2312" w:hAnsi="仿宋_GB2312" w:eastAsia="仿宋_GB2312" w:cs="仿宋_GB2312"/>
          <w:bCs/>
          <w:spacing w:val="-6"/>
          <w:kern w:val="0"/>
          <w:sz w:val="32"/>
          <w:szCs w:val="32"/>
          <w:lang w:val="en-US" w:eastAsia="zh-CN"/>
        </w:rPr>
        <w:t>法依规开展环境执法，严把行政执法案件质量关，推进环境执法信息化、精细化、规范化；强化部门联动，掌握生态环境领域法制工作新要求，执法工作新标准，以高质量法治建设推动生态环境高水平保护</w:t>
      </w:r>
    </w:p>
    <w:p w14:paraId="5EFD8964">
      <w:pPr>
        <w:keepNext w:val="0"/>
        <w:keepLines w:val="0"/>
        <w:pageBreakBefore w:val="0"/>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bCs/>
          <w:spacing w:val="-6"/>
          <w:kern w:val="0"/>
          <w:sz w:val="32"/>
          <w:szCs w:val="32"/>
          <w:lang w:val="en-US" w:eastAsia="zh-CN"/>
        </w:rPr>
      </w:pPr>
      <w:r>
        <w:rPr>
          <w:rFonts w:hint="eastAsia" w:ascii="楷体" w:hAnsi="楷体" w:eastAsia="楷体" w:cs="楷体"/>
          <w:bCs/>
          <w:spacing w:val="-6"/>
          <w:kern w:val="0"/>
          <w:sz w:val="32"/>
          <w:szCs w:val="32"/>
          <w:lang w:val="en-US" w:eastAsia="zh-CN"/>
        </w:rPr>
        <w:t>（四）加大生态环境领域普法力度。</w:t>
      </w:r>
      <w:r>
        <w:rPr>
          <w:rFonts w:hint="eastAsia" w:ascii="仿宋_GB2312" w:hAnsi="仿宋_GB2312" w:eastAsia="仿宋_GB2312" w:cs="仿宋_GB2312"/>
          <w:bCs/>
          <w:spacing w:val="-6"/>
          <w:kern w:val="0"/>
          <w:sz w:val="32"/>
          <w:szCs w:val="32"/>
          <w:lang w:val="en-US" w:eastAsia="zh-CN"/>
        </w:rPr>
        <w:t>依托“美丽北京大家谈”活动、六·五生态环境文化周、全国低碳日、全国生态日等系列活动，积极开展宣传曝光和典型案例推荐，积累、收集、挖掘报送典型案例，增加新闻媒体曝光度，打造丰台区新时代生态文明普法阵地，让生态文明守法理念深植于心。</w:t>
      </w:r>
    </w:p>
    <w:p w14:paraId="2A665B4F">
      <w:pPr>
        <w:pStyle w:val="2"/>
        <w:rPr>
          <w:rFonts w:hint="eastAsia" w:ascii="仿宋_GB2312" w:hAnsi="仿宋_GB2312" w:eastAsia="仿宋_GB2312" w:cs="仿宋_GB2312"/>
          <w:bCs/>
          <w:spacing w:val="-6"/>
          <w:kern w:val="0"/>
          <w:sz w:val="32"/>
          <w:szCs w:val="32"/>
          <w:lang w:val="en-US" w:eastAsia="zh-CN"/>
        </w:rPr>
      </w:pPr>
    </w:p>
    <w:p w14:paraId="4934ED6C">
      <w:pPr>
        <w:rPr>
          <w:rFonts w:hint="eastAsia" w:ascii="仿宋_GB2312" w:hAnsi="仿宋_GB2312" w:eastAsia="仿宋_GB2312" w:cs="仿宋_GB2312"/>
          <w:bCs/>
          <w:spacing w:val="-6"/>
          <w:kern w:val="0"/>
          <w:sz w:val="32"/>
          <w:szCs w:val="32"/>
          <w:lang w:val="en-US" w:eastAsia="zh-CN"/>
        </w:rPr>
      </w:pPr>
    </w:p>
    <w:p w14:paraId="63EDF788">
      <w:pPr>
        <w:pStyle w:val="2"/>
        <w:rPr>
          <w:rFonts w:hint="eastAsia" w:ascii="仿宋_GB2312" w:hAnsi="仿宋_GB2312" w:eastAsia="仿宋_GB2312" w:cs="仿宋_GB2312"/>
          <w:bCs/>
          <w:spacing w:val="-6"/>
          <w:kern w:val="0"/>
          <w:sz w:val="32"/>
          <w:szCs w:val="32"/>
          <w:lang w:val="en-US" w:eastAsia="zh-CN"/>
        </w:rPr>
      </w:pPr>
    </w:p>
    <w:p w14:paraId="5A39005D">
      <w:pPr>
        <w:keepNext w:val="0"/>
        <w:keepLines w:val="0"/>
        <w:pageBreakBefore w:val="0"/>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bCs/>
          <w:spacing w:val="-6"/>
          <w:kern w:val="0"/>
          <w:sz w:val="32"/>
          <w:szCs w:val="32"/>
          <w:lang w:val="en-US" w:eastAsia="zh-CN"/>
        </w:rPr>
      </w:pPr>
      <w:r>
        <w:rPr>
          <w:rFonts w:hint="eastAsia" w:ascii="仿宋_GB2312" w:hAnsi="仿宋_GB2312" w:eastAsia="仿宋_GB2312" w:cs="仿宋_GB2312"/>
          <w:bCs/>
          <w:spacing w:val="-6"/>
          <w:kern w:val="0"/>
          <w:sz w:val="32"/>
          <w:szCs w:val="32"/>
          <w:lang w:val="en-US" w:eastAsia="zh-CN"/>
        </w:rPr>
        <w:t xml:space="preserve">                            丰台区生态环境局</w:t>
      </w:r>
    </w:p>
    <w:p w14:paraId="57409B6F">
      <w:pPr>
        <w:keepNext w:val="0"/>
        <w:keepLines w:val="0"/>
        <w:pageBreakBefore w:val="0"/>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bCs/>
          <w:spacing w:val="-6"/>
          <w:kern w:val="0"/>
          <w:sz w:val="32"/>
          <w:szCs w:val="32"/>
          <w:lang w:val="en-US" w:eastAsia="zh-CN"/>
        </w:rPr>
      </w:pPr>
      <w:r>
        <w:rPr>
          <w:rFonts w:hint="eastAsia" w:ascii="仿宋_GB2312" w:hAnsi="仿宋_GB2312" w:eastAsia="仿宋_GB2312" w:cs="仿宋_GB2312"/>
          <w:bCs/>
          <w:spacing w:val="-6"/>
          <w:kern w:val="0"/>
          <w:sz w:val="32"/>
          <w:szCs w:val="32"/>
          <w:lang w:val="en-US" w:eastAsia="zh-CN"/>
        </w:rPr>
        <w:t xml:space="preserve">                             2023年12月1日</w:t>
      </w:r>
    </w:p>
    <w:p w14:paraId="652F7658">
      <w:pPr>
        <w:keepNext w:val="0"/>
        <w:keepLines w:val="0"/>
        <w:pageBreakBefore w:val="0"/>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bCs/>
          <w:spacing w:val="-6"/>
          <w:kern w:val="0"/>
          <w:sz w:val="32"/>
          <w:szCs w:val="32"/>
          <w:lang w:val="en-US" w:eastAsia="zh-CN"/>
        </w:rPr>
      </w:pPr>
    </w:p>
    <w:p w14:paraId="7F100F98">
      <w:pPr>
        <w:keepNext w:val="0"/>
        <w:keepLines w:val="0"/>
        <w:pageBreakBefore w:val="0"/>
        <w:kinsoku/>
        <w:wordWrap/>
        <w:overflowPunct/>
        <w:topLinePunct w:val="0"/>
        <w:autoSpaceDE/>
        <w:autoSpaceDN/>
        <w:bidi w:val="0"/>
        <w:adjustRightInd/>
        <w:snapToGrid/>
        <w:spacing w:line="560" w:lineRule="exact"/>
        <w:ind w:firstLine="616" w:firstLineChars="200"/>
        <w:jc w:val="left"/>
        <w:textAlignment w:val="auto"/>
        <w:rPr>
          <w:rFonts w:hint="default" w:ascii="仿宋_GB2312" w:hAnsi="仿宋_GB2312" w:eastAsia="仿宋_GB2312" w:cs="仿宋_GB2312"/>
          <w:bCs/>
          <w:spacing w:val="-6"/>
          <w:kern w:val="0"/>
          <w:sz w:val="32"/>
          <w:szCs w:val="32"/>
          <w:lang w:val="en-US" w:eastAsia="zh-CN"/>
        </w:rPr>
      </w:pPr>
      <w:r>
        <w:rPr>
          <w:rFonts w:hint="eastAsia" w:ascii="仿宋_GB2312" w:hAnsi="仿宋_GB2312" w:eastAsia="仿宋_GB2312" w:cs="仿宋_GB2312"/>
          <w:bCs/>
          <w:spacing w:val="-6"/>
          <w:kern w:val="0"/>
          <w:sz w:val="32"/>
          <w:szCs w:val="32"/>
          <w:lang w:val="en-US" w:eastAsia="zh-CN"/>
        </w:rPr>
        <w:t>（联系人：王健；联系电话：83368568）</w:t>
      </w:r>
    </w:p>
    <w:p w14:paraId="253CAA76">
      <w:pPr>
        <w:keepNext w:val="0"/>
        <w:keepLines w:val="0"/>
        <w:pageBreakBefore w:val="0"/>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bCs/>
          <w:spacing w:val="-6"/>
          <w:kern w:val="0"/>
          <w:sz w:val="32"/>
          <w:szCs w:val="32"/>
          <w:lang w:val="en-US" w:eastAsia="zh-CN"/>
        </w:rPr>
      </w:pPr>
    </w:p>
    <w:p w14:paraId="7514C301">
      <w:pPr>
        <w:pStyle w:val="2"/>
        <w:rPr>
          <w:rFonts w:hint="eastAsia" w:ascii="仿宋_GB2312" w:hAnsi="仿宋_GB2312" w:eastAsia="仿宋_GB2312" w:cs="仿宋_GB2312"/>
          <w:bCs/>
          <w:color w:val="0000FF"/>
          <w:spacing w:val="-6"/>
          <w:kern w:val="0"/>
          <w:sz w:val="32"/>
          <w:szCs w:val="32"/>
          <w:lang w:val="en-US" w:eastAsia="zh-CN"/>
        </w:rPr>
      </w:pPr>
    </w:p>
    <w:p w14:paraId="2033104F">
      <w:pPr>
        <w:rPr>
          <w:rFonts w:hint="eastAsia"/>
          <w:color w:val="0000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5YzBkY2RkYzdkYTU1MWQ3Zjk5NTdlZjBjNDdjZmYifQ=="/>
  </w:docVars>
  <w:rsids>
    <w:rsidRoot w:val="3D887D86"/>
    <w:rsid w:val="04D17BBE"/>
    <w:rsid w:val="0A370E5C"/>
    <w:rsid w:val="0D723F4D"/>
    <w:rsid w:val="0DE07E21"/>
    <w:rsid w:val="0E786AAB"/>
    <w:rsid w:val="0EFE4B9C"/>
    <w:rsid w:val="141C58F1"/>
    <w:rsid w:val="15642B6C"/>
    <w:rsid w:val="15F41DB3"/>
    <w:rsid w:val="16723E62"/>
    <w:rsid w:val="18392F39"/>
    <w:rsid w:val="1B205CD4"/>
    <w:rsid w:val="1CB455E9"/>
    <w:rsid w:val="234C729E"/>
    <w:rsid w:val="23914428"/>
    <w:rsid w:val="23FB4DFE"/>
    <w:rsid w:val="25363D42"/>
    <w:rsid w:val="257610B4"/>
    <w:rsid w:val="29FE21B9"/>
    <w:rsid w:val="2D067E05"/>
    <w:rsid w:val="36B02593"/>
    <w:rsid w:val="38CE4064"/>
    <w:rsid w:val="3A3050F0"/>
    <w:rsid w:val="3C972BCF"/>
    <w:rsid w:val="3D887D86"/>
    <w:rsid w:val="3FCE0AF6"/>
    <w:rsid w:val="3FE33226"/>
    <w:rsid w:val="44FD5AB3"/>
    <w:rsid w:val="45E41CBF"/>
    <w:rsid w:val="48925D1C"/>
    <w:rsid w:val="49065A3A"/>
    <w:rsid w:val="492E57C8"/>
    <w:rsid w:val="49531D7B"/>
    <w:rsid w:val="4BA86CAC"/>
    <w:rsid w:val="4EDC3F08"/>
    <w:rsid w:val="50474EBE"/>
    <w:rsid w:val="54482942"/>
    <w:rsid w:val="557453C0"/>
    <w:rsid w:val="5A037BB5"/>
    <w:rsid w:val="5D6A6BEF"/>
    <w:rsid w:val="63681821"/>
    <w:rsid w:val="64E60FC3"/>
    <w:rsid w:val="656629FE"/>
    <w:rsid w:val="66987898"/>
    <w:rsid w:val="68B806E8"/>
    <w:rsid w:val="6AB95639"/>
    <w:rsid w:val="6F1E266C"/>
    <w:rsid w:val="74137DD8"/>
    <w:rsid w:val="79056CD1"/>
    <w:rsid w:val="7C162F6E"/>
    <w:rsid w:val="7E8E7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420"/>
    </w:pPr>
    <w:rPr>
      <w:rFonts w:ascii="等线" w:hAnsi="等线" w:eastAsia="等线"/>
      <w:b/>
      <w:sz w:val="30"/>
      <w:szCs w:val="30"/>
    </w:rPr>
  </w:style>
  <w:style w:type="paragraph" w:styleId="4">
    <w:name w:val="Body Text"/>
    <w:basedOn w:val="1"/>
    <w:next w:val="5"/>
    <w:qFormat/>
    <w:uiPriority w:val="99"/>
    <w:pPr>
      <w:spacing w:after="120"/>
    </w:pPr>
    <w:rPr>
      <w:rFonts w:ascii="Calibri" w:hAnsi="Calibri" w:eastAsia="宋体" w:cs="Times New Roman"/>
    </w:rPr>
  </w:style>
  <w:style w:type="paragraph" w:customStyle="1" w:styleId="5">
    <w:name w:val="toc 11"/>
    <w:next w:val="1"/>
    <w:qFormat/>
    <w:uiPriority w:val="99"/>
    <w:pPr>
      <w:wordWrap w:val="0"/>
      <w:jc w:val="both"/>
    </w:pPr>
    <w:rPr>
      <w:rFonts w:ascii="Calibri" w:hAnsi="Calibri" w:eastAsia="宋体" w:cs="Times New Roman"/>
      <w:sz w:val="21"/>
      <w:szCs w:val="22"/>
      <w:lang w:val="en-US" w:eastAsia="zh-CN" w:bidi="ar-SA"/>
    </w:rPr>
  </w:style>
  <w:style w:type="paragraph" w:styleId="6">
    <w:name w:val="footer"/>
    <w:basedOn w:val="1"/>
    <w:next w:val="1"/>
    <w:unhideWhenUsed/>
    <w:qFormat/>
    <w:uiPriority w:val="0"/>
    <w:pPr>
      <w:tabs>
        <w:tab w:val="center" w:pos="4153"/>
        <w:tab w:val="right" w:pos="8306"/>
      </w:tabs>
      <w:snapToGrid w:val="0"/>
      <w:jc w:val="left"/>
    </w:pPr>
    <w:rPr>
      <w:kern w:val="0"/>
      <w:sz w:val="18"/>
      <w:szCs w:val="18"/>
    </w:rPr>
  </w:style>
  <w:style w:type="paragraph" w:styleId="7">
    <w:name w:val="Body Text 2"/>
    <w:basedOn w:val="1"/>
    <w:qFormat/>
    <w:uiPriority w:val="0"/>
    <w:pPr>
      <w:spacing w:line="0" w:lineRule="atLeast"/>
    </w:pPr>
    <w:rPr>
      <w:rFonts w:ascii="楷体_GB2312" w:eastAsia="楷体_GB2312"/>
      <w:b/>
      <w:sz w:val="30"/>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SA"/>
    </w:rPr>
  </w:style>
  <w:style w:type="paragraph" w:styleId="9">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SA"/>
    </w:rPr>
  </w:style>
  <w:style w:type="character" w:styleId="12">
    <w:name w:val="Strong"/>
    <w:basedOn w:val="11"/>
    <w:qFormat/>
    <w:uiPriority w:val="0"/>
    <w:rPr>
      <w:b/>
    </w:rPr>
  </w:style>
  <w:style w:type="paragraph" w:customStyle="1" w:styleId="13">
    <w:name w:val="公文"/>
    <w:basedOn w:val="1"/>
    <w:qFormat/>
    <w:uiPriority w:val="0"/>
    <w:pPr>
      <w:ind w:firstLine="200" w:firstLineChars="200"/>
    </w:pPr>
  </w:style>
  <w:style w:type="paragraph" w:customStyle="1" w:styleId="14">
    <w:name w:val="BodyText1I2"/>
    <w:basedOn w:val="15"/>
    <w:qFormat/>
    <w:uiPriority w:val="0"/>
    <w:pPr>
      <w:spacing w:line="240" w:lineRule="auto"/>
      <w:ind w:firstLine="420"/>
    </w:pPr>
    <w:rPr>
      <w:rFonts w:hAnsi="Calibri"/>
    </w:rPr>
  </w:style>
  <w:style w:type="paragraph" w:customStyle="1" w:styleId="15">
    <w:name w:val="BodyTextIndent"/>
    <w:basedOn w:val="1"/>
    <w:qFormat/>
    <w:uiPriority w:val="0"/>
    <w:pPr>
      <w:ind w:firstLine="645"/>
      <w:textAlignment w:val="baseline"/>
    </w:pPr>
    <w:rPr>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3584</Words>
  <Characters>3695</Characters>
  <Lines>0</Lines>
  <Paragraphs>0</Paragraphs>
  <TotalTime>29</TotalTime>
  <ScaleCrop>false</ScaleCrop>
  <LinksUpToDate>false</LinksUpToDate>
  <CharactersWithSpaces>3756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2023-11-27T06:44:00Z</dcterms:created>
  <dc:creator>Sissi'f</dc:creator>
  <cp:lastModifiedBy>悲殤乀述裞微笑</cp:lastModifiedBy>
  <cp:lastPrinted>2023-12-07T08:03:00Z</cp:lastPrinted>
  <dcterms:modified xsi:type="dcterms:W3CDTF">2025-04-27T02:39:44Z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14BA632AE4BD493FBB795E480A5A19FA_13</vt:lpwstr>
  </property>
  <property fmtid="{D5CDD505-2E9C-101B-9397-08002B2CF9AE}" pid="4" name="KSOTemplateDocerSaveRecord">
    <vt:lpwstr>eyJoZGlkIjoiNjZkY2EwZThlMTkyYjYwYThkOTFhY2ZiNjE5NjNkOTEiLCJ1c2VySWQiOiIzMjk2NDI5NzMifQ==</vt:lpwstr>
  </property>
</Properties>
</file>