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C41D3">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Calibri" w:eastAsia="方正小标宋简体"/>
          <w:kern w:val="2"/>
          <w:sz w:val="44"/>
          <w:szCs w:val="44"/>
          <w:lang w:eastAsia="zh-CN"/>
        </w:rPr>
      </w:pPr>
      <w:r>
        <w:rPr>
          <w:rFonts w:hint="eastAsia" w:ascii="方正小标宋简体" w:hAnsi="宋体" w:eastAsia="方正小标宋简体" w:cs="宋体"/>
          <w:kern w:val="0"/>
          <w:sz w:val="44"/>
          <w:szCs w:val="44"/>
          <w:lang w:val="en-US" w:eastAsia="zh-CN"/>
        </w:rPr>
        <w:t>丰台园管委会2022</w:t>
      </w:r>
      <w:bookmarkStart w:id="0" w:name="_GoBack"/>
      <w:bookmarkEnd w:id="0"/>
      <w:r>
        <w:rPr>
          <w:rFonts w:hint="eastAsia" w:ascii="方正小标宋简体" w:hAnsi="Calibri" w:eastAsia="方正小标宋简体"/>
          <w:kern w:val="2"/>
          <w:sz w:val="44"/>
          <w:szCs w:val="44"/>
          <w:lang w:eastAsia="zh-CN"/>
        </w:rPr>
        <w:t>年法治政府建设</w:t>
      </w:r>
    </w:p>
    <w:p w14:paraId="4E073B28">
      <w:pPr>
        <w:keepNext w:val="0"/>
        <w:keepLines w:val="0"/>
        <w:pageBreakBefore w:val="0"/>
        <w:kinsoku/>
        <w:wordWrap/>
        <w:overflowPunct/>
        <w:topLinePunct w:val="0"/>
        <w:autoSpaceDE/>
        <w:autoSpaceDN/>
        <w:bidi w:val="0"/>
        <w:spacing w:line="560" w:lineRule="exact"/>
        <w:jc w:val="center"/>
        <w:textAlignment w:val="auto"/>
        <w:rPr>
          <w:rFonts w:hint="eastAsia" w:ascii="仿宋_GB2312" w:hAnsi="Calibri" w:eastAsia="仿宋_GB2312" w:cs="仿宋_GB2312"/>
          <w:b w:val="0"/>
          <w:bCs w:val="0"/>
          <w:kern w:val="0"/>
          <w:sz w:val="32"/>
          <w:szCs w:val="32"/>
          <w:lang w:val="en-US" w:eastAsia="zh-CN" w:bidi="ar-SA"/>
        </w:rPr>
      </w:pPr>
      <w:r>
        <w:rPr>
          <w:rFonts w:hint="eastAsia" w:ascii="方正小标宋简体" w:eastAsia="方正小标宋简体"/>
          <w:kern w:val="2"/>
          <w:sz w:val="44"/>
          <w:szCs w:val="44"/>
          <w:lang w:eastAsia="zh-CN"/>
        </w:rPr>
        <w:t>年度情况</w:t>
      </w:r>
      <w:r>
        <w:rPr>
          <w:rFonts w:hint="eastAsia" w:ascii="方正小标宋简体" w:hAnsi="Calibri" w:eastAsia="方正小标宋简体"/>
          <w:kern w:val="2"/>
          <w:sz w:val="44"/>
          <w:szCs w:val="44"/>
          <w:lang w:eastAsia="zh-CN"/>
        </w:rPr>
        <w:t>报告</w:t>
      </w:r>
    </w:p>
    <w:p w14:paraId="63178ED9">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Calibri" w:eastAsia="仿宋_GB2312" w:cs="仿宋_GB2312"/>
          <w:b w:val="0"/>
          <w:bCs w:val="0"/>
          <w:kern w:val="0"/>
          <w:sz w:val="32"/>
          <w:szCs w:val="32"/>
          <w:lang w:val="en-US" w:eastAsia="zh-CN" w:bidi="ar-SA"/>
        </w:rPr>
      </w:pPr>
    </w:p>
    <w:p w14:paraId="33BF7307">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b w:val="0"/>
          <w:bCs w:val="0"/>
          <w:kern w:val="0"/>
          <w:sz w:val="32"/>
          <w:szCs w:val="32"/>
          <w:lang w:val="en-US" w:eastAsia="zh-CN" w:bidi="ar-SA"/>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w:t>
      </w:r>
      <w:r>
        <w:rPr>
          <w:rFonts w:hint="eastAsia" w:ascii="仿宋" w:hAnsi="仿宋" w:eastAsia="仿宋" w:cs="仿宋"/>
          <w:b w:val="0"/>
          <w:bCs/>
          <w:sz w:val="32"/>
          <w:szCs w:val="32"/>
        </w:rPr>
        <w:t>坚持以习近平新时代中国特色社会主义思想为指导，</w:t>
      </w:r>
      <w:r>
        <w:rPr>
          <w:rFonts w:hint="eastAsia" w:ascii="仿宋" w:hAnsi="仿宋" w:eastAsia="仿宋" w:cs="仿宋"/>
          <w:b w:val="0"/>
          <w:bCs/>
          <w:sz w:val="32"/>
          <w:szCs w:val="32"/>
          <w:lang w:eastAsia="zh-CN"/>
        </w:rPr>
        <w:t>深入学习贯彻习近平法治思想，</w:t>
      </w:r>
      <w:r>
        <w:rPr>
          <w:rFonts w:hint="eastAsia" w:ascii="仿宋" w:hAnsi="仿宋" w:eastAsia="仿宋" w:cs="仿宋"/>
          <w:sz w:val="32"/>
          <w:szCs w:val="32"/>
          <w:lang w:eastAsia="zh-CN"/>
        </w:rPr>
        <w:t>以认真学习宣传贯彻党的二十大精神为关键，认真落实中央全面依法治国，以加强法治政府建设为统领，以推进园区高质量发展为目标，</w:t>
      </w:r>
      <w:r>
        <w:rPr>
          <w:rFonts w:hint="eastAsia" w:ascii="仿宋" w:hAnsi="仿宋" w:eastAsia="仿宋" w:cs="仿宋"/>
          <w:sz w:val="32"/>
          <w:szCs w:val="32"/>
        </w:rPr>
        <w:t>围绕市区做强轨道交通和航空航天两大产业集群的工作要求，紧抓“两区”建设和“科技创新中心”建设机遇，持续推进全面</w:t>
      </w:r>
      <w:r>
        <w:rPr>
          <w:rFonts w:hint="eastAsia" w:ascii="仿宋" w:hAnsi="仿宋" w:eastAsia="仿宋" w:cs="仿宋"/>
          <w:sz w:val="32"/>
          <w:szCs w:val="32"/>
          <w:lang w:eastAsia="zh-CN"/>
        </w:rPr>
        <w:t>法治政府建设</w:t>
      </w:r>
      <w:r>
        <w:rPr>
          <w:rFonts w:hint="eastAsia" w:ascii="仿宋" w:hAnsi="仿宋" w:eastAsia="仿宋" w:cs="仿宋"/>
          <w:sz w:val="32"/>
          <w:szCs w:val="32"/>
        </w:rPr>
        <w:t>向纵深发展</w:t>
      </w:r>
      <w:r>
        <w:rPr>
          <w:rFonts w:hint="eastAsia" w:ascii="仿宋" w:hAnsi="仿宋" w:eastAsia="仿宋" w:cs="仿宋"/>
          <w:sz w:val="32"/>
          <w:szCs w:val="32"/>
          <w:lang w:eastAsia="zh-CN"/>
        </w:rPr>
        <w:t>，</w:t>
      </w:r>
      <w:r>
        <w:rPr>
          <w:rFonts w:hint="eastAsia" w:ascii="仿宋" w:hAnsi="仿宋" w:eastAsia="仿宋" w:cs="仿宋"/>
          <w:color w:val="000000" w:themeColor="text1"/>
          <w:sz w:val="32"/>
          <w:szCs w:val="32"/>
          <w14:textFill>
            <w14:solidFill>
              <w14:schemeClr w14:val="tx1"/>
            </w14:solidFill>
          </w14:textFill>
        </w:rPr>
        <w:t>为园区高水平开展各项工作提供了坚强的保证</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kern w:val="10"/>
          <w:sz w:val="32"/>
          <w:szCs w:val="32"/>
          <w:lang w:eastAsia="zh-CN"/>
        </w:rPr>
        <w:t>现将有关情况报告如下：</w:t>
      </w:r>
    </w:p>
    <w:p w14:paraId="63040349">
      <w:pPr>
        <w:keepNext w:val="0"/>
        <w:keepLines w:val="0"/>
        <w:pageBreakBefore w:val="0"/>
        <w:widowControl w:val="0"/>
        <w:suppressAutoHyphen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Calibri"/>
          <w:kern w:val="2"/>
          <w:sz w:val="32"/>
          <w:szCs w:val="32"/>
        </w:rPr>
      </w:pPr>
      <w:r>
        <w:rPr>
          <w:rFonts w:hint="eastAsia" w:ascii="黑体" w:hAnsi="黑体" w:eastAsia="黑体" w:cs="Calibri"/>
          <w:kern w:val="2"/>
          <w:sz w:val="32"/>
          <w:szCs w:val="32"/>
        </w:rPr>
        <w:t>一、20</w:t>
      </w:r>
      <w:r>
        <w:rPr>
          <w:rFonts w:hint="eastAsia" w:ascii="黑体" w:hAnsi="黑体" w:eastAsia="黑体" w:cs="Calibri"/>
          <w:kern w:val="2"/>
          <w:sz w:val="32"/>
          <w:szCs w:val="32"/>
          <w:lang w:val="en-US" w:eastAsia="zh-CN"/>
        </w:rPr>
        <w:t>2</w:t>
      </w:r>
      <w:r>
        <w:rPr>
          <w:rFonts w:hint="default" w:ascii="黑体" w:hAnsi="黑体" w:eastAsia="黑体" w:cs="Calibri"/>
          <w:kern w:val="2"/>
          <w:sz w:val="32"/>
          <w:szCs w:val="32"/>
          <w:lang w:val="en-US" w:eastAsia="zh-CN"/>
        </w:rPr>
        <w:t>2</w:t>
      </w:r>
      <w:r>
        <w:rPr>
          <w:rFonts w:hint="eastAsia" w:ascii="黑体" w:hAnsi="黑体" w:eastAsia="黑体" w:cs="Calibri"/>
          <w:kern w:val="2"/>
          <w:sz w:val="32"/>
          <w:szCs w:val="32"/>
        </w:rPr>
        <w:t>年法治政府建设主要</w:t>
      </w:r>
      <w:r>
        <w:rPr>
          <w:rFonts w:hint="eastAsia" w:ascii="黑体" w:hAnsi="黑体" w:eastAsia="黑体" w:cs="Calibri"/>
          <w:kern w:val="2"/>
          <w:sz w:val="32"/>
          <w:szCs w:val="32"/>
          <w:lang w:eastAsia="zh-CN"/>
        </w:rPr>
        <w:t>举措和</w:t>
      </w:r>
      <w:r>
        <w:rPr>
          <w:rFonts w:hint="eastAsia" w:ascii="黑体" w:hAnsi="黑体" w:eastAsia="黑体" w:cs="Calibri"/>
          <w:kern w:val="2"/>
          <w:sz w:val="32"/>
          <w:szCs w:val="32"/>
        </w:rPr>
        <w:t>成效</w:t>
      </w:r>
    </w:p>
    <w:p w14:paraId="2430649F">
      <w:pPr>
        <w:keepNext w:val="0"/>
        <w:keepLines w:val="0"/>
        <w:pageBreakBefore w:val="0"/>
        <w:widowControl/>
        <w:shd w:val="clear" w:color="auto" w:fill="FFFFFF"/>
        <w:kinsoku/>
        <w:wordWrap/>
        <w:overflowPunct/>
        <w:topLinePunct w:val="0"/>
        <w:autoSpaceDE/>
        <w:autoSpaceDN/>
        <w:bidi w:val="0"/>
        <w:adjustRightInd/>
        <w:spacing w:line="600" w:lineRule="exact"/>
        <w:jc w:val="both"/>
        <w:textAlignment w:val="auto"/>
        <w:rPr>
          <w:rFonts w:hint="eastAsia" w:ascii="仿宋" w:hAnsi="仿宋" w:eastAsia="仿宋" w:cs="仿宋"/>
          <w:color w:val="000000"/>
          <w:kern w:val="0"/>
          <w:sz w:val="32"/>
          <w:szCs w:val="32"/>
        </w:rPr>
      </w:pPr>
      <w:r>
        <w:rPr>
          <w:rFonts w:hint="eastAsia" w:ascii="黑体" w:hAnsi="黑体" w:eastAsia="黑体" w:cs="Calibri"/>
          <w:kern w:val="2"/>
          <w:sz w:val="32"/>
          <w:szCs w:val="32"/>
          <w:lang w:val="en-US" w:eastAsia="zh-CN"/>
        </w:rPr>
        <w:t xml:space="preserve">   </w:t>
      </w:r>
      <w:r>
        <w:rPr>
          <w:rFonts w:hint="eastAsia" w:ascii="仿宋" w:hAnsi="仿宋" w:eastAsia="仿宋" w:cs="仿宋"/>
          <w:sz w:val="32"/>
          <w:szCs w:val="32"/>
          <w:lang w:val="en-US" w:eastAsia="zh-CN"/>
        </w:rPr>
        <w:t>（一）</w:t>
      </w:r>
      <w:r>
        <w:rPr>
          <w:rFonts w:hint="eastAsia" w:ascii="仿宋" w:hAnsi="仿宋" w:eastAsia="仿宋" w:cs="仿宋"/>
          <w:color w:val="000000"/>
          <w:kern w:val="0"/>
          <w:sz w:val="32"/>
          <w:szCs w:val="32"/>
        </w:rPr>
        <w:t>强化理论武装，深入扎实开展</w:t>
      </w:r>
      <w:r>
        <w:rPr>
          <w:rFonts w:hint="eastAsia" w:ascii="仿宋" w:hAnsi="仿宋" w:eastAsia="仿宋" w:cs="仿宋"/>
          <w:color w:val="000000"/>
          <w:kern w:val="0"/>
          <w:sz w:val="32"/>
          <w:szCs w:val="32"/>
          <w:lang w:eastAsia="zh-CN"/>
        </w:rPr>
        <w:t>法治政府建设</w:t>
      </w:r>
      <w:r>
        <w:rPr>
          <w:rFonts w:hint="eastAsia" w:ascii="仿宋" w:hAnsi="仿宋" w:eastAsia="仿宋" w:cs="仿宋"/>
          <w:color w:val="000000"/>
          <w:kern w:val="0"/>
          <w:sz w:val="32"/>
          <w:szCs w:val="32"/>
        </w:rPr>
        <w:t>学习教育，着眼开创园区发展新局面</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园区工委充分发挥理论学习中心组学习的示范引领作用，持续抓好党中央、市委和区委关于理论学习中心组学习的政策文件和指导意见的贯彻执行，科学设置学习专题，做到时间上重点安排，方式上形式多样，制度上重点保障。</w:t>
      </w:r>
    </w:p>
    <w:p w14:paraId="6D283BEB">
      <w:pPr>
        <w:keepNext w:val="0"/>
        <w:keepLines w:val="0"/>
        <w:pageBreakBefore w:val="0"/>
        <w:widowControl/>
        <w:shd w:val="clear" w:color="auto" w:fill="FFFFFF"/>
        <w:kinsoku/>
        <w:wordWrap/>
        <w:overflowPunct/>
        <w:topLinePunct w:val="0"/>
        <w:autoSpaceDE/>
        <w:autoSpaceDN/>
        <w:bidi w:val="0"/>
        <w:adjustRightInd/>
        <w:spacing w:line="600" w:lineRule="exact"/>
        <w:ind w:firstLine="600"/>
        <w:jc w:val="both"/>
        <w:textAlignment w:val="auto"/>
        <w:rPr>
          <w:rFonts w:hint="eastAsia" w:ascii="仿宋" w:hAnsi="仿宋" w:eastAsia="仿宋" w:cs="仿宋"/>
          <w:b w:val="0"/>
          <w:bCs w:val="0"/>
          <w:color w:val="000000" w:themeColor="text1"/>
          <w:kern w:val="0"/>
          <w:sz w:val="32"/>
          <w:szCs w:val="32"/>
          <w:shd w:val="clear" w:color="auto" w:fill="auto"/>
          <w14:textFill>
            <w14:solidFill>
              <w14:schemeClr w14:val="tx1"/>
            </w14:solidFill>
          </w14:textFill>
        </w:rPr>
      </w:pPr>
      <w:r>
        <w:rPr>
          <w:rFonts w:hint="eastAsia" w:ascii="仿宋" w:hAnsi="仿宋" w:eastAsia="仿宋" w:cs="仿宋"/>
          <w:color w:val="000000"/>
          <w:kern w:val="0"/>
          <w:sz w:val="32"/>
          <w:szCs w:val="32"/>
          <w:lang w:eastAsia="zh-CN"/>
        </w:rPr>
        <w:t>（二）</w:t>
      </w:r>
      <w:r>
        <w:rPr>
          <w:rFonts w:hint="eastAsia" w:ascii="仿宋" w:hAnsi="仿宋" w:eastAsia="仿宋" w:cs="仿宋"/>
          <w:b w:val="0"/>
          <w:bCs w:val="0"/>
          <w:color w:val="000000" w:themeColor="text1"/>
          <w:kern w:val="0"/>
          <w:sz w:val="32"/>
          <w:szCs w:val="32"/>
          <w:shd w:val="clear" w:color="auto" w:fill="auto"/>
          <w14:textFill>
            <w14:solidFill>
              <w14:schemeClr w14:val="tx1"/>
            </w14:solidFill>
          </w14:textFill>
        </w:rPr>
        <w:t>抓好理论武装，确保</w:t>
      </w:r>
      <w:r>
        <w:rPr>
          <w:rFonts w:hint="eastAsia" w:ascii="仿宋" w:hAnsi="仿宋" w:eastAsia="仿宋" w:cs="仿宋"/>
          <w:b w:val="0"/>
          <w:bCs w:val="0"/>
          <w:color w:val="000000" w:themeColor="text1"/>
          <w:kern w:val="0"/>
          <w:sz w:val="32"/>
          <w:szCs w:val="32"/>
          <w:shd w:val="clear" w:color="auto" w:fill="auto"/>
          <w:lang w:eastAsia="zh-CN"/>
          <w14:textFill>
            <w14:solidFill>
              <w14:schemeClr w14:val="tx1"/>
            </w14:solidFill>
          </w14:textFill>
        </w:rPr>
        <w:t>法治政府</w:t>
      </w:r>
      <w:r>
        <w:rPr>
          <w:rFonts w:hint="eastAsia" w:ascii="仿宋" w:hAnsi="仿宋" w:eastAsia="仿宋" w:cs="仿宋"/>
          <w:b w:val="0"/>
          <w:bCs w:val="0"/>
          <w:color w:val="000000" w:themeColor="text1"/>
          <w:kern w:val="0"/>
          <w:sz w:val="32"/>
          <w:szCs w:val="32"/>
          <w:shd w:val="clear" w:color="auto" w:fill="auto"/>
          <w14:textFill>
            <w14:solidFill>
              <w14:schemeClr w14:val="tx1"/>
            </w14:solidFill>
          </w14:textFill>
        </w:rPr>
        <w:t>学习抓在日常、严在经常。</w:t>
      </w:r>
      <w:r>
        <w:rPr>
          <w:rFonts w:hint="eastAsia" w:ascii="仿宋" w:hAnsi="仿宋" w:eastAsia="仿宋" w:cs="仿宋"/>
          <w:b w:val="0"/>
          <w:bCs w:val="0"/>
          <w:color w:val="000000" w:themeColor="text1"/>
          <w:sz w:val="32"/>
          <w:szCs w:val="32"/>
          <w:shd w:val="clear" w:color="auto" w:fill="auto"/>
          <w:lang w:eastAsia="zh-CN"/>
          <w14:textFill>
            <w14:solidFill>
              <w14:schemeClr w14:val="tx1"/>
            </w14:solidFill>
          </w14:textFill>
        </w:rPr>
        <w:t>组织理论学习中心组学习19次，</w:t>
      </w:r>
      <w:r>
        <w:rPr>
          <w:rFonts w:hint="eastAsia" w:ascii="仿宋" w:hAnsi="仿宋" w:eastAsia="仿宋" w:cs="仿宋"/>
          <w:b w:val="0"/>
          <w:bCs w:val="0"/>
          <w:color w:val="000000" w:themeColor="text1"/>
          <w:sz w:val="32"/>
          <w:szCs w:val="32"/>
          <w:shd w:val="clear" w:color="auto" w:fill="auto"/>
          <w:lang w:val="en-US" w:eastAsia="zh-CN"/>
          <w14:textFill>
            <w14:solidFill>
              <w14:schemeClr w14:val="tx1"/>
            </w14:solidFill>
          </w14:textFill>
        </w:rPr>
        <w:t>集中学习15次，学习研讨4次</w:t>
      </w:r>
      <w:r>
        <w:rPr>
          <w:rFonts w:hint="eastAsia" w:ascii="仿宋" w:hAnsi="仿宋" w:eastAsia="仿宋" w:cs="仿宋"/>
          <w:b w:val="0"/>
          <w:bCs w:val="0"/>
          <w:color w:val="000000" w:themeColor="text1"/>
          <w:kern w:val="0"/>
          <w:sz w:val="32"/>
          <w:szCs w:val="32"/>
          <w:shd w:val="clear" w:color="auto" w:fill="auto"/>
          <w:lang w:eastAsia="zh-CN"/>
          <w14:textFill>
            <w14:solidFill>
              <w14:schemeClr w14:val="tx1"/>
            </w14:solidFill>
          </w14:textFill>
        </w:rPr>
        <w:t>。从建设法治政府角度，认真</w:t>
      </w:r>
      <w:r>
        <w:rPr>
          <w:rFonts w:hint="eastAsia" w:ascii="仿宋" w:hAnsi="仿宋" w:eastAsia="仿宋" w:cs="仿宋"/>
          <w:color w:val="auto"/>
          <w:sz w:val="32"/>
          <w:szCs w:val="32"/>
          <w:lang w:val="en-US" w:eastAsia="zh-CN"/>
        </w:rPr>
        <w:t>学习市第十三次党代会精神；学习《台湾问题与新时代中国统一事业》白皮书；</w:t>
      </w:r>
      <w:r>
        <w:rPr>
          <w:rFonts w:hint="eastAsia" w:ascii="仿宋" w:hAnsi="仿宋" w:eastAsia="仿宋" w:cs="仿宋"/>
          <w:b w:val="0"/>
          <w:bCs w:val="0"/>
          <w:color w:val="000000" w:themeColor="text1"/>
          <w:kern w:val="0"/>
          <w:sz w:val="32"/>
          <w:szCs w:val="32"/>
          <w:shd w:val="clear" w:color="auto" w:fill="auto"/>
          <w14:textFill>
            <w14:solidFill>
              <w14:schemeClr w14:val="tx1"/>
            </w14:solidFill>
          </w14:textFill>
        </w:rPr>
        <w:t>习近平关于坚持总体国家安全观走中国特色国家安全道路的重要论述（摘编)</w:t>
      </w:r>
      <w:r>
        <w:rPr>
          <w:rFonts w:hint="eastAsia" w:ascii="仿宋" w:hAnsi="仿宋" w:eastAsia="仿宋" w:cs="仿宋"/>
          <w:b w:val="0"/>
          <w:bCs w:val="0"/>
          <w:color w:val="000000" w:themeColor="text1"/>
          <w:kern w:val="0"/>
          <w:sz w:val="32"/>
          <w:szCs w:val="32"/>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32"/>
          <w:szCs w:val="32"/>
          <w:shd w:val="clear" w:color="auto" w:fill="auto"/>
          <w:lang w:val="en-US" w:eastAsia="zh-CN"/>
          <w14:textFill>
            <w14:solidFill>
              <w14:schemeClr w14:val="tx1"/>
            </w14:solidFill>
          </w14:textFill>
        </w:rPr>
        <w:t>学习二十大报告，“谋划第四季度和明年的工作”开展学习研讨等</w:t>
      </w:r>
      <w:r>
        <w:rPr>
          <w:rFonts w:hint="eastAsia" w:ascii="仿宋" w:hAnsi="仿宋" w:eastAsia="仿宋" w:cs="仿宋"/>
          <w:b w:val="0"/>
          <w:bCs w:val="0"/>
          <w:color w:val="000000" w:themeColor="text1"/>
          <w:kern w:val="0"/>
          <w:sz w:val="32"/>
          <w:szCs w:val="32"/>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kern w:val="0"/>
          <w:sz w:val="32"/>
          <w:szCs w:val="32"/>
          <w:shd w:val="clear" w:color="auto" w:fill="auto"/>
          <w14:textFill>
            <w14:solidFill>
              <w14:schemeClr w14:val="tx1"/>
            </w14:solidFill>
          </w14:textFill>
        </w:rPr>
        <w:t>班子成员结合自身工作，交流了学习体会，撰写了学习心得。</w:t>
      </w:r>
    </w:p>
    <w:p w14:paraId="2EF2E2A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仿宋" w:hAnsi="仿宋" w:eastAsia="仿宋" w:cs="仿宋"/>
          <w:b w:val="0"/>
          <w:bCs/>
          <w:color w:val="000000" w:themeColor="text1"/>
          <w:sz w:val="32"/>
          <w:szCs w:val="32"/>
          <w:lang w:eastAsia="zh-CN"/>
          <w14:textFill>
            <w14:solidFill>
              <w14:schemeClr w14:val="tx1"/>
            </w14:solidFill>
          </w14:textFill>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w:t>
      </w:r>
      <w:r>
        <w:rPr>
          <w:rFonts w:hint="eastAsia" w:ascii="仿宋" w:hAnsi="仿宋" w:eastAsia="仿宋" w:cs="仿宋"/>
          <w:i w:val="0"/>
          <w:caps w:val="0"/>
          <w:color w:val="404040"/>
          <w:spacing w:val="0"/>
          <w:sz w:val="32"/>
          <w:szCs w:val="32"/>
          <w:u w:val="none"/>
          <w:shd w:val="clear" w:fill="FFFFFF"/>
        </w:rPr>
        <w:t>加强组织领导，强化依法行政能力建设。一是健全完善依法行政工作机制。明确主要领导为履行推进法治政府建设第一责任人，强化工作职责，形成主要领导负总责，分管领导具体抓的工作格局。二是制定年度依法行政工作安排，明确责任分工。年初制定了202</w:t>
      </w:r>
      <w:r>
        <w:rPr>
          <w:rFonts w:hint="eastAsia" w:ascii="仿宋" w:hAnsi="仿宋" w:eastAsia="仿宋" w:cs="仿宋"/>
          <w:i w:val="0"/>
          <w:caps w:val="0"/>
          <w:color w:val="404040"/>
          <w:spacing w:val="0"/>
          <w:sz w:val="32"/>
          <w:szCs w:val="32"/>
          <w:u w:val="none"/>
          <w:shd w:val="clear" w:fill="FFFFFF"/>
          <w:lang w:val="en-US" w:eastAsia="zh-CN"/>
        </w:rPr>
        <w:t>2</w:t>
      </w:r>
      <w:r>
        <w:rPr>
          <w:rFonts w:hint="eastAsia" w:ascii="仿宋" w:hAnsi="仿宋" w:eastAsia="仿宋" w:cs="仿宋"/>
          <w:i w:val="0"/>
          <w:caps w:val="0"/>
          <w:color w:val="404040"/>
          <w:spacing w:val="0"/>
          <w:sz w:val="32"/>
          <w:szCs w:val="32"/>
          <w:u w:val="none"/>
          <w:shd w:val="clear" w:fill="FFFFFF"/>
        </w:rPr>
        <w:t>年度依法行政工作安排，形成各司其职，相互配合的工作格局。三是加大依法行政宣传力度，按时报送依法行政有关材料、参加有关会议。高度重视</w:t>
      </w:r>
      <w:r>
        <w:rPr>
          <w:rFonts w:hint="eastAsia" w:ascii="仿宋" w:hAnsi="仿宋" w:eastAsia="仿宋" w:cs="仿宋"/>
          <w:i w:val="0"/>
          <w:caps w:val="0"/>
          <w:color w:val="404040"/>
          <w:spacing w:val="0"/>
          <w:sz w:val="32"/>
          <w:szCs w:val="32"/>
          <w:u w:val="none"/>
          <w:shd w:val="clear" w:fill="FFFFFF"/>
          <w:lang w:eastAsia="zh-CN"/>
        </w:rPr>
        <w:t>管委会</w:t>
      </w:r>
      <w:r>
        <w:rPr>
          <w:rFonts w:hint="eastAsia" w:ascii="仿宋" w:hAnsi="仿宋" w:eastAsia="仿宋" w:cs="仿宋"/>
          <w:i w:val="0"/>
          <w:caps w:val="0"/>
          <w:color w:val="404040"/>
          <w:spacing w:val="0"/>
          <w:sz w:val="32"/>
          <w:szCs w:val="32"/>
          <w:u w:val="none"/>
          <w:shd w:val="clear" w:fill="FFFFFF"/>
        </w:rPr>
        <w:t>人员的依法行政和综合法律知识培训，建立长效学习培训机制，举办领导干部法律知识讲座。加强依法行政信息及经典案例宣传报送工作，及时报送依法行政有关</w:t>
      </w:r>
      <w:r>
        <w:rPr>
          <w:rFonts w:hint="eastAsia" w:ascii="仿宋" w:hAnsi="仿宋" w:eastAsia="仿宋" w:cs="仿宋"/>
          <w:i w:val="0"/>
          <w:caps w:val="0"/>
          <w:color w:val="404040"/>
          <w:spacing w:val="0"/>
          <w:sz w:val="32"/>
          <w:szCs w:val="32"/>
          <w:u w:val="none"/>
          <w:shd w:val="clear" w:fill="FFFFFF"/>
          <w:lang w:eastAsia="zh-CN"/>
        </w:rPr>
        <w:t>材料</w:t>
      </w:r>
      <w:r>
        <w:rPr>
          <w:rFonts w:hint="eastAsia" w:ascii="仿宋" w:hAnsi="仿宋" w:eastAsia="仿宋" w:cs="仿宋"/>
          <w:i w:val="0"/>
          <w:caps w:val="0"/>
          <w:color w:val="404040"/>
          <w:spacing w:val="0"/>
          <w:sz w:val="32"/>
          <w:szCs w:val="32"/>
          <w:u w:val="none"/>
          <w:shd w:val="clear" w:fill="FFFFFF"/>
        </w:rPr>
        <w:t>。</w:t>
      </w:r>
    </w:p>
    <w:p w14:paraId="47056594">
      <w:pPr>
        <w:pStyle w:val="4"/>
        <w:adjustRightInd w:val="0"/>
        <w:snapToGrid w:val="0"/>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四</w:t>
      </w:r>
      <w:r>
        <w:rPr>
          <w:rFonts w:hint="eastAsia" w:ascii="仿宋" w:hAnsi="仿宋" w:eastAsia="仿宋" w:cs="仿宋"/>
          <w:color w:val="000000"/>
          <w:kern w:val="0"/>
          <w:sz w:val="32"/>
          <w:szCs w:val="32"/>
        </w:rPr>
        <w:t>）重点做好企业</w:t>
      </w:r>
      <w:r>
        <w:rPr>
          <w:rFonts w:hint="eastAsia" w:ascii="仿宋" w:hAnsi="仿宋" w:eastAsia="仿宋" w:cs="仿宋"/>
          <w:color w:val="000000"/>
          <w:kern w:val="0"/>
          <w:sz w:val="32"/>
          <w:szCs w:val="32"/>
          <w:lang w:eastAsia="zh-CN"/>
        </w:rPr>
        <w:t>法治政府建设</w:t>
      </w:r>
      <w:r>
        <w:rPr>
          <w:rFonts w:hint="eastAsia" w:ascii="仿宋" w:hAnsi="仿宋" w:eastAsia="仿宋" w:cs="仿宋"/>
          <w:color w:val="000000"/>
          <w:kern w:val="0"/>
          <w:sz w:val="32"/>
          <w:szCs w:val="32"/>
        </w:rPr>
        <w:t>普法工作。为加强</w:t>
      </w:r>
      <w:r>
        <w:rPr>
          <w:rFonts w:hint="eastAsia" w:ascii="仿宋" w:hAnsi="仿宋" w:eastAsia="仿宋" w:cs="仿宋"/>
          <w:color w:val="000000"/>
          <w:kern w:val="0"/>
          <w:sz w:val="32"/>
          <w:szCs w:val="32"/>
          <w:lang w:eastAsia="zh-CN"/>
        </w:rPr>
        <w:t>法治政府</w:t>
      </w:r>
      <w:r>
        <w:rPr>
          <w:rFonts w:hint="eastAsia" w:ascii="仿宋" w:hAnsi="仿宋" w:eastAsia="仿宋" w:cs="仿宋"/>
          <w:color w:val="000000"/>
          <w:kern w:val="0"/>
          <w:sz w:val="32"/>
          <w:szCs w:val="32"/>
        </w:rPr>
        <w:t>学习宣传，建立园区领导定期走访联系企业制度，开展定期走访重点企业活动，宣传园区政策和中关村示范区政策根据重大调整、重点税源、重点招商、高精尖等条件，每年选出需要园区领导走访的企业名单，开展定期走访重点企业活动，宣传园区政策和中关村示范区政策。</w:t>
      </w:r>
      <w:r>
        <w:rPr>
          <w:rFonts w:hint="eastAsia" w:ascii="仿宋" w:hAnsi="仿宋" w:eastAsia="仿宋" w:cs="仿宋"/>
          <w:sz w:val="32"/>
          <w:szCs w:val="32"/>
        </w:rPr>
        <w:t>作为全区的重点功能区，园区将把产业发展和经济建设作为工作的重中之重，在主导产业促进上，围绕领军企业和高校院所，进一步摸清上下游产业链，匹配资源要素，加大招商引资力度，强链扩圈，构建更加友好的、可感知的产业生态体系，打造园区的产业IP；在新兴产业培育上，立足园区现有“2+4”的产业基础，瞄准技术迭代的新趋势和国家产业政策的新动向，在商用密码、新能源材料等领域下功夫，增强发展的新动能；在经济建设上，实施创新发展合作伙伴计划，为企业发展站台背书，全力构建亲清新型政商关系，实现园区和企业的相伴成长，力争为区域发展做更大贡献。</w:t>
      </w:r>
    </w:p>
    <w:p w14:paraId="7EF909F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202</w:t>
      </w:r>
      <w:r>
        <w:rPr>
          <w:rFonts w:hint="default" w:ascii="黑体" w:hAnsi="黑体" w:eastAsia="黑体" w:cs="黑体"/>
          <w:sz w:val="32"/>
          <w:szCs w:val="36"/>
          <w:lang w:val="en-US" w:eastAsia="zh-CN"/>
        </w:rPr>
        <w:t>2</w:t>
      </w:r>
      <w:r>
        <w:rPr>
          <w:rFonts w:hint="eastAsia" w:ascii="黑体" w:hAnsi="黑体" w:eastAsia="黑体" w:cs="黑体"/>
          <w:sz w:val="32"/>
          <w:szCs w:val="36"/>
          <w:lang w:val="en-US" w:eastAsia="zh-CN"/>
        </w:rPr>
        <w:t>年法治政府建设存在的问题与不足</w:t>
      </w:r>
    </w:p>
    <w:p w14:paraId="23731085">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Style w:val="11"/>
          <w:rFonts w:hint="eastAsia" w:ascii="仿宋" w:hAnsi="仿宋" w:eastAsia="仿宋" w:cs="仿宋"/>
          <w:sz w:val="32"/>
          <w:szCs w:val="32"/>
          <w:lang w:eastAsia="zh-CN"/>
        </w:rPr>
      </w:pPr>
      <w:r>
        <w:rPr>
          <w:rFonts w:hint="eastAsia" w:ascii="仿宋" w:hAnsi="仿宋" w:eastAsia="仿宋" w:cs="仿宋"/>
          <w:i w:val="0"/>
          <w:caps w:val="0"/>
          <w:color w:val="404040"/>
          <w:spacing w:val="0"/>
          <w:sz w:val="32"/>
          <w:szCs w:val="32"/>
          <w:shd w:val="clear" w:fill="FFFFFF"/>
          <w:lang w:val="en-US" w:eastAsia="zh-CN"/>
        </w:rPr>
        <w:t>1、</w:t>
      </w:r>
      <w:r>
        <w:rPr>
          <w:rFonts w:hint="eastAsia" w:ascii="仿宋" w:hAnsi="仿宋" w:eastAsia="仿宋" w:cs="仿宋"/>
          <w:i w:val="0"/>
          <w:caps w:val="0"/>
          <w:color w:val="404040"/>
          <w:spacing w:val="0"/>
          <w:sz w:val="32"/>
          <w:szCs w:val="32"/>
          <w:shd w:val="clear" w:fill="FFFFFF"/>
        </w:rPr>
        <w:t>人员不够。在具体工作中，内容多、人员少或不到位的现象时有出现。</w:t>
      </w:r>
      <w:r>
        <w:rPr>
          <w:rFonts w:hint="eastAsia" w:ascii="仿宋" w:hAnsi="仿宋" w:eastAsia="仿宋" w:cs="仿宋"/>
          <w:i w:val="0"/>
          <w:caps w:val="0"/>
          <w:color w:val="404040"/>
          <w:spacing w:val="0"/>
          <w:sz w:val="32"/>
          <w:szCs w:val="32"/>
          <w:shd w:val="clear" w:fill="FFFFFF"/>
          <w:lang w:val="en-US" w:eastAsia="zh-CN"/>
        </w:rPr>
        <w:t>2、</w:t>
      </w:r>
      <w:r>
        <w:rPr>
          <w:rFonts w:hint="eastAsia" w:ascii="仿宋" w:hAnsi="仿宋" w:eastAsia="仿宋" w:cs="仿宋"/>
          <w:i w:val="0"/>
          <w:caps w:val="0"/>
          <w:color w:val="404040"/>
          <w:spacing w:val="0"/>
          <w:sz w:val="32"/>
          <w:szCs w:val="32"/>
          <w:shd w:val="clear" w:fill="FFFFFF"/>
        </w:rPr>
        <w:t>学法深度不够。在日常学习过程中，满足于一般性的学习，缺乏系统学习</w:t>
      </w:r>
      <w:r>
        <w:rPr>
          <w:rFonts w:hint="eastAsia" w:ascii="仿宋" w:hAnsi="仿宋" w:eastAsia="仿宋" w:cs="仿宋"/>
          <w:i w:val="0"/>
          <w:caps w:val="0"/>
          <w:color w:val="404040"/>
          <w:spacing w:val="0"/>
          <w:sz w:val="32"/>
          <w:szCs w:val="32"/>
          <w:u w:val="none"/>
          <w:shd w:val="clear" w:fill="FFFFFF"/>
        </w:rPr>
        <w:t>。这些问题，都有待于我们在今后的工作中认真加以解决。 </w:t>
      </w:r>
    </w:p>
    <w:p w14:paraId="6BCBF998">
      <w:pPr>
        <w:keepNext w:val="0"/>
        <w:keepLines w:val="0"/>
        <w:pageBreakBefore w:val="0"/>
        <w:widowControl w:val="0"/>
        <w:numPr>
          <w:ilvl w:val="0"/>
          <w:numId w:val="0"/>
        </w:numPr>
        <w:kinsoku/>
        <w:wordWrap/>
        <w:overflowPunct/>
        <w:topLinePunct w:val="0"/>
        <w:autoSpaceDE/>
        <w:autoSpaceDN/>
        <w:bidi w:val="0"/>
        <w:spacing w:line="560" w:lineRule="exact"/>
        <w:ind w:leftChars="200" w:firstLine="240" w:firstLineChars="100"/>
        <w:jc w:val="left"/>
        <w:textAlignment w:val="auto"/>
        <w:rPr>
          <w:rFonts w:hint="eastAsia" w:ascii="黑体" w:hAnsi="黑体" w:eastAsia="黑体" w:cs="黑体"/>
          <w:sz w:val="32"/>
          <w:szCs w:val="36"/>
          <w:lang w:val="en-US" w:eastAsia="zh-CN"/>
        </w:rPr>
      </w:pPr>
      <w:r>
        <w:rPr>
          <w:rFonts w:hint="eastAsia" w:ascii="微软雅黑" w:hAnsi="微软雅黑" w:eastAsia="微软雅黑" w:cs="微软雅黑"/>
          <w:i w:val="0"/>
          <w:caps w:val="0"/>
          <w:color w:val="404040"/>
          <w:spacing w:val="0"/>
          <w:sz w:val="24"/>
          <w:szCs w:val="24"/>
          <w:u w:val="none"/>
          <w:shd w:val="clear" w:fill="FFFFFF"/>
          <w:lang w:eastAsia="zh-CN"/>
        </w:rPr>
        <w:t>三、</w:t>
      </w:r>
      <w:r>
        <w:rPr>
          <w:rFonts w:hint="eastAsia" w:ascii="黑体" w:hAnsi="黑体" w:eastAsia="黑体" w:cs="黑体"/>
          <w:sz w:val="32"/>
          <w:szCs w:val="36"/>
          <w:lang w:val="en-US" w:eastAsia="zh-CN"/>
        </w:rPr>
        <w:t>202</w:t>
      </w:r>
      <w:r>
        <w:rPr>
          <w:rFonts w:hint="default" w:ascii="黑体" w:hAnsi="黑体" w:eastAsia="黑体" w:cs="黑体"/>
          <w:sz w:val="32"/>
          <w:szCs w:val="36"/>
          <w:lang w:val="en-US" w:eastAsia="zh-CN"/>
        </w:rPr>
        <w:t>2</w:t>
      </w:r>
      <w:r>
        <w:rPr>
          <w:rFonts w:hint="eastAsia" w:ascii="黑体" w:hAnsi="黑体" w:eastAsia="黑体" w:cs="黑体"/>
          <w:sz w:val="32"/>
          <w:szCs w:val="36"/>
          <w:lang w:val="en-US" w:eastAsia="zh-CN"/>
        </w:rPr>
        <w:t>年党政主要负责人履行推进法治政府建设第一责任</w:t>
      </w:r>
    </w:p>
    <w:p w14:paraId="24A2009D">
      <w:pPr>
        <w:keepNext w:val="0"/>
        <w:keepLines w:val="0"/>
        <w:pageBreakBefore w:val="0"/>
        <w:widowControl w:val="0"/>
        <w:numPr>
          <w:ilvl w:val="0"/>
          <w:numId w:val="0"/>
        </w:numPr>
        <w:kinsoku/>
        <w:wordWrap/>
        <w:overflowPunct/>
        <w:topLinePunct w:val="0"/>
        <w:autoSpaceDE/>
        <w:autoSpaceDN/>
        <w:bidi w:val="0"/>
        <w:spacing w:line="560" w:lineRule="exact"/>
        <w:jc w:val="left"/>
        <w:textAlignment w:val="auto"/>
        <w:rPr>
          <w:rStyle w:val="11"/>
          <w:rFonts w:hint="eastAsia" w:ascii="仿宋" w:hAnsi="仿宋" w:eastAsia="仿宋" w:cs="仿宋"/>
          <w:sz w:val="32"/>
          <w:szCs w:val="32"/>
          <w:lang w:eastAsia="zh-CN"/>
        </w:rPr>
      </w:pPr>
      <w:r>
        <w:rPr>
          <w:rFonts w:hint="eastAsia" w:ascii="黑体" w:hAnsi="黑体" w:eastAsia="黑体" w:cs="黑体"/>
          <w:sz w:val="32"/>
          <w:szCs w:val="36"/>
          <w:lang w:val="en-US" w:eastAsia="zh-CN"/>
        </w:rPr>
        <w:t>人职责情况</w:t>
      </w:r>
    </w:p>
    <w:p w14:paraId="393AF93F">
      <w:pPr>
        <w:numPr>
          <w:ilvl w:val="0"/>
          <w:numId w:val="0"/>
        </w:numPr>
        <w:ind w:firstLine="640" w:firstLineChars="200"/>
        <w:jc w:val="left"/>
        <w:rPr>
          <w:rStyle w:val="11"/>
          <w:rFonts w:hint="eastAsia" w:ascii="仿宋" w:hAnsi="仿宋" w:eastAsia="仿宋" w:cs="仿宋"/>
          <w:sz w:val="32"/>
          <w:szCs w:val="32"/>
          <w:lang w:eastAsia="zh-CN"/>
        </w:rPr>
      </w:pPr>
      <w:r>
        <w:rPr>
          <w:rStyle w:val="11"/>
          <w:rFonts w:hint="eastAsia" w:ascii="仿宋" w:hAnsi="仿宋" w:eastAsia="仿宋" w:cs="仿宋"/>
          <w:sz w:val="32"/>
          <w:szCs w:val="32"/>
          <w:lang w:val="en-US" w:eastAsia="zh-CN"/>
        </w:rPr>
        <w:t>1、</w:t>
      </w:r>
      <w:r>
        <w:rPr>
          <w:rStyle w:val="11"/>
          <w:rFonts w:hint="eastAsia" w:ascii="仿宋" w:hAnsi="仿宋" w:eastAsia="仿宋" w:cs="仿宋"/>
          <w:sz w:val="32"/>
          <w:szCs w:val="32"/>
          <w:lang w:eastAsia="zh-CN"/>
        </w:rPr>
        <w:t>我委党政主要领导履行推进法治建设第一责任人职责，</w:t>
      </w:r>
      <w:r>
        <w:rPr>
          <w:rStyle w:val="11"/>
          <w:rFonts w:hint="eastAsia" w:ascii="仿宋" w:hAnsi="仿宋" w:eastAsia="仿宋" w:cs="仿宋"/>
          <w:sz w:val="32"/>
          <w:szCs w:val="32"/>
        </w:rPr>
        <w:t>深入学习贯彻落实习近平法治思想，贯彻落实习近平总书记关于法治建设的重要指示精神，贯彻落实党中央关于全面依法治国的重大决策部署，发挥</w:t>
      </w:r>
      <w:r>
        <w:rPr>
          <w:rStyle w:val="11"/>
          <w:rFonts w:hint="eastAsia" w:ascii="仿宋" w:hAnsi="仿宋" w:eastAsia="仿宋" w:cs="仿宋"/>
          <w:sz w:val="32"/>
          <w:szCs w:val="32"/>
          <w:lang w:eastAsia="zh-CN"/>
        </w:rPr>
        <w:t>工</w:t>
      </w:r>
      <w:r>
        <w:rPr>
          <w:rStyle w:val="11"/>
          <w:rFonts w:hint="eastAsia" w:ascii="仿宋" w:hAnsi="仿宋" w:eastAsia="仿宋" w:cs="仿宋"/>
          <w:sz w:val="32"/>
          <w:szCs w:val="32"/>
        </w:rPr>
        <w:t>委在推进法治建设中的领导核心作用情况；</w:t>
      </w:r>
      <w:r>
        <w:rPr>
          <w:rStyle w:val="11"/>
          <w:rFonts w:hint="eastAsia" w:ascii="仿宋" w:hAnsi="仿宋" w:eastAsia="仿宋" w:cs="仿宋"/>
          <w:sz w:val="32"/>
          <w:szCs w:val="32"/>
          <w:lang w:val="en-US" w:eastAsia="zh-CN"/>
        </w:rPr>
        <w:t>2、</w:t>
      </w:r>
      <w:r>
        <w:rPr>
          <w:rStyle w:val="11"/>
          <w:rFonts w:hint="eastAsia" w:ascii="仿宋" w:hAnsi="仿宋" w:eastAsia="仿宋" w:cs="仿宋"/>
          <w:sz w:val="32"/>
          <w:szCs w:val="32"/>
        </w:rPr>
        <w:t>坚持全面从严治党、依规治党，加强党内法规制度建设情况；</w:t>
      </w:r>
      <w:r>
        <w:rPr>
          <w:rStyle w:val="11"/>
          <w:rFonts w:hint="eastAsia" w:ascii="仿宋" w:hAnsi="仿宋" w:eastAsia="仿宋" w:cs="仿宋"/>
          <w:sz w:val="32"/>
          <w:szCs w:val="32"/>
          <w:lang w:val="en-US" w:eastAsia="zh-CN"/>
        </w:rPr>
        <w:t xml:space="preserve"> 3、</w:t>
      </w:r>
      <w:r>
        <w:rPr>
          <w:rStyle w:val="11"/>
          <w:rFonts w:hint="eastAsia" w:ascii="仿宋" w:hAnsi="仿宋" w:eastAsia="仿宋" w:cs="仿宋"/>
          <w:sz w:val="32"/>
          <w:szCs w:val="32"/>
        </w:rPr>
        <w:t>严格依法依规决策，</w:t>
      </w:r>
      <w:r>
        <w:rPr>
          <w:rStyle w:val="11"/>
          <w:rFonts w:hint="eastAsia" w:ascii="仿宋" w:hAnsi="仿宋" w:eastAsia="仿宋" w:cs="仿宋"/>
          <w:sz w:val="32"/>
          <w:szCs w:val="32"/>
          <w:lang w:eastAsia="zh-CN"/>
        </w:rPr>
        <w:t>督促领导班子成员依法办事情况，</w:t>
      </w:r>
      <w:r>
        <w:rPr>
          <w:rStyle w:val="11"/>
          <w:rFonts w:hint="eastAsia" w:ascii="仿宋" w:hAnsi="仿宋" w:eastAsia="仿宋" w:cs="仿宋"/>
          <w:sz w:val="32"/>
          <w:szCs w:val="32"/>
        </w:rPr>
        <w:t>执行领导干部不得干预司法活动；定期听取法治建设有关工作汇报，对法治建设重要工作亲自过问、重点环节亲自协调、亲自督办情况；</w:t>
      </w:r>
      <w:r>
        <w:rPr>
          <w:rStyle w:val="11"/>
          <w:rFonts w:hint="eastAsia" w:ascii="仿宋" w:hAnsi="仿宋" w:eastAsia="仿宋" w:cs="仿宋"/>
          <w:sz w:val="32"/>
          <w:szCs w:val="32"/>
          <w:lang w:val="en-US" w:eastAsia="zh-CN"/>
        </w:rPr>
        <w:t>4、</w:t>
      </w:r>
      <w:r>
        <w:rPr>
          <w:rStyle w:val="11"/>
          <w:rFonts w:hint="eastAsia" w:ascii="仿宋" w:hAnsi="仿宋" w:eastAsia="仿宋" w:cs="仿宋"/>
          <w:sz w:val="32"/>
          <w:szCs w:val="32"/>
        </w:rPr>
        <w:t>坚持重视法治素养和法治能力的用人导向，加强法治工作队伍建设情况；</w:t>
      </w:r>
      <w:r>
        <w:rPr>
          <w:rStyle w:val="11"/>
          <w:rFonts w:hint="eastAsia" w:ascii="仿宋" w:hAnsi="仿宋" w:eastAsia="仿宋" w:cs="仿宋"/>
          <w:sz w:val="32"/>
          <w:szCs w:val="32"/>
          <w:lang w:val="en-US" w:eastAsia="zh-CN"/>
        </w:rPr>
        <w:t>5、</w:t>
      </w:r>
      <w:r>
        <w:rPr>
          <w:rStyle w:val="11"/>
          <w:rFonts w:hint="eastAsia" w:ascii="仿宋" w:hAnsi="仿宋" w:eastAsia="仿宋" w:cs="仿宋"/>
          <w:sz w:val="32"/>
          <w:szCs w:val="32"/>
        </w:rPr>
        <w:t>深入开展法治宣传教育，推动社会形成浓厚法治氛围情况</w:t>
      </w:r>
      <w:r>
        <w:rPr>
          <w:rStyle w:val="11"/>
          <w:rFonts w:hint="eastAsia" w:ascii="仿宋" w:hAnsi="仿宋" w:eastAsia="仿宋" w:cs="仿宋"/>
          <w:sz w:val="32"/>
          <w:szCs w:val="32"/>
          <w:lang w:eastAsia="zh-CN"/>
        </w:rPr>
        <w:t>，建立健全会议管理、文件管理、请示报告等工作，</w:t>
      </w:r>
      <w:r>
        <w:rPr>
          <w:rStyle w:val="11"/>
          <w:rFonts w:hint="eastAsia" w:ascii="仿宋" w:hAnsi="仿宋" w:eastAsia="仿宋" w:cs="仿宋"/>
          <w:sz w:val="32"/>
          <w:szCs w:val="32"/>
        </w:rPr>
        <w:t>推</w:t>
      </w:r>
      <w:r>
        <w:rPr>
          <w:rStyle w:val="11"/>
          <w:rFonts w:hint="eastAsia" w:ascii="仿宋" w:hAnsi="仿宋" w:eastAsia="仿宋" w:cs="仿宋"/>
          <w:sz w:val="32"/>
          <w:szCs w:val="32"/>
          <w:lang w:eastAsia="zh-CN"/>
        </w:rPr>
        <w:t>进依法治区工作制度化、规范化、程序化的</w:t>
      </w:r>
      <w:r>
        <w:rPr>
          <w:rStyle w:val="11"/>
          <w:rFonts w:hint="eastAsia" w:ascii="仿宋" w:hAnsi="仿宋" w:eastAsia="仿宋" w:cs="仿宋"/>
          <w:sz w:val="32"/>
          <w:szCs w:val="32"/>
        </w:rPr>
        <w:t>浓厚法治氛围</w:t>
      </w:r>
      <w:r>
        <w:rPr>
          <w:rStyle w:val="11"/>
          <w:rFonts w:hint="eastAsia" w:ascii="仿宋" w:hAnsi="仿宋" w:eastAsia="仿宋" w:cs="仿宋"/>
          <w:sz w:val="32"/>
          <w:szCs w:val="32"/>
          <w:lang w:eastAsia="zh-CN"/>
        </w:rPr>
        <w:t>。</w:t>
      </w:r>
      <w:r>
        <w:rPr>
          <w:rStyle w:val="12"/>
          <w:rFonts w:hint="eastAsia" w:ascii="仿宋" w:hAnsi="仿宋" w:eastAsia="仿宋" w:cs="仿宋"/>
          <w:sz w:val="32"/>
          <w:szCs w:val="32"/>
          <w:lang w:val="en-US" w:eastAsia="zh-CN"/>
        </w:rPr>
        <w:t xml:space="preserve"> </w:t>
      </w:r>
      <w:r>
        <w:rPr>
          <w:rStyle w:val="11"/>
          <w:rFonts w:hint="eastAsia" w:ascii="仿宋" w:hAnsi="仿宋" w:eastAsia="仿宋" w:cs="仿宋"/>
          <w:sz w:val="32"/>
          <w:szCs w:val="32"/>
          <w:lang w:val="en-US" w:eastAsia="zh-CN"/>
        </w:rPr>
        <w:t xml:space="preserve">       </w:t>
      </w:r>
    </w:p>
    <w:p w14:paraId="054FFC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四、202</w:t>
      </w:r>
      <w:r>
        <w:rPr>
          <w:rFonts w:hint="default" w:ascii="黑体" w:hAnsi="黑体" w:eastAsia="黑体" w:cs="黑体"/>
          <w:sz w:val="32"/>
          <w:szCs w:val="36"/>
          <w:lang w:val="en-US" w:eastAsia="zh-CN"/>
        </w:rPr>
        <w:t>3</w:t>
      </w:r>
      <w:r>
        <w:rPr>
          <w:rFonts w:hint="eastAsia" w:ascii="黑体" w:hAnsi="黑体" w:eastAsia="黑体" w:cs="黑体"/>
          <w:sz w:val="32"/>
          <w:szCs w:val="36"/>
          <w:lang w:val="en-US" w:eastAsia="zh-CN"/>
        </w:rPr>
        <w:t>年法治政府建设工作初步安排</w:t>
      </w:r>
    </w:p>
    <w:p w14:paraId="3AC9B7C6">
      <w:pPr>
        <w:keepNext w:val="0"/>
        <w:keepLines w:val="0"/>
        <w:pageBreakBefore w:val="0"/>
        <w:widowControl/>
        <w:numPr>
          <w:ilvl w:val="0"/>
          <w:numId w:val="0"/>
        </w:numPr>
        <w:shd w:val="clear" w:color="auto" w:fill="FFFFFF"/>
        <w:kinsoku/>
        <w:wordWrap/>
        <w:overflowPunct/>
        <w:topLinePunct w:val="0"/>
        <w:autoSpaceDE/>
        <w:autoSpaceDN/>
        <w:bidi w:val="0"/>
        <w:adjustRightIn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（一）加大</w:t>
      </w:r>
      <w:r>
        <w:rPr>
          <w:rFonts w:hint="eastAsia" w:ascii="仿宋" w:hAnsi="仿宋" w:eastAsia="仿宋" w:cs="仿宋"/>
          <w:i w:val="0"/>
          <w:caps w:val="0"/>
          <w:color w:val="404040"/>
          <w:spacing w:val="0"/>
          <w:sz w:val="32"/>
          <w:szCs w:val="32"/>
          <w:u w:val="none"/>
          <w:shd w:val="clear" w:fill="FFFFFF"/>
        </w:rPr>
        <w:t>推进法治建设</w:t>
      </w:r>
      <w:r>
        <w:rPr>
          <w:rFonts w:hint="eastAsia" w:ascii="仿宋" w:hAnsi="仿宋" w:eastAsia="仿宋" w:cs="仿宋"/>
          <w:i w:val="0"/>
          <w:caps w:val="0"/>
          <w:color w:val="404040"/>
          <w:spacing w:val="0"/>
          <w:sz w:val="32"/>
          <w:szCs w:val="32"/>
          <w:u w:val="none"/>
          <w:shd w:val="clear" w:fill="FFFFFF"/>
          <w:lang w:eastAsia="zh-CN"/>
        </w:rPr>
        <w:t>力度</w:t>
      </w:r>
      <w:r>
        <w:rPr>
          <w:rFonts w:hint="eastAsia" w:ascii="仿宋" w:hAnsi="仿宋" w:eastAsia="仿宋" w:cs="仿宋"/>
          <w:i w:val="0"/>
          <w:caps w:val="0"/>
          <w:color w:val="404040"/>
          <w:spacing w:val="0"/>
          <w:sz w:val="32"/>
          <w:szCs w:val="32"/>
          <w:u w:val="none"/>
          <w:shd w:val="clear" w:fill="FFFFFF"/>
        </w:rPr>
        <w:t>，为社会发展提供法治保障。有效发挥考核作用，抓好法治建设责任落实，加强督促检查，及时查漏补缺，做好考核内容的工作落实。</w:t>
      </w:r>
    </w:p>
    <w:p w14:paraId="089B3F50">
      <w:pPr>
        <w:pStyle w:val="2"/>
        <w:numPr>
          <w:ilvl w:val="0"/>
          <w:numId w:val="0"/>
        </w:numPr>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eastAsia="zh-CN"/>
        </w:rPr>
        <w:t>（二）</w:t>
      </w:r>
      <w:r>
        <w:rPr>
          <w:rFonts w:hint="eastAsia" w:ascii="仿宋" w:hAnsi="仿宋" w:eastAsia="仿宋" w:cs="仿宋"/>
          <w:color w:val="000000"/>
          <w:kern w:val="0"/>
          <w:sz w:val="32"/>
          <w:szCs w:val="32"/>
        </w:rPr>
        <w:t>加强普法工作统筹。结合园区特点，把普法工作与经济工作、安全发展等工作相融合，不断拓展普法工作的内容、范畴，让普法工作与其他工作同步推进，相互促进。</w:t>
      </w:r>
    </w:p>
    <w:p w14:paraId="141EFBA8">
      <w:pPr>
        <w:keepNext w:val="0"/>
        <w:keepLines w:val="0"/>
        <w:pageBreakBefore w:val="0"/>
        <w:widowControl/>
        <w:shd w:val="clear" w:color="auto" w:fill="FFFFFF"/>
        <w:kinsoku/>
        <w:wordWrap/>
        <w:overflowPunct/>
        <w:topLinePunct w:val="0"/>
        <w:autoSpaceDE/>
        <w:autoSpaceDN/>
        <w:bidi w:val="0"/>
        <w:adjustRightInd/>
        <w:spacing w:line="600" w:lineRule="exact"/>
        <w:ind w:firstLine="6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三</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加大对下指导工作。每年对普法工作进行规划，把直属企事业单位作为普法工作的重点，引导和督促直属企事业单位和非公单位，扎实开展普法宣传工作，用法治推进营商环境规范化秩序化。</w:t>
      </w:r>
    </w:p>
    <w:p w14:paraId="360E64F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lang w:val="en-US" w:eastAsia="zh-CN"/>
        </w:rPr>
      </w:pPr>
      <w:r>
        <w:rPr>
          <w:rFonts w:hint="eastAsia" w:ascii="黑体" w:hAnsi="黑体" w:eastAsia="黑体" w:cs="黑体"/>
          <w:kern w:val="2"/>
          <w:sz w:val="32"/>
          <w:szCs w:val="36"/>
          <w:lang w:val="en-US" w:eastAsia="zh-CN" w:bidi="ar-SA"/>
        </w:rPr>
        <w:t xml:space="preserve"> </w:t>
      </w:r>
      <w:r>
        <w:rPr>
          <w:rFonts w:hint="eastAsia" w:ascii="仿宋_GB2312" w:hAnsi="仿宋_GB2312" w:eastAsia="仿宋_GB2312" w:cs="仿宋_GB2312"/>
          <w:b w:val="0"/>
          <w:bCs/>
          <w:sz w:val="32"/>
          <w:szCs w:val="32"/>
          <w:lang w:val="en-US" w:eastAsia="zh-CN"/>
        </w:rPr>
        <w:t xml:space="preserve">                          </w:t>
      </w:r>
    </w:p>
    <w:p w14:paraId="24DAEF27">
      <w:pPr>
        <w:keepNext w:val="0"/>
        <w:keepLines w:val="0"/>
        <w:pageBreakBefore w:val="0"/>
        <w:kinsoku/>
        <w:wordWrap/>
        <w:overflowPunct/>
        <w:topLinePunct w:val="0"/>
        <w:autoSpaceDE/>
        <w:autoSpaceDN/>
        <w:bidi w:val="0"/>
        <w:spacing w:line="560" w:lineRule="exact"/>
        <w:ind w:firstLine="3520" w:firstLineChars="1100"/>
        <w:textAlignment w:val="auto"/>
        <w:rPr>
          <w:rFonts w:hint="eastAsia" w:ascii="FangSong_GB2312" w:hAnsi="FangSong_GB2312" w:eastAsia="FangSong_GB2312" w:cs="宋体"/>
          <w:kern w:val="2"/>
          <w:sz w:val="32"/>
          <w:szCs w:val="22"/>
          <w:lang w:val="en-US" w:eastAsia="zh-CN" w:bidi="ar-SA"/>
        </w:rPr>
      </w:pPr>
      <w:r>
        <w:rPr>
          <w:rFonts w:hint="eastAsia" w:ascii="FangSong_GB2312" w:hAnsi="FangSong_GB2312" w:eastAsia="FangSong_GB2312" w:cs="宋体"/>
          <w:kern w:val="2"/>
          <w:sz w:val="32"/>
          <w:szCs w:val="22"/>
          <w:lang w:val="en-US" w:eastAsia="zh-CN" w:bidi="ar-SA"/>
        </w:rPr>
        <w:t xml:space="preserve">中关村科技园区丰台园管理委员会                                   </w:t>
      </w:r>
    </w:p>
    <w:p w14:paraId="5C728BF2">
      <w:pPr>
        <w:keepNext w:val="0"/>
        <w:keepLines w:val="0"/>
        <w:pageBreakBefore w:val="0"/>
        <w:kinsoku/>
        <w:wordWrap/>
        <w:overflowPunct/>
        <w:topLinePunct w:val="0"/>
        <w:autoSpaceDE/>
        <w:autoSpaceDN/>
        <w:bidi w:val="0"/>
        <w:spacing w:line="560" w:lineRule="exact"/>
        <w:ind w:firstLine="4800" w:firstLineChars="1500"/>
        <w:textAlignment w:val="auto"/>
      </w:pPr>
      <w:r>
        <w:rPr>
          <w:rFonts w:hint="eastAsia" w:ascii="FangSong_GB2312" w:hAnsi="FangSong_GB2312" w:eastAsia="FangSong_GB2312" w:cs="宋体"/>
          <w:kern w:val="2"/>
          <w:sz w:val="32"/>
          <w:szCs w:val="22"/>
          <w:lang w:val="en-US" w:eastAsia="zh-CN" w:bidi="ar-SA"/>
        </w:rPr>
        <w:t>2022年12 月15日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FangSong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90DE6">
    <w:pPr>
      <w:pStyle w:val="6"/>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5C67174">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25C67174">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mZjOTc5NTQ5YTFkN2NhZTc2MzE3OWJhYjZhMTYifQ=="/>
    <w:docVar w:name="KSO_WPS_MARK_KEY" w:val="ebb1405e-f94a-48f2-b87a-27b382ee0863"/>
  </w:docVars>
  <w:rsids>
    <w:rsidRoot w:val="00000000"/>
    <w:rsid w:val="02482350"/>
    <w:rsid w:val="05C01DE6"/>
    <w:rsid w:val="06250EE3"/>
    <w:rsid w:val="0BB57B40"/>
    <w:rsid w:val="0FEF4665"/>
    <w:rsid w:val="14FD2202"/>
    <w:rsid w:val="1D607358"/>
    <w:rsid w:val="279642E4"/>
    <w:rsid w:val="28032194"/>
    <w:rsid w:val="2A0D5D66"/>
    <w:rsid w:val="2D3D1555"/>
    <w:rsid w:val="2E345A1F"/>
    <w:rsid w:val="2E3F4F3F"/>
    <w:rsid w:val="3071362F"/>
    <w:rsid w:val="351F606A"/>
    <w:rsid w:val="3C2150EA"/>
    <w:rsid w:val="3DFD4754"/>
    <w:rsid w:val="47977CAD"/>
    <w:rsid w:val="49A40179"/>
    <w:rsid w:val="4A4E5C0E"/>
    <w:rsid w:val="4E903A7D"/>
    <w:rsid w:val="50F16E9A"/>
    <w:rsid w:val="514F4E6E"/>
    <w:rsid w:val="5681112C"/>
    <w:rsid w:val="5C3E59A4"/>
    <w:rsid w:val="5C9804AE"/>
    <w:rsid w:val="5E113C6A"/>
    <w:rsid w:val="6379508D"/>
    <w:rsid w:val="69286279"/>
    <w:rsid w:val="6A0B512F"/>
    <w:rsid w:val="6C514052"/>
    <w:rsid w:val="6FEF7FD2"/>
    <w:rsid w:val="73AD4505"/>
    <w:rsid w:val="78FD2303"/>
    <w:rsid w:val="7BDA4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uiPriority w:val="0"/>
  </w:style>
  <w:style w:type="table" w:default="1" w:styleId="8">
    <w:name w:val="Normal Table"/>
    <w:uiPriority w:val="0"/>
    <w:tblPr>
      <w:tblCellMar>
        <w:top w:w="0" w:type="dxa"/>
        <w:left w:w="108" w:type="dxa"/>
        <w:bottom w:w="0" w:type="dxa"/>
        <w:right w:w="108" w:type="dxa"/>
      </w:tblCellMar>
    </w:tblPr>
  </w:style>
  <w:style w:type="paragraph" w:customStyle="1" w:styleId="2">
    <w:name w:val="BodyText1I2"/>
    <w:basedOn w:val="3"/>
    <w:qFormat/>
    <w:uiPriority w:val="0"/>
    <w:pPr>
      <w:spacing w:after="0"/>
      <w:ind w:left="0" w:leftChars="0" w:firstLine="420" w:firstLineChars="200"/>
    </w:pPr>
  </w:style>
  <w:style w:type="paragraph" w:customStyle="1" w:styleId="3">
    <w:name w:val="BodyTextIndent"/>
    <w:basedOn w:val="1"/>
    <w:qFormat/>
    <w:uiPriority w:val="0"/>
    <w:pPr>
      <w:widowControl/>
      <w:spacing w:after="120"/>
      <w:ind w:left="420" w:leftChars="200"/>
      <w:textAlignment w:val="baseline"/>
    </w:pPr>
  </w:style>
  <w:style w:type="paragraph" w:styleId="4">
    <w:name w:val="Body Text"/>
    <w:basedOn w:val="1"/>
    <w:qFormat/>
    <w:uiPriority w:val="0"/>
    <w:pPr>
      <w:spacing w:after="120"/>
    </w:pPr>
    <w:rPr>
      <w:rFonts w:ascii="宋体" w:hAnsi="Times New Roman" w:eastAsia="宋体" w:cs="Times New Roman"/>
    </w:r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fontstyle11"/>
    <w:basedOn w:val="9"/>
    <w:qFormat/>
    <w:uiPriority w:val="0"/>
    <w:rPr>
      <w:rFonts w:ascii="仿宋_GB2312" w:hAnsi="仿宋_GB2312" w:eastAsia="仿宋_GB2312" w:cs="仿宋_GB2312"/>
      <w:color w:val="000000"/>
      <w:sz w:val="32"/>
      <w:szCs w:val="32"/>
    </w:rPr>
  </w:style>
  <w:style w:type="character" w:customStyle="1" w:styleId="12">
    <w:name w:val="fontstyle01"/>
    <w:basedOn w:val="9"/>
    <w:qFormat/>
    <w:uiPriority w:val="0"/>
    <w:rPr>
      <w:rFonts w:ascii="楷体" w:hAnsi="楷体" w:eastAsia="楷体" w:cs="楷体"/>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1985</Words>
  <Characters>2016</Characters>
  <Paragraphs>24</Paragraphs>
  <TotalTime>32</TotalTime>
  <ScaleCrop>false</ScaleCrop>
  <LinksUpToDate>false</LinksUpToDate>
  <CharactersWithSpaces>2091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2022-10-26T06:36:00Z</dcterms:created>
  <dc:creator>doudou0818</dc:creator>
  <cp:lastModifiedBy>悲殤乀述裞微笑</cp:lastModifiedBy>
  <cp:lastPrinted>2022-12-26T03:10:00Z</cp:lastPrinted>
  <dcterms:modified xsi:type="dcterms:W3CDTF">2025-04-27T02:34:49Z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4fa7967e6d6346beb8be0af0e00efb5f</vt:lpwstr>
  </property>
  <property fmtid="{D5CDD505-2E9C-101B-9397-08002B2CF9AE}" pid="4" name="KSOTemplateDocerSaveRecord">
    <vt:lpwstr>eyJoZGlkIjoiNjZkY2EwZThlMTkyYjYwYThkOTFhY2ZiNjE5NjNkOTEiLCJ1c2VySWQiOiIzMjk2NDI5NzMifQ==</vt:lpwstr>
  </property>
</Properties>
</file>