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北京市丰台区农业技术推广站</w:t>
      </w:r>
    </w:p>
    <w:p>
      <w:pPr>
        <w:jc w:val="center"/>
        <w:rPr>
          <w:rFonts w:ascii="黑体" w:eastAsia="黑体"/>
          <w:sz w:val="72"/>
          <w:szCs w:val="72"/>
        </w:rPr>
      </w:pPr>
      <w:r>
        <w:rPr>
          <w:rFonts w:hint="eastAsia" w:ascii="黑体" w:eastAsia="黑体"/>
          <w:sz w:val="72"/>
          <w:szCs w:val="72"/>
        </w:rPr>
        <w:t>2020年度部门决算（草案）</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2020年度部门决算报表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2020年度部门决算说明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2020年度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2020年度部门绩效评价情况</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第一部分 2020年度部门决算报表</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北京市丰台区农业技术推广站2020年度部门决算报表详见附件。</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第二部分 2020年度部门决算说明</w:t>
      </w:r>
    </w:p>
    <w:p>
      <w:pPr>
        <w:pStyle w:val="18"/>
        <w:numPr>
          <w:ilvl w:val="0"/>
          <w:numId w:val="1"/>
        </w:numPr>
        <w:tabs>
          <w:tab w:val="center" w:pos="6979"/>
        </w:tabs>
        <w:spacing w:line="580" w:lineRule="exact"/>
        <w:ind w:firstLineChars="0"/>
        <w:rPr>
          <w:rFonts w:ascii="仿宋_GB2312" w:eastAsia="仿宋_GB2312"/>
          <w:sz w:val="28"/>
          <w:szCs w:val="28"/>
        </w:rPr>
      </w:pPr>
      <w:r>
        <w:rPr>
          <w:rFonts w:hint="eastAsia" w:ascii="黑体" w:eastAsia="黑体"/>
          <w:sz w:val="28"/>
          <w:szCs w:val="28"/>
        </w:rPr>
        <w:t>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rPr>
          <w:rFonts w:ascii="仿宋" w:hAnsi="仿宋" w:eastAsia="仿宋"/>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r>
        <w:rPr>
          <w:rFonts w:hint="eastAsia" w:ascii="仿宋" w:hAnsi="仿宋" w:eastAsia="仿宋"/>
          <w:sz w:val="32"/>
          <w:szCs w:val="32"/>
        </w:rPr>
        <w:t xml:space="preserve"> </w:t>
      </w:r>
      <w:r>
        <w:rPr>
          <w:rFonts w:hint="eastAsia" w:ascii="仿宋" w:hAnsi="仿宋" w:eastAsia="仿宋"/>
          <w:sz w:val="28"/>
          <w:szCs w:val="28"/>
        </w:rPr>
        <w:t>北京市丰台区农业技术推广站是独立编制，独立核算的全额事业单位。承担的主要职责是： 肥料监督管理，农技推广，土壤质量监测，测土施肥，试验示范，专业普查，培训普及，引进花卉品种，推广花卉生产技术，花卉信息管理等。</w:t>
      </w:r>
      <w:r>
        <w:rPr>
          <w:rFonts w:hint="eastAsia" w:ascii="仿宋" w:hAnsi="仿宋" w:eastAsia="仿宋" w:cs="仿宋"/>
          <w:sz w:val="28"/>
          <w:szCs w:val="28"/>
        </w:rPr>
        <w:t>下设</w:t>
      </w:r>
      <w:r>
        <w:rPr>
          <w:rFonts w:hint="eastAsia" w:ascii="仿宋" w:hAnsi="仿宋" w:eastAsia="仿宋" w:cs="仿宋"/>
          <w:sz w:val="28"/>
          <w:szCs w:val="28"/>
          <w:lang w:eastAsia="zh-CN"/>
        </w:rPr>
        <w:t>科室</w:t>
      </w:r>
      <w:r>
        <w:rPr>
          <w:rFonts w:hint="eastAsia" w:ascii="仿宋" w:hAnsi="仿宋" w:eastAsia="仿宋" w:cs="仿宋"/>
          <w:sz w:val="28"/>
          <w:szCs w:val="28"/>
        </w:rPr>
        <w:t>：1、业务科室：负责</w:t>
      </w:r>
      <w:r>
        <w:rPr>
          <w:rFonts w:hint="eastAsia" w:ascii="仿宋" w:hAnsi="仿宋" w:eastAsia="仿宋" w:cs="仿宋"/>
          <w:color w:val="333333"/>
          <w:sz w:val="28"/>
          <w:szCs w:val="28"/>
          <w:shd w:val="clear" w:color="auto" w:fill="FFFFFF"/>
        </w:rPr>
        <w:t>北京市丰台区农业技术推广站负责农业新品种、新技术、新农艺的引进、试验、示范、推广工作；负责农业技术的培训、指导、总结工作和基地、园区建设工作；参与实施有机肥料使用等农业技术推广项目。2、</w:t>
      </w:r>
      <w:r>
        <w:rPr>
          <w:rFonts w:hint="eastAsia" w:ascii="仿宋" w:hAnsi="仿宋" w:eastAsia="仿宋" w:cs="仿宋"/>
          <w:sz w:val="28"/>
          <w:szCs w:val="28"/>
        </w:rPr>
        <w:t>财务人事部门：负责单位所有关于财务及人事方面的全部工作。具体负责单位财务工作、会计工作、出纳工作、资产、政采、统计、税务、财务人事相关报表等等。3、办公室：</w:t>
      </w:r>
      <w:r>
        <w:rPr>
          <w:rFonts w:hint="eastAsia" w:ascii="仿宋" w:hAnsi="仿宋" w:eastAsia="仿宋" w:cs="仿宋"/>
          <w:color w:val="333333"/>
          <w:sz w:val="28"/>
          <w:szCs w:val="28"/>
          <w:shd w:val="clear" w:color="auto" w:fill="FFFFFF"/>
        </w:rPr>
        <w:t>办公室职责范围内的各项工作</w:t>
      </w:r>
      <w:r>
        <w:rPr>
          <w:rFonts w:hint="eastAsia" w:ascii="仿宋" w:hAnsi="仿宋" w:eastAsia="仿宋" w:cs="仿宋"/>
          <w:sz w:val="28"/>
          <w:szCs w:val="28"/>
        </w:rPr>
        <w:t>、</w:t>
      </w:r>
      <w:r>
        <w:rPr>
          <w:rFonts w:hint="eastAsia" w:ascii="仿宋" w:hAnsi="仿宋" w:eastAsia="仿宋" w:cs="仿宋"/>
          <w:color w:val="333333"/>
          <w:sz w:val="28"/>
          <w:szCs w:val="28"/>
          <w:shd w:val="clear" w:color="auto" w:fill="FFFFFF"/>
        </w:rPr>
        <w:t>组织协调单位日常工作、负责组织单位职工学习和各种会议、负责单位日常值班、考勤统计、卫生清洁、安全、来信来访接待、档案整理和物资、车辆管理等工作等。</w:t>
      </w:r>
    </w:p>
    <w:p>
      <w:pPr>
        <w:snapToGrid w:val="0"/>
        <w:spacing w:before="156" w:beforeLines="50" w:after="156" w:afterLines="50" w:line="360" w:lineRule="auto"/>
        <w:ind w:firstLine="560" w:firstLineChars="200"/>
        <w:rPr>
          <w:rFonts w:ascii="仿宋" w:hAnsi="仿宋" w:eastAsia="仿宋"/>
          <w:sz w:val="28"/>
          <w:szCs w:val="28"/>
        </w:rPr>
      </w:pPr>
      <w:r>
        <w:rPr>
          <w:rFonts w:hint="eastAsia" w:ascii="仿宋_GB2312" w:eastAsia="仿宋_GB2312"/>
          <w:sz w:val="28"/>
          <w:szCs w:val="28"/>
        </w:rPr>
        <w:t>（二）人员构成情况</w:t>
      </w:r>
    </w:p>
    <w:p>
      <w:pPr>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北京市丰台区农业技术推广站</w:t>
      </w:r>
      <w:r>
        <w:rPr>
          <w:rFonts w:hint="eastAsia" w:ascii="仿宋" w:hAnsi="仿宋" w:eastAsia="仿宋"/>
          <w:sz w:val="28"/>
          <w:szCs w:val="28"/>
          <w:lang w:eastAsia="zh-CN"/>
        </w:rPr>
        <w:t>事业</w:t>
      </w:r>
      <w:r>
        <w:rPr>
          <w:rFonts w:hint="eastAsia" w:ascii="仿宋" w:hAnsi="仿宋" w:eastAsia="仿宋"/>
          <w:sz w:val="28"/>
          <w:szCs w:val="28"/>
        </w:rPr>
        <w:t>编制12人，2</w:t>
      </w:r>
      <w:r>
        <w:rPr>
          <w:rFonts w:hint="eastAsia" w:ascii="仿宋" w:hAnsi="仿宋" w:eastAsia="仿宋"/>
          <w:sz w:val="28"/>
          <w:szCs w:val="28"/>
          <w:lang w:val="en-US" w:eastAsia="zh-CN"/>
        </w:rPr>
        <w:t>020</w:t>
      </w:r>
      <w:r>
        <w:rPr>
          <w:rFonts w:hint="eastAsia" w:ascii="仿宋" w:hAnsi="仿宋" w:eastAsia="仿宋"/>
          <w:sz w:val="28"/>
          <w:szCs w:val="28"/>
        </w:rPr>
        <w:t>年年末实有在职人数8人</w:t>
      </w:r>
      <w:r>
        <w:rPr>
          <w:rFonts w:hint="eastAsia" w:ascii="仿宋" w:hAnsi="仿宋" w:eastAsia="仿宋"/>
          <w:sz w:val="28"/>
          <w:szCs w:val="28"/>
          <w:lang w:val="en-US" w:eastAsia="zh-CN"/>
        </w:rPr>
        <w:t>。</w:t>
      </w:r>
    </w:p>
    <w:p>
      <w:pPr>
        <w:tabs>
          <w:tab w:val="center" w:pos="6979"/>
        </w:tabs>
        <w:spacing w:line="580" w:lineRule="exact"/>
        <w:rPr>
          <w:rFonts w:ascii="黑体" w:eastAsia="黑体"/>
          <w:sz w:val="28"/>
          <w:szCs w:val="28"/>
        </w:rPr>
      </w:pPr>
      <w:r>
        <w:rPr>
          <w:rFonts w:hint="eastAsia" w:ascii="仿宋_GB2312" w:eastAsia="仿宋_GB2312"/>
          <w:b/>
          <w:sz w:val="32"/>
          <w:szCs w:val="32"/>
        </w:rPr>
        <w:t xml:space="preserve">   </w:t>
      </w:r>
      <w:r>
        <w:rPr>
          <w:rFonts w:hint="eastAsia" w:ascii="黑体" w:eastAsia="黑体"/>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2020年度收入总计</w:t>
      </w:r>
      <w:r>
        <w:rPr>
          <w:rFonts w:ascii="仿宋_GB2312" w:eastAsia="仿宋_GB2312"/>
          <w:sz w:val="28"/>
          <w:szCs w:val="28"/>
        </w:rPr>
        <w:t>283</w:t>
      </w:r>
      <w:r>
        <w:rPr>
          <w:rFonts w:hint="eastAsia" w:ascii="仿宋_GB2312" w:eastAsia="仿宋_GB2312"/>
          <w:sz w:val="28"/>
          <w:szCs w:val="28"/>
        </w:rPr>
        <w:t>.</w:t>
      </w:r>
      <w:r>
        <w:rPr>
          <w:rFonts w:ascii="仿宋_GB2312" w:eastAsia="仿宋_GB2312"/>
          <w:sz w:val="28"/>
          <w:szCs w:val="28"/>
        </w:rPr>
        <w:t>212652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139.8673万元，增长0.5%。</w:t>
      </w:r>
      <w:r>
        <w:rPr>
          <w:rFonts w:ascii="仿宋_GB2312" w:eastAsia="仿宋_GB2312"/>
          <w:sz w:val="28"/>
          <w:szCs w:val="28"/>
        </w:rPr>
        <w:t>支</w:t>
      </w:r>
      <w:r>
        <w:rPr>
          <w:rFonts w:hint="eastAsia" w:ascii="仿宋_GB2312" w:eastAsia="仿宋_GB2312"/>
          <w:sz w:val="28"/>
          <w:szCs w:val="28"/>
        </w:rPr>
        <w:t>出总计</w:t>
      </w:r>
      <w:r>
        <w:rPr>
          <w:rFonts w:ascii="仿宋_GB2312" w:eastAsia="仿宋_GB2312"/>
          <w:sz w:val="28"/>
          <w:szCs w:val="28"/>
        </w:rPr>
        <w:t>282</w:t>
      </w:r>
      <w:r>
        <w:rPr>
          <w:rFonts w:hint="eastAsia" w:ascii="仿宋_GB2312" w:eastAsia="仿宋_GB2312"/>
          <w:sz w:val="28"/>
          <w:szCs w:val="28"/>
        </w:rPr>
        <w:t>.</w:t>
      </w:r>
      <w:r>
        <w:rPr>
          <w:rFonts w:ascii="仿宋_GB2312" w:eastAsia="仿宋_GB2312"/>
          <w:sz w:val="28"/>
          <w:szCs w:val="28"/>
        </w:rPr>
        <w:t>117752</w:t>
      </w:r>
      <w:r>
        <w:rPr>
          <w:rFonts w:hint="eastAsia" w:ascii="仿宋_GB2312" w:eastAsia="仿宋_GB2312"/>
          <w:sz w:val="28"/>
          <w:szCs w:val="28"/>
        </w:rPr>
        <w:t>万元，比上年增加3.324673万元,增长1.19%。</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lang w:eastAsia="zh-CN"/>
        </w:rPr>
      </w:pPr>
      <w:r>
        <w:rPr>
          <w:rFonts w:hint="eastAsia" w:ascii="仿宋_GB2312" w:eastAsia="仿宋_GB2312"/>
          <w:sz w:val="28"/>
          <w:szCs w:val="28"/>
        </w:rPr>
        <w:t>2020年度本年收入合计</w:t>
      </w:r>
      <w:r>
        <w:rPr>
          <w:rFonts w:ascii="仿宋_GB2312" w:eastAsia="仿宋_GB2312"/>
          <w:sz w:val="28"/>
          <w:szCs w:val="28"/>
        </w:rPr>
        <w:t>283</w:t>
      </w:r>
      <w:r>
        <w:rPr>
          <w:rFonts w:hint="eastAsia" w:ascii="仿宋_GB2312" w:eastAsia="仿宋_GB2312"/>
          <w:sz w:val="28"/>
          <w:szCs w:val="28"/>
        </w:rPr>
        <w:t>.</w:t>
      </w:r>
      <w:r>
        <w:rPr>
          <w:rFonts w:ascii="仿宋_GB2312" w:eastAsia="仿宋_GB2312"/>
          <w:sz w:val="28"/>
          <w:szCs w:val="28"/>
        </w:rPr>
        <w:t>212652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139.8673万元，增长（0.5%，其中：财政拨款收入</w:t>
      </w:r>
      <w:r>
        <w:rPr>
          <w:rFonts w:ascii="仿宋_GB2312" w:eastAsia="仿宋_GB2312"/>
          <w:sz w:val="28"/>
          <w:szCs w:val="28"/>
        </w:rPr>
        <w:t>283</w:t>
      </w:r>
      <w:r>
        <w:rPr>
          <w:rFonts w:hint="eastAsia" w:ascii="仿宋_GB2312" w:eastAsia="仿宋_GB2312"/>
          <w:sz w:val="28"/>
          <w:szCs w:val="28"/>
        </w:rPr>
        <w:t>.</w:t>
      </w:r>
      <w:r>
        <w:rPr>
          <w:rFonts w:ascii="仿宋_GB2312" w:eastAsia="仿宋_GB2312"/>
          <w:sz w:val="28"/>
          <w:szCs w:val="28"/>
        </w:rPr>
        <w:t>212652</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w:t>
      </w:r>
      <w:r>
        <w:rPr>
          <w:rFonts w:hint="eastAsia" w:ascii="仿宋_GB2312" w:eastAsia="仿宋_GB2312"/>
          <w:sz w:val="28"/>
          <w:szCs w:val="28"/>
          <w:lang w:eastAsia="zh-CN"/>
        </w:rPr>
        <w:t>。</w:t>
      </w:r>
      <w:bookmarkStart w:id="0" w:name="_GoBack"/>
      <w:bookmarkEnd w:id="0"/>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2020年度本年支出合计</w:t>
      </w:r>
      <w:r>
        <w:rPr>
          <w:rFonts w:ascii="仿宋_GB2312" w:eastAsia="仿宋_GB2312"/>
          <w:sz w:val="28"/>
          <w:szCs w:val="28"/>
        </w:rPr>
        <w:t>282</w:t>
      </w:r>
      <w:r>
        <w:rPr>
          <w:rFonts w:hint="eastAsia" w:ascii="仿宋_GB2312" w:eastAsia="仿宋_GB2312"/>
          <w:sz w:val="28"/>
          <w:szCs w:val="28"/>
        </w:rPr>
        <w:t>.</w:t>
      </w:r>
      <w:r>
        <w:rPr>
          <w:rFonts w:ascii="仿宋_GB2312" w:eastAsia="仿宋_GB2312"/>
          <w:sz w:val="28"/>
          <w:szCs w:val="28"/>
        </w:rPr>
        <w:t>117752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3.324673万元，增长1.19%，其中：基本支出</w:t>
      </w:r>
      <w:r>
        <w:rPr>
          <w:rFonts w:ascii="仿宋_GB2312" w:eastAsia="仿宋_GB2312"/>
          <w:sz w:val="28"/>
          <w:szCs w:val="28"/>
        </w:rPr>
        <w:t>264</w:t>
      </w:r>
      <w:r>
        <w:rPr>
          <w:rFonts w:hint="eastAsia" w:ascii="仿宋_GB2312" w:eastAsia="仿宋_GB2312"/>
          <w:sz w:val="28"/>
          <w:szCs w:val="28"/>
        </w:rPr>
        <w:t>.</w:t>
      </w:r>
      <w:r>
        <w:rPr>
          <w:rFonts w:ascii="仿宋_GB2312" w:eastAsia="仿宋_GB2312"/>
          <w:sz w:val="28"/>
          <w:szCs w:val="28"/>
        </w:rPr>
        <w:t>079552</w:t>
      </w:r>
      <w:r>
        <w:rPr>
          <w:rFonts w:hint="eastAsia" w:ascii="仿宋_GB2312" w:eastAsia="仿宋_GB2312"/>
          <w:sz w:val="28"/>
          <w:szCs w:val="28"/>
        </w:rPr>
        <w:t>万元，占支出合计的93.61%；项目支出</w:t>
      </w:r>
      <w:r>
        <w:rPr>
          <w:rFonts w:ascii="仿宋_GB2312" w:eastAsia="仿宋_GB2312"/>
          <w:sz w:val="28"/>
          <w:szCs w:val="28"/>
        </w:rPr>
        <w:t>18</w:t>
      </w:r>
      <w:r>
        <w:rPr>
          <w:rFonts w:hint="eastAsia" w:ascii="仿宋_GB2312" w:eastAsia="仿宋_GB2312"/>
          <w:sz w:val="28"/>
          <w:szCs w:val="28"/>
        </w:rPr>
        <w:t>.</w:t>
      </w:r>
      <w:r>
        <w:rPr>
          <w:rFonts w:ascii="仿宋_GB2312" w:eastAsia="仿宋_GB2312"/>
          <w:sz w:val="28"/>
          <w:szCs w:val="28"/>
        </w:rPr>
        <w:t>0382</w:t>
      </w:r>
      <w:r>
        <w:rPr>
          <w:rFonts w:hint="eastAsia" w:ascii="仿宋_GB2312" w:eastAsia="仿宋_GB2312"/>
          <w:sz w:val="28"/>
          <w:szCs w:val="28"/>
        </w:rPr>
        <w:t>万元，占支出合计的6.39%。</w:t>
      </w:r>
      <w:r>
        <w:rPr>
          <w:rFonts w:ascii="仿宋_GB2312" w:eastAsia="仿宋_GB2312"/>
          <w:sz w:val="28"/>
          <w:szCs w:val="28"/>
        </w:rPr>
        <w:t xml:space="preserve"> </w:t>
      </w:r>
    </w:p>
    <w:p>
      <w:pPr>
        <w:tabs>
          <w:tab w:val="center" w:pos="6979"/>
        </w:tabs>
        <w:spacing w:line="580" w:lineRule="exact"/>
        <w:ind w:firstLine="548" w:firstLineChars="196"/>
        <w:rPr>
          <w:rFonts w:ascii="黑体" w:eastAsia="黑体"/>
          <w:sz w:val="28"/>
          <w:szCs w:val="28"/>
        </w:rPr>
      </w:pPr>
      <w:r>
        <w:rPr>
          <w:rFonts w:hint="eastAsia" w:ascii="黑体" w:eastAsia="黑体"/>
          <w:sz w:val="28"/>
          <w:szCs w:val="28"/>
        </w:rPr>
        <w:t>三</w:t>
      </w:r>
      <w:r>
        <w:rPr>
          <w:rFonts w:ascii="黑体" w:eastAsia="黑体"/>
          <w:sz w:val="28"/>
          <w:szCs w:val="28"/>
        </w:rPr>
        <w:t>、财政拨款</w:t>
      </w:r>
      <w:r>
        <w:rPr>
          <w:rFonts w:hint="eastAsia" w:ascii="黑体" w:eastAsia="黑体"/>
          <w:sz w:val="28"/>
          <w:szCs w:val="28"/>
        </w:rPr>
        <w:t>收入支出决算</w:t>
      </w:r>
      <w:r>
        <w:rPr>
          <w:rFonts w:ascii="黑体" w:eastAsia="黑体"/>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2020年度财政拨款收入总计</w:t>
      </w:r>
      <w:r>
        <w:rPr>
          <w:rFonts w:ascii="仿宋_GB2312" w:eastAsia="仿宋_GB2312"/>
          <w:sz w:val="28"/>
          <w:szCs w:val="28"/>
        </w:rPr>
        <w:t>283</w:t>
      </w:r>
      <w:r>
        <w:rPr>
          <w:rFonts w:hint="eastAsia" w:ascii="仿宋_GB2312" w:eastAsia="仿宋_GB2312"/>
          <w:sz w:val="28"/>
          <w:szCs w:val="28"/>
        </w:rPr>
        <w:t>.</w:t>
      </w:r>
      <w:r>
        <w:rPr>
          <w:rFonts w:ascii="仿宋_GB2312" w:eastAsia="仿宋_GB2312"/>
          <w:sz w:val="28"/>
          <w:szCs w:val="28"/>
        </w:rPr>
        <w:t>212652</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139.8673万元，增长0.5%。财政</w:t>
      </w:r>
      <w:r>
        <w:rPr>
          <w:rFonts w:ascii="仿宋_GB2312" w:eastAsia="仿宋_GB2312"/>
          <w:sz w:val="28"/>
          <w:szCs w:val="28"/>
        </w:rPr>
        <w:t>拨款支</w:t>
      </w:r>
      <w:r>
        <w:rPr>
          <w:rFonts w:hint="eastAsia" w:ascii="仿宋_GB2312" w:eastAsia="仿宋_GB2312"/>
          <w:sz w:val="28"/>
          <w:szCs w:val="28"/>
        </w:rPr>
        <w:t>出总计</w:t>
      </w:r>
      <w:r>
        <w:rPr>
          <w:rFonts w:ascii="仿宋_GB2312" w:eastAsia="仿宋_GB2312"/>
          <w:sz w:val="28"/>
          <w:szCs w:val="28"/>
        </w:rPr>
        <w:t>282</w:t>
      </w:r>
      <w:r>
        <w:rPr>
          <w:rFonts w:hint="eastAsia" w:ascii="仿宋_GB2312" w:eastAsia="仿宋_GB2312"/>
          <w:sz w:val="28"/>
          <w:szCs w:val="28"/>
        </w:rPr>
        <w:t>.</w:t>
      </w:r>
      <w:r>
        <w:rPr>
          <w:rFonts w:ascii="仿宋_GB2312" w:eastAsia="仿宋_GB2312"/>
          <w:sz w:val="28"/>
          <w:szCs w:val="28"/>
        </w:rPr>
        <w:t>117752</w:t>
      </w:r>
      <w:r>
        <w:rPr>
          <w:rFonts w:hint="eastAsia" w:ascii="仿宋_GB2312" w:eastAsia="仿宋_GB2312"/>
          <w:sz w:val="28"/>
          <w:szCs w:val="28"/>
        </w:rPr>
        <w:t>万元，比上年增加3.324673万元,增长1.19%。主要</w:t>
      </w:r>
      <w:r>
        <w:rPr>
          <w:rFonts w:ascii="仿宋_GB2312" w:eastAsia="仿宋_GB2312"/>
          <w:sz w:val="28"/>
          <w:szCs w:val="28"/>
        </w:rPr>
        <w:t>原因：</w:t>
      </w:r>
      <w:r>
        <w:rPr>
          <w:rFonts w:hint="eastAsia" w:ascii="仿宋_GB2312" w:eastAsia="仿宋_GB2312"/>
          <w:sz w:val="28"/>
          <w:szCs w:val="28"/>
        </w:rPr>
        <w:t>财政</w:t>
      </w:r>
      <w:r>
        <w:rPr>
          <w:rFonts w:ascii="仿宋_GB2312" w:eastAsia="仿宋_GB2312"/>
          <w:sz w:val="28"/>
          <w:szCs w:val="28"/>
        </w:rPr>
        <w:t>拨款收入增加，</w:t>
      </w:r>
      <w:r>
        <w:rPr>
          <w:rFonts w:hint="eastAsia" w:ascii="仿宋_GB2312" w:eastAsia="仿宋_GB2312"/>
          <w:sz w:val="28"/>
          <w:szCs w:val="28"/>
        </w:rPr>
        <w:t>因此财政</w:t>
      </w:r>
      <w:r>
        <w:rPr>
          <w:rFonts w:ascii="仿宋_GB2312" w:eastAsia="仿宋_GB2312"/>
          <w:sz w:val="28"/>
          <w:szCs w:val="28"/>
        </w:rPr>
        <w:t>拨款支出增加。</w:t>
      </w:r>
    </w:p>
    <w:p>
      <w:pPr>
        <w:tabs>
          <w:tab w:val="center" w:pos="6979"/>
        </w:tabs>
        <w:spacing w:line="580" w:lineRule="exact"/>
        <w:ind w:firstLine="570"/>
        <w:rPr>
          <w:rFonts w:ascii="黑体" w:eastAsia="黑体"/>
          <w:sz w:val="28"/>
          <w:szCs w:val="28"/>
        </w:rPr>
      </w:pPr>
      <w:r>
        <w:rPr>
          <w:rFonts w:hint="eastAsia" w:ascii="黑体" w:eastAsia="黑体"/>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2020年度一般公共预算财政拨款支出</w:t>
      </w:r>
      <w:r>
        <w:rPr>
          <w:rFonts w:ascii="仿宋_GB2312" w:eastAsia="仿宋_GB2312"/>
          <w:sz w:val="28"/>
          <w:szCs w:val="28"/>
        </w:rPr>
        <w:t>282</w:t>
      </w:r>
      <w:r>
        <w:rPr>
          <w:rFonts w:hint="eastAsia" w:ascii="仿宋_GB2312" w:eastAsia="仿宋_GB2312"/>
          <w:sz w:val="28"/>
          <w:szCs w:val="28"/>
        </w:rPr>
        <w:t>.</w:t>
      </w:r>
      <w:r>
        <w:rPr>
          <w:rFonts w:ascii="仿宋_GB2312" w:eastAsia="仿宋_GB2312"/>
          <w:sz w:val="28"/>
          <w:szCs w:val="28"/>
        </w:rPr>
        <w:t>117752</w:t>
      </w:r>
      <w:r>
        <w:rPr>
          <w:rFonts w:hint="eastAsia" w:ascii="仿宋_GB2312" w:eastAsia="仿宋_GB2312"/>
          <w:sz w:val="28"/>
          <w:szCs w:val="28"/>
        </w:rPr>
        <w:t>万元，主要用于以下方面（按大类）：社会</w:t>
      </w:r>
      <w:r>
        <w:rPr>
          <w:rFonts w:ascii="仿宋_GB2312" w:eastAsia="仿宋_GB2312"/>
          <w:sz w:val="28"/>
          <w:szCs w:val="28"/>
        </w:rPr>
        <w:t>保障和就业支出50</w:t>
      </w:r>
      <w:r>
        <w:rPr>
          <w:rFonts w:hint="eastAsia" w:ascii="仿宋_GB2312" w:eastAsia="仿宋_GB2312"/>
          <w:sz w:val="28"/>
          <w:szCs w:val="28"/>
        </w:rPr>
        <w:t>.</w:t>
      </w:r>
      <w:r>
        <w:rPr>
          <w:rFonts w:ascii="仿宋_GB2312" w:eastAsia="仿宋_GB2312"/>
          <w:sz w:val="28"/>
          <w:szCs w:val="28"/>
        </w:rPr>
        <w:t>860836</w:t>
      </w:r>
      <w:r>
        <w:rPr>
          <w:rFonts w:hint="eastAsia" w:ascii="仿宋_GB2312" w:eastAsia="仿宋_GB2312"/>
          <w:sz w:val="28"/>
          <w:szCs w:val="28"/>
        </w:rPr>
        <w:t>万元，</w:t>
      </w:r>
      <w:r>
        <w:rPr>
          <w:rFonts w:ascii="仿宋_GB2312" w:eastAsia="仿宋_GB2312"/>
          <w:sz w:val="28"/>
          <w:szCs w:val="28"/>
        </w:rPr>
        <w:t>占支出的</w:t>
      </w:r>
      <w:r>
        <w:rPr>
          <w:rFonts w:hint="eastAsia" w:ascii="仿宋_GB2312" w:eastAsia="仿宋_GB2312"/>
          <w:sz w:val="28"/>
          <w:szCs w:val="28"/>
        </w:rPr>
        <w:t>18.02</w:t>
      </w:r>
      <w:r>
        <w:rPr>
          <w:rFonts w:ascii="仿宋_GB2312" w:eastAsia="仿宋_GB2312"/>
          <w:sz w:val="28"/>
          <w:szCs w:val="28"/>
        </w:rPr>
        <w:t>%；</w:t>
      </w:r>
      <w:r>
        <w:rPr>
          <w:rFonts w:hint="eastAsia" w:ascii="仿宋_GB2312" w:eastAsia="仿宋_GB2312"/>
          <w:sz w:val="28"/>
          <w:szCs w:val="28"/>
        </w:rPr>
        <w:t>农林水</w:t>
      </w:r>
      <w:r>
        <w:rPr>
          <w:rFonts w:ascii="仿宋_GB2312" w:eastAsia="仿宋_GB2312"/>
          <w:sz w:val="28"/>
          <w:szCs w:val="28"/>
        </w:rPr>
        <w:t>支出204</w:t>
      </w:r>
      <w:r>
        <w:rPr>
          <w:rFonts w:hint="eastAsia" w:ascii="仿宋_GB2312" w:eastAsia="仿宋_GB2312"/>
          <w:sz w:val="28"/>
          <w:szCs w:val="28"/>
        </w:rPr>
        <w:t>.</w:t>
      </w:r>
      <w:r>
        <w:rPr>
          <w:rFonts w:ascii="仿宋_GB2312" w:eastAsia="仿宋_GB2312"/>
          <w:sz w:val="28"/>
          <w:szCs w:val="28"/>
        </w:rPr>
        <w:t>353016</w:t>
      </w:r>
      <w:r>
        <w:rPr>
          <w:rFonts w:hint="eastAsia" w:ascii="仿宋_GB2312" w:eastAsia="仿宋_GB2312"/>
          <w:sz w:val="28"/>
          <w:szCs w:val="28"/>
        </w:rPr>
        <w:t>万元,占支出的72.44%;住房保障支出</w:t>
      </w:r>
      <w:r>
        <w:rPr>
          <w:rFonts w:ascii="仿宋_GB2312" w:eastAsia="仿宋_GB2312"/>
          <w:sz w:val="28"/>
          <w:szCs w:val="28"/>
        </w:rPr>
        <w:t>26.9039</w:t>
      </w:r>
      <w:r>
        <w:rPr>
          <w:rFonts w:hint="eastAsia" w:ascii="仿宋_GB2312" w:eastAsia="仿宋_GB2312"/>
          <w:sz w:val="28"/>
          <w:szCs w:val="28"/>
        </w:rPr>
        <w:t>万元</w:t>
      </w:r>
      <w:r>
        <w:rPr>
          <w:rFonts w:ascii="仿宋_GB2312" w:eastAsia="仿宋_GB2312"/>
          <w:sz w:val="28"/>
          <w:szCs w:val="28"/>
        </w:rPr>
        <w:t>，占支出的</w:t>
      </w:r>
      <w:r>
        <w:rPr>
          <w:rFonts w:hint="eastAsia" w:ascii="仿宋_GB2312" w:eastAsia="仿宋_GB2312"/>
          <w:sz w:val="28"/>
          <w:szCs w:val="28"/>
        </w:rPr>
        <w:t>9.54</w:t>
      </w:r>
      <w:r>
        <w:rPr>
          <w:rFonts w:ascii="仿宋_GB2312" w:eastAsia="仿宋_GB2312"/>
          <w:sz w:val="28"/>
          <w:szCs w:val="28"/>
        </w:rPr>
        <w:t>%。</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1、“社会保障和</w:t>
      </w:r>
      <w:r>
        <w:rPr>
          <w:rFonts w:ascii="仿宋_GB2312" w:eastAsia="仿宋_GB2312"/>
          <w:sz w:val="28"/>
          <w:szCs w:val="28"/>
        </w:rPr>
        <w:t>就业</w:t>
      </w:r>
      <w:r>
        <w:rPr>
          <w:rFonts w:hint="eastAsia" w:ascii="仿宋_GB2312" w:eastAsia="仿宋_GB2312"/>
          <w:sz w:val="28"/>
          <w:szCs w:val="28"/>
        </w:rPr>
        <w:t>”（类）2020年度决算</w:t>
      </w:r>
      <w:r>
        <w:rPr>
          <w:rFonts w:ascii="仿宋_GB2312" w:eastAsia="仿宋_GB2312"/>
          <w:sz w:val="28"/>
          <w:szCs w:val="28"/>
        </w:rPr>
        <w:t>50</w:t>
      </w:r>
      <w:r>
        <w:rPr>
          <w:rFonts w:hint="eastAsia" w:ascii="仿宋_GB2312" w:eastAsia="仿宋_GB2312"/>
          <w:sz w:val="28"/>
          <w:szCs w:val="28"/>
        </w:rPr>
        <w:t>.</w:t>
      </w:r>
      <w:r>
        <w:rPr>
          <w:rFonts w:ascii="仿宋_GB2312" w:eastAsia="仿宋_GB2312"/>
          <w:sz w:val="28"/>
          <w:szCs w:val="28"/>
        </w:rPr>
        <w:t>860836</w:t>
      </w:r>
      <w:r>
        <w:rPr>
          <w:rFonts w:hint="eastAsia" w:ascii="仿宋_GB2312" w:eastAsia="仿宋_GB2312"/>
          <w:sz w:val="28"/>
          <w:szCs w:val="28"/>
        </w:rPr>
        <w:t>万元，比2020年年初预算减少</w:t>
      </w:r>
      <w:r>
        <w:rPr>
          <w:rFonts w:ascii="仿宋_GB2312" w:eastAsia="仿宋_GB2312"/>
          <w:sz w:val="28"/>
          <w:szCs w:val="28"/>
        </w:rPr>
        <w:t>5.345664</w:t>
      </w:r>
      <w:r>
        <w:rPr>
          <w:rFonts w:hint="eastAsia" w:ascii="仿宋_GB2312" w:eastAsia="仿宋_GB2312"/>
          <w:sz w:val="28"/>
          <w:szCs w:val="28"/>
        </w:rPr>
        <w:t>万元，下降</w:t>
      </w:r>
      <w:r>
        <w:rPr>
          <w:rFonts w:ascii="仿宋_GB2312" w:eastAsia="仿宋_GB2312"/>
          <w:sz w:val="28"/>
          <w:szCs w:val="28"/>
        </w:rPr>
        <w:t>9.51</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“行政事业单位养老支出”（款，下同）2020年度决算</w:t>
      </w:r>
      <w:r>
        <w:rPr>
          <w:rFonts w:ascii="仿宋_GB2312" w:eastAsia="仿宋_GB2312"/>
          <w:sz w:val="28"/>
          <w:szCs w:val="28"/>
        </w:rPr>
        <w:t>50.860836</w:t>
      </w:r>
      <w:r>
        <w:rPr>
          <w:rFonts w:hint="eastAsia" w:ascii="仿宋_GB2312" w:eastAsia="仿宋_GB2312"/>
          <w:sz w:val="28"/>
          <w:szCs w:val="28"/>
        </w:rPr>
        <w:t>万元，比2020年年初预算减少</w:t>
      </w:r>
      <w:r>
        <w:rPr>
          <w:rFonts w:ascii="仿宋_GB2312" w:eastAsia="仿宋_GB2312"/>
          <w:sz w:val="28"/>
          <w:szCs w:val="28"/>
        </w:rPr>
        <w:t>5.345664</w:t>
      </w:r>
      <w:r>
        <w:rPr>
          <w:rFonts w:hint="eastAsia" w:ascii="仿宋_GB2312" w:eastAsia="仿宋_GB2312"/>
          <w:sz w:val="28"/>
          <w:szCs w:val="28"/>
        </w:rPr>
        <w:t>万元，下降</w:t>
      </w:r>
      <w:r>
        <w:rPr>
          <w:rFonts w:ascii="仿宋_GB2312" w:eastAsia="仿宋_GB2312"/>
          <w:sz w:val="28"/>
          <w:szCs w:val="28"/>
        </w:rPr>
        <w:t>9.51</w:t>
      </w:r>
      <w:r>
        <w:rPr>
          <w:rFonts w:hint="eastAsia" w:ascii="仿宋_GB2312" w:eastAsia="仿宋_GB2312"/>
          <w:sz w:val="28"/>
          <w:szCs w:val="28"/>
        </w:rPr>
        <w:t>%。主要原因：本单位</w:t>
      </w:r>
      <w:r>
        <w:rPr>
          <w:rFonts w:ascii="仿宋_GB2312" w:eastAsia="仿宋_GB2312"/>
          <w:sz w:val="28"/>
          <w:szCs w:val="28"/>
        </w:rPr>
        <w:t>合理利用资金，</w:t>
      </w:r>
      <w:r>
        <w:rPr>
          <w:rFonts w:hint="eastAsia" w:ascii="仿宋_GB2312" w:eastAsia="仿宋_GB2312"/>
          <w:sz w:val="28"/>
          <w:szCs w:val="28"/>
        </w:rPr>
        <w:t>厉行</w:t>
      </w:r>
      <w:r>
        <w:rPr>
          <w:rFonts w:ascii="仿宋_GB2312" w:eastAsia="仿宋_GB2312"/>
          <w:sz w:val="28"/>
          <w:szCs w:val="28"/>
        </w:rPr>
        <w:t>节约，因此比年初预算有所下降。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 xml:space="preserve"> 2、“农林水支出”(类)2020年度决算</w:t>
      </w:r>
      <w:r>
        <w:rPr>
          <w:rFonts w:ascii="仿宋_GB2312" w:eastAsia="仿宋_GB2312"/>
          <w:sz w:val="28"/>
          <w:szCs w:val="28"/>
        </w:rPr>
        <w:t>204</w:t>
      </w:r>
      <w:r>
        <w:rPr>
          <w:rFonts w:hint="eastAsia" w:ascii="仿宋_GB2312" w:eastAsia="仿宋_GB2312"/>
          <w:sz w:val="28"/>
          <w:szCs w:val="28"/>
        </w:rPr>
        <w:t>.</w:t>
      </w:r>
      <w:r>
        <w:rPr>
          <w:rFonts w:ascii="仿宋_GB2312" w:eastAsia="仿宋_GB2312"/>
          <w:sz w:val="28"/>
          <w:szCs w:val="28"/>
        </w:rPr>
        <w:t>35306</w:t>
      </w:r>
      <w:r>
        <w:rPr>
          <w:rFonts w:hint="eastAsia" w:ascii="仿宋_GB2312" w:eastAsia="仿宋_GB2312"/>
          <w:sz w:val="28"/>
          <w:szCs w:val="28"/>
        </w:rPr>
        <w:t>万元，比2020年年初预算减少3.866684万元，下降1.85%。其中：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“农业农村”（款）2020年度决算</w:t>
      </w:r>
      <w:r>
        <w:rPr>
          <w:rFonts w:ascii="仿宋_GB2312" w:eastAsia="仿宋_GB2312"/>
          <w:sz w:val="28"/>
          <w:szCs w:val="28"/>
        </w:rPr>
        <w:t>204</w:t>
      </w:r>
      <w:r>
        <w:rPr>
          <w:rFonts w:hint="eastAsia" w:ascii="仿宋_GB2312" w:eastAsia="仿宋_GB2312"/>
          <w:sz w:val="28"/>
          <w:szCs w:val="28"/>
        </w:rPr>
        <w:t>.</w:t>
      </w:r>
      <w:r>
        <w:rPr>
          <w:rFonts w:ascii="仿宋_GB2312" w:eastAsia="仿宋_GB2312"/>
          <w:sz w:val="28"/>
          <w:szCs w:val="28"/>
        </w:rPr>
        <w:t>35306</w:t>
      </w:r>
      <w:r>
        <w:rPr>
          <w:rFonts w:hint="eastAsia" w:ascii="仿宋_GB2312" w:eastAsia="仿宋_GB2312"/>
          <w:sz w:val="28"/>
          <w:szCs w:val="28"/>
        </w:rPr>
        <w:t>万元，比2020年年初预算减少3.866684万元，下降1.85%。。主要原因：本单位</w:t>
      </w:r>
      <w:r>
        <w:rPr>
          <w:rFonts w:ascii="仿宋_GB2312" w:eastAsia="仿宋_GB2312"/>
          <w:sz w:val="28"/>
          <w:szCs w:val="28"/>
        </w:rPr>
        <w:t>合理利用资金，</w:t>
      </w:r>
      <w:r>
        <w:rPr>
          <w:rFonts w:hint="eastAsia" w:ascii="仿宋_GB2312" w:eastAsia="仿宋_GB2312"/>
          <w:sz w:val="28"/>
          <w:szCs w:val="28"/>
        </w:rPr>
        <w:t>厉行</w:t>
      </w:r>
      <w:r>
        <w:rPr>
          <w:rFonts w:ascii="仿宋_GB2312" w:eastAsia="仿宋_GB2312"/>
          <w:sz w:val="28"/>
          <w:szCs w:val="28"/>
        </w:rPr>
        <w:t>节约，因此比年初预算有所下降。</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3、“住房保障支出”（类）2020年度决算</w:t>
      </w:r>
      <w:r>
        <w:rPr>
          <w:rFonts w:ascii="仿宋_GB2312" w:eastAsia="仿宋_GB2312"/>
          <w:sz w:val="28"/>
          <w:szCs w:val="28"/>
        </w:rPr>
        <w:t>26.9039</w:t>
      </w:r>
      <w:r>
        <w:rPr>
          <w:rFonts w:hint="eastAsia" w:ascii="仿宋_GB2312" w:eastAsia="仿宋_GB2312"/>
          <w:sz w:val="28"/>
          <w:szCs w:val="28"/>
        </w:rPr>
        <w:t>万元，比2020年年初预算减少</w:t>
      </w:r>
      <w:r>
        <w:rPr>
          <w:rFonts w:ascii="仿宋_GB2312" w:eastAsia="仿宋_GB2312"/>
          <w:sz w:val="28"/>
          <w:szCs w:val="28"/>
        </w:rPr>
        <w:t>7.8081</w:t>
      </w:r>
      <w:r>
        <w:rPr>
          <w:rFonts w:hint="eastAsia" w:ascii="仿宋_GB2312" w:eastAsia="仿宋_GB2312"/>
          <w:sz w:val="28"/>
          <w:szCs w:val="28"/>
        </w:rPr>
        <w:t>万元，下降</w:t>
      </w:r>
      <w:r>
        <w:rPr>
          <w:rFonts w:ascii="仿宋_GB2312" w:eastAsia="仿宋_GB2312"/>
          <w:sz w:val="28"/>
          <w:szCs w:val="28"/>
        </w:rPr>
        <w:t>22.49</w:t>
      </w:r>
      <w:r>
        <w:rPr>
          <w:rFonts w:hint="eastAsia" w:ascii="仿宋_GB2312" w:eastAsia="仿宋_GB2312"/>
          <w:sz w:val="28"/>
          <w:szCs w:val="28"/>
        </w:rPr>
        <w:t>%。其中</w:t>
      </w:r>
      <w:r>
        <w:rPr>
          <w:rFonts w:ascii="仿宋_GB2312" w:eastAsia="仿宋_GB2312"/>
          <w:sz w:val="28"/>
          <w:szCs w:val="28"/>
        </w:rPr>
        <w:t>：</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“住房改革支出”（款）2020年度决算</w:t>
      </w:r>
      <w:r>
        <w:rPr>
          <w:rFonts w:ascii="仿宋_GB2312" w:eastAsia="仿宋_GB2312"/>
          <w:sz w:val="28"/>
          <w:szCs w:val="28"/>
        </w:rPr>
        <w:t>26.9039</w:t>
      </w:r>
      <w:r>
        <w:rPr>
          <w:rFonts w:hint="eastAsia" w:ascii="仿宋_GB2312" w:eastAsia="仿宋_GB2312"/>
          <w:sz w:val="28"/>
          <w:szCs w:val="28"/>
        </w:rPr>
        <w:t>万元，比2020年年初预算减少</w:t>
      </w:r>
      <w:r>
        <w:rPr>
          <w:rFonts w:ascii="仿宋_GB2312" w:eastAsia="仿宋_GB2312"/>
          <w:sz w:val="28"/>
          <w:szCs w:val="28"/>
        </w:rPr>
        <w:t>7.8081</w:t>
      </w:r>
      <w:r>
        <w:rPr>
          <w:rFonts w:hint="eastAsia" w:ascii="仿宋_GB2312" w:eastAsia="仿宋_GB2312"/>
          <w:sz w:val="28"/>
          <w:szCs w:val="28"/>
        </w:rPr>
        <w:t>万元，下降</w:t>
      </w:r>
      <w:r>
        <w:rPr>
          <w:rFonts w:ascii="仿宋_GB2312" w:eastAsia="仿宋_GB2312"/>
          <w:sz w:val="28"/>
          <w:szCs w:val="28"/>
        </w:rPr>
        <w:t>22.49</w:t>
      </w:r>
      <w:r>
        <w:rPr>
          <w:rFonts w:hint="eastAsia" w:ascii="仿宋_GB2312" w:eastAsia="仿宋_GB2312"/>
          <w:sz w:val="28"/>
          <w:szCs w:val="28"/>
        </w:rPr>
        <w:t>%。。</w:t>
      </w:r>
      <w:r>
        <w:rPr>
          <w:rFonts w:ascii="仿宋_GB2312" w:eastAsia="仿宋_GB2312"/>
          <w:sz w:val="28"/>
          <w:szCs w:val="28"/>
        </w:rPr>
        <w:t>主要</w:t>
      </w:r>
      <w:r>
        <w:rPr>
          <w:rFonts w:hint="eastAsia" w:ascii="仿宋_GB2312" w:eastAsia="仿宋_GB2312"/>
          <w:sz w:val="28"/>
          <w:szCs w:val="28"/>
        </w:rPr>
        <w:t>原因：本单位</w:t>
      </w:r>
      <w:r>
        <w:rPr>
          <w:rFonts w:ascii="仿宋_GB2312" w:eastAsia="仿宋_GB2312"/>
          <w:sz w:val="28"/>
          <w:szCs w:val="28"/>
        </w:rPr>
        <w:t>合理利用资金，</w:t>
      </w:r>
      <w:r>
        <w:rPr>
          <w:rFonts w:hint="eastAsia" w:ascii="仿宋_GB2312" w:eastAsia="仿宋_GB2312"/>
          <w:sz w:val="28"/>
          <w:szCs w:val="28"/>
        </w:rPr>
        <w:t>厉行</w:t>
      </w:r>
      <w:r>
        <w:rPr>
          <w:rFonts w:ascii="仿宋_GB2312" w:eastAsia="仿宋_GB2312"/>
          <w:sz w:val="28"/>
          <w:szCs w:val="28"/>
        </w:rPr>
        <w:t>节约，因此比年初预算有所下降。</w:t>
      </w:r>
    </w:p>
    <w:p>
      <w:pPr>
        <w:spacing w:line="580" w:lineRule="exact"/>
        <w:ind w:firstLine="560" w:firstLineChars="200"/>
        <w:rPr>
          <w:rFonts w:ascii="黑体" w:eastAsia="黑体"/>
          <w:sz w:val="28"/>
          <w:szCs w:val="28"/>
        </w:rPr>
      </w:pPr>
      <w:r>
        <w:rPr>
          <w:rFonts w:hint="eastAsia" w:ascii="黑体" w:eastAsia="黑体"/>
          <w:sz w:val="28"/>
          <w:szCs w:val="28"/>
        </w:rPr>
        <w:t>五、政府性基金预算财政拨款支出决算情况说明</w:t>
      </w:r>
    </w:p>
    <w:p>
      <w:pPr>
        <w:spacing w:line="560" w:lineRule="exact"/>
        <w:ind w:firstLine="700" w:firstLineChars="250"/>
        <w:rPr>
          <w:rFonts w:ascii="仿宋_GB2312" w:eastAsia="仿宋_GB2312"/>
          <w:sz w:val="28"/>
          <w:szCs w:val="28"/>
        </w:rPr>
      </w:pPr>
      <w:r>
        <w:rPr>
          <w:rFonts w:hint="eastAsia" w:ascii="仿宋_GB2312" w:eastAsia="仿宋_GB2312"/>
          <w:sz w:val="28"/>
          <w:szCs w:val="28"/>
        </w:rPr>
        <w:t>本年度无此项支出</w:t>
      </w:r>
    </w:p>
    <w:p>
      <w:pPr>
        <w:spacing w:line="560" w:lineRule="exact"/>
        <w:ind w:firstLine="420" w:firstLineChars="150"/>
        <w:rPr>
          <w:rFonts w:ascii="黑体" w:eastAsia="黑体"/>
          <w:sz w:val="28"/>
          <w:szCs w:val="28"/>
        </w:rPr>
      </w:pPr>
      <w:r>
        <w:rPr>
          <w:rFonts w:hint="eastAsia" w:ascii="黑体" w:eastAsia="黑体"/>
          <w:sz w:val="28"/>
          <w:szCs w:val="28"/>
        </w:rPr>
        <w:t>六、国有资本经营预算财</w:t>
      </w:r>
      <w:r>
        <w:rPr>
          <w:rFonts w:ascii="黑体" w:eastAsia="黑体"/>
          <w:sz w:val="28"/>
          <w:szCs w:val="28"/>
        </w:rPr>
        <w:t>政拨款</w:t>
      </w:r>
      <w:r>
        <w:rPr>
          <w:rFonts w:hint="eastAsia" w:ascii="黑体" w:eastAsia="黑体"/>
          <w:sz w:val="28"/>
          <w:szCs w:val="28"/>
        </w:rPr>
        <w:t>收支情况说明</w:t>
      </w:r>
    </w:p>
    <w:p>
      <w:pPr>
        <w:spacing w:line="560" w:lineRule="exact"/>
        <w:ind w:firstLine="700" w:firstLineChars="250"/>
        <w:rPr>
          <w:rFonts w:ascii="仿宋_GB2312" w:eastAsia="仿宋_GB2312"/>
          <w:sz w:val="28"/>
          <w:szCs w:val="28"/>
        </w:rPr>
      </w:pPr>
      <w:r>
        <w:rPr>
          <w:rFonts w:hint="eastAsia" w:ascii="仿宋_GB2312" w:eastAsia="仿宋_GB2312"/>
          <w:sz w:val="28"/>
          <w:szCs w:val="28"/>
        </w:rPr>
        <w:t>本年度无此项</w:t>
      </w:r>
      <w:r>
        <w:rPr>
          <w:rFonts w:ascii="仿宋_GB2312" w:eastAsia="仿宋_GB2312"/>
          <w:sz w:val="28"/>
          <w:szCs w:val="28"/>
        </w:rPr>
        <w:t>经费</w:t>
      </w:r>
    </w:p>
    <w:p>
      <w:pPr>
        <w:spacing w:line="580" w:lineRule="exact"/>
        <w:ind w:firstLine="548" w:firstLineChars="196"/>
        <w:rPr>
          <w:rFonts w:ascii="黑体" w:eastAsia="黑体"/>
          <w:sz w:val="28"/>
          <w:szCs w:val="28"/>
        </w:rPr>
      </w:pPr>
      <w:r>
        <w:rPr>
          <w:rFonts w:hint="eastAsia" w:ascii="黑体" w:eastAsia="黑体"/>
          <w:sz w:val="28"/>
          <w:szCs w:val="28"/>
        </w:rPr>
        <w:t>七、财政拨款基本支出决算情况说明</w:t>
      </w:r>
    </w:p>
    <w:p>
      <w:pPr>
        <w:tabs>
          <w:tab w:val="center" w:pos="6979"/>
        </w:tabs>
        <w:spacing w:line="580" w:lineRule="exact"/>
        <w:ind w:firstLine="548" w:firstLineChars="196"/>
        <w:rPr>
          <w:rFonts w:ascii="宋体" w:hAnsi="宋体"/>
          <w:b/>
          <w:spacing w:val="40"/>
          <w:sz w:val="32"/>
          <w:szCs w:val="32"/>
        </w:rPr>
      </w:pPr>
      <w:r>
        <w:rPr>
          <w:rFonts w:hint="eastAsia" w:ascii="仿宋_GB2312" w:eastAsia="仿宋_GB2312"/>
          <w:sz w:val="28"/>
          <w:szCs w:val="28"/>
        </w:rPr>
        <w:t>2020年使用一般公共预算财政拨款安排基本支出</w:t>
      </w:r>
      <w:r>
        <w:rPr>
          <w:rFonts w:ascii="仿宋_GB2312" w:eastAsia="仿宋_GB2312"/>
          <w:sz w:val="28"/>
          <w:szCs w:val="28"/>
        </w:rPr>
        <w:t>264</w:t>
      </w:r>
      <w:r>
        <w:rPr>
          <w:rFonts w:hint="eastAsia" w:ascii="仿宋_GB2312" w:eastAsia="仿宋_GB2312"/>
          <w:sz w:val="28"/>
          <w:szCs w:val="28"/>
        </w:rPr>
        <w:t>.</w:t>
      </w:r>
      <w:r>
        <w:rPr>
          <w:rFonts w:ascii="仿宋_GB2312" w:eastAsia="仿宋_GB2312"/>
          <w:sz w:val="28"/>
          <w:szCs w:val="28"/>
        </w:rPr>
        <w:t>079552</w:t>
      </w:r>
      <w:r>
        <w:rPr>
          <w:rFonts w:hint="eastAsia" w:ascii="仿宋_GB2312" w:eastAsia="仿宋_GB2312"/>
          <w:sz w:val="28"/>
          <w:szCs w:val="28"/>
        </w:rPr>
        <w:t>万元，使用政府性基金财政拨款安排基本支出</w:t>
      </w:r>
      <w:r>
        <w:rPr>
          <w:rFonts w:ascii="仿宋_GB2312" w:eastAsia="仿宋_GB2312"/>
          <w:sz w:val="28"/>
          <w:szCs w:val="28"/>
        </w:rPr>
        <w:t>0.00</w:t>
      </w:r>
      <w:r>
        <w:rPr>
          <w:rFonts w:hint="eastAsia" w:ascii="仿宋_GB2312" w:eastAsia="仿宋_GB2312"/>
          <w:sz w:val="28"/>
          <w:szCs w:val="28"/>
        </w:rPr>
        <w:t>万元，使用国有资本经营预算财政</w:t>
      </w:r>
      <w:r>
        <w:rPr>
          <w:rFonts w:ascii="仿宋_GB2312" w:eastAsia="仿宋_GB2312"/>
          <w:sz w:val="28"/>
          <w:szCs w:val="28"/>
        </w:rPr>
        <w:t>拨款</w:t>
      </w:r>
      <w:r>
        <w:rPr>
          <w:rFonts w:hint="eastAsia" w:ascii="仿宋_GB2312" w:eastAsia="仿宋_GB2312"/>
          <w:sz w:val="28"/>
          <w:szCs w:val="28"/>
        </w:rPr>
        <w:t>安排基本支出</w:t>
      </w:r>
      <w:r>
        <w:rPr>
          <w:rFonts w:ascii="仿宋_GB2312" w:eastAsia="仿宋_GB2312"/>
          <w:sz w:val="28"/>
          <w:szCs w:val="28"/>
        </w:rPr>
        <w:t>0.00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r>
        <w:rPr>
          <w:rFonts w:ascii="仿宋_GB2312" w:eastAsia="仿宋_GB2312"/>
          <w:b/>
          <w:sz w:val="32"/>
          <w:szCs w:val="32"/>
        </w:rPr>
        <w:tab/>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第三部分2020年度其他重要事项的情况说明</w:t>
      </w:r>
    </w:p>
    <w:p>
      <w:pPr>
        <w:spacing w:line="560" w:lineRule="exact"/>
        <w:ind w:firstLine="420" w:firstLineChars="15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 xml:space="preserve"> “三公”经费包括本单位1</w:t>
      </w:r>
      <w:r>
        <w:rPr>
          <w:rFonts w:hint="eastAsia" w:ascii="仿宋_GB2312" w:eastAsia="仿宋_GB2312"/>
          <w:bCs/>
          <w:sz w:val="28"/>
          <w:szCs w:val="28"/>
        </w:rPr>
        <w:t>个</w:t>
      </w:r>
      <w:r>
        <w:rPr>
          <w:rFonts w:hint="eastAsia" w:ascii="仿宋_GB2312" w:eastAsia="仿宋_GB2312"/>
          <w:sz w:val="28"/>
          <w:szCs w:val="28"/>
        </w:rPr>
        <w:t>事业单位。2020年“三公”经费财政拨款决算数</w:t>
      </w:r>
      <w:r>
        <w:rPr>
          <w:rFonts w:ascii="仿宋_GB2312" w:eastAsia="仿宋_GB2312"/>
          <w:sz w:val="28"/>
          <w:szCs w:val="28"/>
        </w:rPr>
        <w:t>1.6331</w:t>
      </w:r>
      <w:r>
        <w:rPr>
          <w:rFonts w:hint="eastAsia" w:ascii="仿宋_GB2312" w:eastAsia="仿宋_GB2312"/>
          <w:sz w:val="28"/>
          <w:szCs w:val="28"/>
        </w:rPr>
        <w:t>万元，比2020年“三公”经费财政拨款年初预算</w:t>
      </w:r>
      <w:r>
        <w:rPr>
          <w:rFonts w:ascii="仿宋_GB2312" w:eastAsia="仿宋_GB2312"/>
          <w:sz w:val="28"/>
          <w:szCs w:val="28"/>
        </w:rPr>
        <w:t>2.0198</w:t>
      </w:r>
      <w:r>
        <w:rPr>
          <w:rFonts w:hint="eastAsia" w:ascii="仿宋_GB2312" w:eastAsia="仿宋_GB2312"/>
          <w:sz w:val="28"/>
          <w:szCs w:val="28"/>
        </w:rPr>
        <w:t>万元减少</w:t>
      </w:r>
      <w:r>
        <w:rPr>
          <w:rFonts w:ascii="仿宋_GB2312" w:eastAsia="仿宋_GB2312"/>
          <w:sz w:val="28"/>
          <w:szCs w:val="28"/>
        </w:rPr>
        <w:t>0.38649</w:t>
      </w:r>
      <w:r>
        <w:rPr>
          <w:rFonts w:hint="eastAsia" w:ascii="仿宋_GB2312" w:eastAsia="仿宋_GB2312"/>
          <w:sz w:val="28"/>
          <w:szCs w:val="28"/>
        </w:rPr>
        <w:t>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1.因公出国（境）费用。2020年决算数</w:t>
      </w:r>
      <w:r>
        <w:rPr>
          <w:rFonts w:ascii="仿宋_GB2312" w:eastAsia="仿宋_GB2312"/>
          <w:sz w:val="28"/>
          <w:szCs w:val="28"/>
        </w:rPr>
        <w:t>0.00</w:t>
      </w:r>
      <w:r>
        <w:rPr>
          <w:rFonts w:hint="eastAsia" w:ascii="仿宋_GB2312" w:eastAsia="仿宋_GB2312"/>
          <w:sz w:val="28"/>
          <w:szCs w:val="28"/>
        </w:rPr>
        <w:t>万元，比2020年年初预算数0.00万元增加0.00万元。主要原因：本单位年初预算无安排此项支出。</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2.公务接待费。2020年决算数0.00万元，比2020年年初预算数0.2198万元减少0.2198万元。主要原因：本单位无此项业务支出.</w:t>
      </w:r>
      <w:r>
        <w:rPr>
          <w:rFonts w:ascii="仿宋_GB2312" w:eastAsia="仿宋_GB2312"/>
          <w:sz w:val="28"/>
          <w:szCs w:val="28"/>
        </w:rPr>
        <w:t xml:space="preserve"> </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3.公务用车购置及运行维护费。2020年决算数.</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63331</w:t>
      </w:r>
      <w:r>
        <w:rPr>
          <w:rFonts w:hint="eastAsia" w:ascii="仿宋_GB2312" w:eastAsia="仿宋_GB2312"/>
          <w:sz w:val="28"/>
          <w:szCs w:val="28"/>
        </w:rPr>
        <w:t>万元，比2020年年初预算数</w:t>
      </w:r>
      <w:r>
        <w:rPr>
          <w:rFonts w:ascii="仿宋_GB2312" w:eastAsia="仿宋_GB2312"/>
          <w:sz w:val="28"/>
          <w:szCs w:val="28"/>
        </w:rPr>
        <w:t>2</w:t>
      </w:r>
      <w:r>
        <w:rPr>
          <w:rFonts w:hint="eastAsia" w:ascii="仿宋_GB2312" w:eastAsia="仿宋_GB2312"/>
          <w:sz w:val="28"/>
          <w:szCs w:val="28"/>
        </w:rPr>
        <w:t>.</w:t>
      </w:r>
      <w:r>
        <w:rPr>
          <w:rFonts w:ascii="仿宋_GB2312" w:eastAsia="仿宋_GB2312"/>
          <w:sz w:val="28"/>
          <w:szCs w:val="28"/>
        </w:rPr>
        <w:t>0198</w:t>
      </w:r>
      <w:r>
        <w:rPr>
          <w:rFonts w:hint="eastAsia" w:ascii="仿宋_GB2312" w:eastAsia="仿宋_GB2312"/>
          <w:sz w:val="28"/>
          <w:szCs w:val="28"/>
        </w:rPr>
        <w:t>万元减少0.38649万元。其中，公务用车运行维护费2020年决算数1.63331万元，比2020年年初预算数2.0198万元减少0.38649万元，主要原因：本单位合理利用资金,厉行节约,本年度公务用车维护费比年初预算有所下降。2020年公务用车运行维护费中，公务用车加油0.7884万元，公务用车维修0.4335万元，公务用车保险0.28501万元，公务用车其他支出0.1264万元。2020年公务用车保有量1辆，车均运行维护费1.63331万元。</w:t>
      </w:r>
    </w:p>
    <w:p>
      <w:pPr>
        <w:spacing w:line="560" w:lineRule="exact"/>
        <w:ind w:firstLine="560" w:firstLineChars="200"/>
        <w:rPr>
          <w:rFonts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本单位不属于机关运行经费统计范围.</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2020年政府采购支出总额</w:t>
      </w:r>
      <w:r>
        <w:rPr>
          <w:rFonts w:ascii="仿宋_GB2312" w:eastAsia="仿宋_GB2312"/>
          <w:sz w:val="28"/>
          <w:szCs w:val="28"/>
        </w:rPr>
        <w:t>5</w:t>
      </w:r>
      <w:r>
        <w:rPr>
          <w:rFonts w:hint="eastAsia" w:ascii="仿宋_GB2312" w:eastAsia="仿宋_GB2312"/>
          <w:sz w:val="28"/>
          <w:szCs w:val="28"/>
        </w:rPr>
        <w:t>.</w:t>
      </w:r>
      <w:r>
        <w:rPr>
          <w:rFonts w:ascii="仿宋_GB2312" w:eastAsia="仿宋_GB2312"/>
          <w:sz w:val="28"/>
          <w:szCs w:val="28"/>
        </w:rPr>
        <w:t>4327</w:t>
      </w:r>
      <w:r>
        <w:rPr>
          <w:rFonts w:hint="eastAsia" w:ascii="仿宋_GB2312" w:eastAsia="仿宋_GB2312"/>
          <w:sz w:val="28"/>
          <w:szCs w:val="28"/>
        </w:rPr>
        <w:t>万元，其中：政府采购货物支出0.00万元，政府采购工程支出0.00万元，政府采购服务支出5.4327万元。授予中小企业合同金额0.4335万元，占政府采购支出总额的7.97%，其中：授予小微企业合同金额0.4335万元，占政府采购支出总额的7.97%。</w:t>
      </w:r>
    </w:p>
    <w:p>
      <w:pPr>
        <w:ind w:firstLine="560" w:firstLineChars="200"/>
        <w:rPr>
          <w:rFonts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2020年车辆1台，15.81万元；单位价值50万元以上的通用设备0台（套），单位价值100万元以上的专用设备0台（套）。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ascii="仿宋_GB2312" w:eastAsia="仿宋_GB2312"/>
          <w:sz w:val="28"/>
          <w:szCs w:val="28"/>
        </w:rPr>
        <w:t>2020年政府购买服务决算</w:t>
      </w:r>
      <w:r>
        <w:rPr>
          <w:rFonts w:hint="eastAsia" w:ascii="仿宋_GB2312" w:eastAsia="仿宋_GB2312"/>
          <w:sz w:val="28"/>
          <w:szCs w:val="28"/>
        </w:rPr>
        <w:t>0万元。</w:t>
      </w:r>
    </w:p>
    <w:p>
      <w:pPr>
        <w:ind w:firstLine="560" w:firstLineChars="200"/>
        <w:rPr>
          <w:rFonts w:ascii="仿宋_GB2312" w:eastAsia="仿宋_GB2312"/>
          <w:sz w:val="28"/>
          <w:szCs w:val="28"/>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420" w:firstLineChars="15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420" w:firstLineChars="15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ascii="仿宋_GB2312" w:eastAsia="仿宋_GB2312"/>
          <w:sz w:val="28"/>
          <w:szCs w:val="28"/>
        </w:rPr>
      </w:pPr>
      <w:r>
        <w:rPr>
          <w:rFonts w:hint="eastAsia" w:ascii="仿宋_GB2312" w:eastAsia="仿宋_GB2312"/>
          <w:sz w:val="28"/>
          <w:szCs w:val="28"/>
        </w:rPr>
        <w:t>（根据自身业务职能，在</w:t>
      </w:r>
      <w:r>
        <w:rPr>
          <w:rFonts w:ascii="仿宋_GB2312" w:eastAsia="仿宋_GB2312"/>
          <w:sz w:val="28"/>
          <w:szCs w:val="28"/>
        </w:rPr>
        <w:t>以</w:t>
      </w:r>
      <w:r>
        <w:rPr>
          <w:rFonts w:hint="eastAsia" w:ascii="仿宋_GB2312" w:eastAsia="仿宋_GB2312"/>
          <w:sz w:val="28"/>
          <w:szCs w:val="28"/>
        </w:rPr>
        <w:t>上四</w:t>
      </w:r>
      <w:r>
        <w:rPr>
          <w:rFonts w:ascii="仿宋_GB2312" w:eastAsia="仿宋_GB2312"/>
          <w:sz w:val="28"/>
          <w:szCs w:val="28"/>
        </w:rPr>
        <w:t>项基础上</w:t>
      </w:r>
      <w:r>
        <w:rPr>
          <w:rFonts w:hint="eastAsia" w:ascii="仿宋_GB2312" w:eastAsia="仿宋_GB2312"/>
          <w:sz w:val="28"/>
          <w:szCs w:val="28"/>
        </w:rPr>
        <w:t>，至少增加一项其他专业性较强的名词进行解释，没有专业性较强名词的,可对基本支出、项目支出、</w:t>
      </w:r>
      <w:r>
        <w:rPr>
          <w:rFonts w:ascii="仿宋_GB2312" w:eastAsia="仿宋_GB2312"/>
          <w:sz w:val="28"/>
          <w:szCs w:val="28"/>
        </w:rPr>
        <w:t>支出功能分类等进行解释</w:t>
      </w:r>
      <w:r>
        <w:rPr>
          <w:rFonts w:hint="eastAsia" w:ascii="仿宋_GB2312" w:eastAsia="仿宋_GB2312"/>
          <w:sz w:val="28"/>
          <w:szCs w:val="28"/>
        </w:rPr>
        <w:t>。）</w:t>
      </w: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32"/>
          <w:szCs w:val="32"/>
        </w:rPr>
        <w:t>第四部分  2020年度部门绩效评价情况</w:t>
      </w:r>
    </w:p>
    <w:p>
      <w:pPr>
        <w:ind w:firstLine="560" w:firstLineChars="200"/>
        <w:rPr>
          <w:rFonts w:ascii="仿宋_GB2312" w:eastAsia="仿宋_GB2312"/>
          <w:sz w:val="28"/>
          <w:szCs w:val="28"/>
        </w:rPr>
      </w:pPr>
      <w:r>
        <w:rPr>
          <w:rFonts w:hint="eastAsia" w:ascii="仿宋_GB2312" w:eastAsia="仿宋_GB2312"/>
          <w:sz w:val="28"/>
          <w:szCs w:val="28"/>
        </w:rPr>
        <w:t>（部门填写以下一、二、三部分，二级单位仅填写三）</w:t>
      </w:r>
    </w:p>
    <w:p>
      <w:pPr>
        <w:ind w:firstLine="560" w:firstLineChars="200"/>
        <w:rPr>
          <w:rFonts w:ascii="黑体" w:eastAsia="黑体"/>
          <w:sz w:val="28"/>
          <w:szCs w:val="28"/>
        </w:rPr>
      </w:pPr>
      <w:r>
        <w:rPr>
          <w:rFonts w:hint="eastAsia" w:ascii="黑体" w:eastAsia="黑体"/>
          <w:sz w:val="28"/>
          <w:szCs w:val="28"/>
        </w:rPr>
        <w:t>一、绩效评价工作开展情况</w:t>
      </w:r>
    </w:p>
    <w:p>
      <w:pPr>
        <w:ind w:firstLine="560" w:firstLineChars="200"/>
        <w:rPr>
          <w:rFonts w:ascii="黑体" w:eastAsia="黑体"/>
          <w:sz w:val="28"/>
          <w:szCs w:val="28"/>
        </w:rPr>
      </w:pPr>
      <w:r>
        <w:rPr>
          <w:rFonts w:hint="eastAsia" w:ascii="黑体" w:eastAsia="黑体"/>
          <w:sz w:val="28"/>
          <w:szCs w:val="28"/>
        </w:rPr>
        <w:t>二、项目绩效评价报告</w:t>
      </w:r>
    </w:p>
    <w:p>
      <w:pPr>
        <w:spacing w:line="360" w:lineRule="auto"/>
        <w:ind w:firstLine="560" w:firstLineChars="200"/>
        <w:outlineLvl w:val="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w:t>
      </w:r>
      <w:r>
        <w:rPr>
          <w:rFonts w:hint="eastAsia" w:ascii="黑体" w:eastAsia="黑体"/>
          <w:sz w:val="28"/>
          <w:szCs w:val="28"/>
        </w:rPr>
        <w:t>评表</w:t>
      </w:r>
    </w:p>
    <w:tbl>
      <w:tblPr>
        <w:tblStyle w:val="8"/>
        <w:tblW w:w="15329" w:type="dxa"/>
        <w:tblInd w:w="118" w:type="dxa"/>
        <w:tblLayout w:type="autofit"/>
        <w:tblCellMar>
          <w:top w:w="0" w:type="dxa"/>
          <w:left w:w="108" w:type="dxa"/>
          <w:bottom w:w="0" w:type="dxa"/>
          <w:right w:w="108" w:type="dxa"/>
        </w:tblCellMar>
      </w:tblPr>
      <w:tblGrid>
        <w:gridCol w:w="840"/>
        <w:gridCol w:w="794"/>
        <w:gridCol w:w="1665"/>
        <w:gridCol w:w="2131"/>
        <w:gridCol w:w="2340"/>
        <w:gridCol w:w="1600"/>
        <w:gridCol w:w="1400"/>
        <w:gridCol w:w="1080"/>
        <w:gridCol w:w="1080"/>
        <w:gridCol w:w="2399"/>
      </w:tblGrid>
      <w:tr>
        <w:tblPrEx>
          <w:tblCellMar>
            <w:top w:w="0" w:type="dxa"/>
            <w:left w:w="108" w:type="dxa"/>
            <w:bottom w:w="0" w:type="dxa"/>
            <w:right w:w="108" w:type="dxa"/>
          </w:tblCellMar>
        </w:tblPrEx>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203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部门运转聘用人员经费</w:t>
            </w:r>
          </w:p>
        </w:tc>
      </w:tr>
      <w:tr>
        <w:tblPrEx>
          <w:tblCellMar>
            <w:top w:w="0" w:type="dxa"/>
            <w:left w:w="108" w:type="dxa"/>
            <w:bottom w:w="0" w:type="dxa"/>
            <w:right w:w="108" w:type="dxa"/>
          </w:tblCellMar>
        </w:tblPrEx>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主管部门</w:t>
            </w:r>
          </w:p>
        </w:tc>
        <w:tc>
          <w:tcPr>
            <w:tcW w:w="447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北京市丰台区农业农村局</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实施单位</w:t>
            </w:r>
          </w:p>
        </w:tc>
        <w:tc>
          <w:tcPr>
            <w:tcW w:w="455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北京市丰台区农业农村局</w:t>
            </w:r>
          </w:p>
        </w:tc>
      </w:tr>
      <w:tr>
        <w:tblPrEx>
          <w:tblCellMar>
            <w:top w:w="0" w:type="dxa"/>
            <w:left w:w="108" w:type="dxa"/>
            <w:bottom w:w="0" w:type="dxa"/>
            <w:right w:w="108" w:type="dxa"/>
          </w:tblCellMar>
        </w:tblPrEx>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项目负责人</w:t>
            </w:r>
          </w:p>
        </w:tc>
        <w:tc>
          <w:tcPr>
            <w:tcW w:w="447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贾思禹</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455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17610773787</w:t>
            </w:r>
          </w:p>
        </w:tc>
      </w:tr>
      <w:tr>
        <w:tblPrEx>
          <w:tblCellMar>
            <w:top w:w="0" w:type="dxa"/>
            <w:left w:w="108" w:type="dxa"/>
            <w:bottom w:w="0" w:type="dxa"/>
            <w:right w:w="108" w:type="dxa"/>
          </w:tblCellMar>
        </w:tblPrEx>
        <w:trPr>
          <w:trHeight w:val="585" w:hRule="atLeast"/>
        </w:trPr>
        <w:tc>
          <w:tcPr>
            <w:tcW w:w="3299"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项目资金                    （万元）</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1294765" cy="314325"/>
                      <wp:effectExtent l="0" t="0" r="19685" b="28575"/>
                      <wp:wrapNone/>
                      <wp:docPr id="2" name="直接箭头连接符 2"/>
                      <wp:cNvGraphicFramePr/>
                      <a:graphic xmlns:a="http://schemas.openxmlformats.org/drawingml/2006/main">
                        <a:graphicData uri="http://schemas.microsoft.com/office/word/2010/wordprocessingShape">
                          <wps:wsp>
                            <wps:cNvCnPr/>
                            <wps:spPr>
                              <a:xfrm>
                                <a:off x="0" y="0"/>
                                <a:ext cx="1294765" cy="3143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pt;margin-top:2.25pt;height:24.75pt;width:101.95pt;z-index:251659264;mso-width-relative:page;mso-height-relative:page;" filled="f" stroked="t" coordsize="21600,21600" o:gfxdata="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ZLxjWAAAABgEAAA8AAAAAAAAAAQAgAAAAIgAAAGRycy9kb3ducmV2LnhtbFBLAQIUABQA&#10;AAAIAIdO4kDr8NHXuQEAADUDAAAOAAAAAAAAAAEAIAAAACUBAABkcnMvZTJvRG9jLnhtbFBLBQYA&#10;AAAABgAGAFkBAABQBQAAAAA=&#10;">
                      <v:fill on="f" focussize="0,0"/>
                      <v:stroke color="#000000" joinstyle="round"/>
                      <v:imagedata o:title=""/>
                      <o:lock v:ext="edit" aspectratio="f"/>
                    </v:shape>
                  </w:pict>
                </mc:Fallback>
              </mc:AlternateContent>
            </w:r>
          </w:p>
        </w:tc>
        <w:tc>
          <w:tcPr>
            <w:tcW w:w="23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全年执行数（B）</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执行率（B/A)</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trHeight w:val="40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年度资金总额：</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85"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其中:当年财政</w:t>
            </w:r>
            <w:r>
              <w:rPr>
                <w:rFonts w:hint="eastAsia" w:ascii="宋体" w:hAnsi="宋体" w:cs="宋体"/>
                <w:color w:val="000000"/>
                <w:kern w:val="0"/>
                <w:sz w:val="24"/>
              </w:rPr>
              <w:br w:type="textWrapping"/>
            </w:r>
            <w:r>
              <w:rPr>
                <w:rFonts w:hint="eastAsia" w:ascii="宋体" w:hAnsi="宋体" w:cs="宋体"/>
                <w:color w:val="000000"/>
                <w:kern w:val="0"/>
                <w:sz w:val="24"/>
              </w:rPr>
              <w:t>拨款</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0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上年结转资金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8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其他资金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20" w:hRule="atLeast"/>
        </w:trPr>
        <w:tc>
          <w:tcPr>
            <w:tcW w:w="48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w:t>
            </w:r>
          </w:p>
        </w:tc>
        <w:tc>
          <w:tcPr>
            <w:tcW w:w="72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755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实际完成情况</w:t>
            </w:r>
          </w:p>
        </w:tc>
      </w:tr>
      <w:tr>
        <w:tblPrEx>
          <w:tblCellMar>
            <w:top w:w="0" w:type="dxa"/>
            <w:left w:w="108" w:type="dxa"/>
            <w:bottom w:w="0" w:type="dxa"/>
            <w:right w:w="108" w:type="dxa"/>
          </w:tblCellMar>
        </w:tblPrEx>
        <w:trPr>
          <w:trHeight w:val="286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72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丰台区农业技术推广站是全额拨款事业单位，单位职责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单位各项工作，保障各项工作顺利开展，为职工就餐考虑，做好后勤保障。单位需聘用食堂工作人员1名。基本工资每月4251元，即需资金51012元。</w:t>
            </w:r>
          </w:p>
        </w:tc>
        <w:tc>
          <w:tcPr>
            <w:tcW w:w="7559"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丰台区农业技术推广站是全额拨款事业单位，单位职责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单位各项工作，保障各项工作顺利开展，为职工就餐考虑，做好后勤保障。单位需聘用食堂工作人员1名。基本工资每月4251元，即需资金51012元。</w:t>
            </w:r>
          </w:p>
        </w:tc>
      </w:tr>
      <w:tr>
        <w:tblPrEx>
          <w:tblCellMar>
            <w:top w:w="0" w:type="dxa"/>
            <w:left w:w="108" w:type="dxa"/>
            <w:bottom w:w="0" w:type="dxa"/>
            <w:right w:w="108" w:type="dxa"/>
          </w:tblCellMar>
        </w:tblPrEx>
        <w:trPr>
          <w:trHeight w:val="585" w:hRule="atLeast"/>
        </w:trPr>
        <w:tc>
          <w:tcPr>
            <w:tcW w:w="48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绩效指标</w:t>
            </w:r>
          </w:p>
        </w:tc>
        <w:tc>
          <w:tcPr>
            <w:tcW w:w="114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偏差原因分析及改进措施</w:t>
            </w: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产出指标(50分)</w:t>
            </w: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聘用食堂工作人员</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1名</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1名</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按时发放率</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时效指标</w:t>
            </w:r>
          </w:p>
        </w:tc>
        <w:tc>
          <w:tcPr>
            <w:tcW w:w="2131" w:type="dxa"/>
            <w:tcBorders>
              <w:top w:val="nil"/>
              <w:left w:val="nil"/>
              <w:bottom w:val="nil"/>
              <w:right w:val="nil"/>
            </w:tcBorders>
            <w:shd w:val="clear" w:color="auto" w:fill="auto"/>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项目12月底全部支付完成</w:t>
            </w:r>
          </w:p>
        </w:tc>
        <w:tc>
          <w:tcPr>
            <w:tcW w:w="2340" w:type="dxa"/>
            <w:tcBorders>
              <w:top w:val="nil"/>
              <w:left w:val="nil"/>
              <w:bottom w:val="nil"/>
              <w:right w:val="nil"/>
            </w:tcBorders>
            <w:shd w:val="clear" w:color="auto" w:fill="auto"/>
            <w:noWrap/>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5.1万元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效果指标(30分)</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质量得到职工好评</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质量得到职工好评</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好评率达100%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239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效果资料量化程度有待加强</w:t>
            </w: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可持续影响指标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106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员工满意度</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暂未开展满意度调查</w:t>
            </w:r>
          </w:p>
        </w:tc>
      </w:tr>
      <w:tr>
        <w:tblPrEx>
          <w:tblCellMar>
            <w:top w:w="0" w:type="dxa"/>
            <w:left w:w="108" w:type="dxa"/>
            <w:bottom w:w="0" w:type="dxa"/>
            <w:right w:w="108" w:type="dxa"/>
          </w:tblCellMar>
        </w:tblPrEx>
        <w:trPr>
          <w:trHeight w:val="300" w:hRule="atLeast"/>
        </w:trPr>
        <w:tc>
          <w:tcPr>
            <w:tcW w:w="1077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总分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96</w:t>
            </w:r>
          </w:p>
        </w:tc>
        <w:tc>
          <w:tcPr>
            <w:tcW w:w="239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p>
        </w:tc>
      </w:tr>
    </w:tbl>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hint="eastAsia" w:ascii="仿宋_GB2312" w:hAnsi="黑体" w:eastAsia="仿宋_GB2312"/>
          <w:sz w:val="28"/>
          <w:szCs w:val="28"/>
        </w:rPr>
      </w:pPr>
    </w:p>
    <w:tbl>
      <w:tblPr>
        <w:tblStyle w:val="8"/>
        <w:tblW w:w="14088" w:type="dxa"/>
        <w:tblInd w:w="118" w:type="dxa"/>
        <w:tblLayout w:type="autofit"/>
        <w:tblCellMar>
          <w:top w:w="0" w:type="dxa"/>
          <w:left w:w="108" w:type="dxa"/>
          <w:bottom w:w="0" w:type="dxa"/>
          <w:right w:w="108" w:type="dxa"/>
        </w:tblCellMar>
      </w:tblPr>
      <w:tblGrid>
        <w:gridCol w:w="840"/>
        <w:gridCol w:w="700"/>
        <w:gridCol w:w="1445"/>
        <w:gridCol w:w="2730"/>
        <w:gridCol w:w="2670"/>
        <w:gridCol w:w="1361"/>
        <w:gridCol w:w="1400"/>
        <w:gridCol w:w="947"/>
        <w:gridCol w:w="1080"/>
        <w:gridCol w:w="915"/>
      </w:tblGrid>
      <w:tr>
        <w:tblPrEx>
          <w:tblCellMar>
            <w:top w:w="0" w:type="dxa"/>
            <w:left w:w="108" w:type="dxa"/>
            <w:bottom w:w="0" w:type="dxa"/>
            <w:right w:w="108" w:type="dxa"/>
          </w:tblCellMar>
        </w:tblPrEx>
        <w:trPr>
          <w:trHeight w:val="400" w:hRule="atLeast"/>
        </w:trPr>
        <w:tc>
          <w:tcPr>
            <w:tcW w:w="298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1103"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关于废旧地膜回收置换经费项目</w:t>
            </w:r>
          </w:p>
        </w:tc>
      </w:tr>
      <w:tr>
        <w:tblPrEx>
          <w:tblCellMar>
            <w:top w:w="0" w:type="dxa"/>
            <w:left w:w="108" w:type="dxa"/>
            <w:bottom w:w="0" w:type="dxa"/>
            <w:right w:w="108" w:type="dxa"/>
          </w:tblCellMar>
        </w:tblPrEx>
        <w:trPr>
          <w:trHeight w:val="400" w:hRule="atLeast"/>
        </w:trPr>
        <w:tc>
          <w:tcPr>
            <w:tcW w:w="298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主管部门</w:t>
            </w:r>
          </w:p>
        </w:tc>
        <w:tc>
          <w:tcPr>
            <w:tcW w:w="54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北京市丰台区农业农村局</w:t>
            </w: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实施单位</w:t>
            </w:r>
          </w:p>
        </w:tc>
        <w:tc>
          <w:tcPr>
            <w:tcW w:w="294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北京市丰台区农业农村局</w:t>
            </w:r>
          </w:p>
        </w:tc>
      </w:tr>
      <w:tr>
        <w:trPr>
          <w:trHeight w:val="400" w:hRule="atLeast"/>
        </w:trPr>
        <w:tc>
          <w:tcPr>
            <w:tcW w:w="2985"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项目负责人</w:t>
            </w:r>
          </w:p>
        </w:tc>
        <w:tc>
          <w:tcPr>
            <w:tcW w:w="54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王书河</w:t>
            </w: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2942"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13911272776</w:t>
            </w:r>
          </w:p>
        </w:tc>
      </w:tr>
      <w:tr>
        <w:trPr>
          <w:trHeight w:val="585" w:hRule="atLeast"/>
        </w:trPr>
        <w:tc>
          <w:tcPr>
            <w:tcW w:w="2985"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项目资金                    （万元）</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28575</wp:posOffset>
                      </wp:positionV>
                      <wp:extent cx="1294765" cy="314325"/>
                      <wp:effectExtent l="0" t="0" r="19685" b="28575"/>
                      <wp:wrapNone/>
                      <wp:docPr id="3" name="直接箭头连接符 3"/>
                      <wp:cNvGraphicFramePr/>
                      <a:graphic xmlns:a="http://schemas.openxmlformats.org/drawingml/2006/main">
                        <a:graphicData uri="http://schemas.microsoft.com/office/word/2010/wordprocessingShape">
                          <wps:wsp>
                            <wps:cNvCnPr/>
                            <wps:spPr>
                              <a:xfrm>
                                <a:off x="0" y="0"/>
                                <a:ext cx="1294765" cy="3143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pt;margin-top:2.25pt;height:24.75pt;width:101.95pt;z-index:251661312;mso-width-relative:page;mso-height-relative:page;" filled="f" stroked="t" coordsize="21600,21600" o:gfxdata="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ZLxjWAAAABgEAAA8AAAAAAAAAAQAgAAAAIgAAAGRycy9kb3ducmV2LnhtbFBLAQIUABQA&#10;AAAIAIdO4kBYkSkIuQEAADUDAAAOAAAAAAAAAAEAIAAAACUBAABkcnMvZTJvRG9jLnhtbFBLBQYA&#10;AAAABgAGAFkBAABQBQAAAAA=&#10;">
                      <v:fill on="f" focussize="0,0"/>
                      <v:stroke color="#000000" joinstyle="round"/>
                      <v:imagedata o:title=""/>
                      <o:lock v:ext="edit" aspectratio="f"/>
                    </v:shape>
                  </w:pict>
                </mc:Fallback>
              </mc:AlternateContent>
            </w:r>
          </w:p>
        </w:tc>
        <w:tc>
          <w:tcPr>
            <w:tcW w:w="26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年初预算数</w:t>
            </w:r>
          </w:p>
        </w:tc>
        <w:tc>
          <w:tcPr>
            <w:tcW w:w="13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全年执行数（B）</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执行率（B/A)</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r>
      <w:tr>
        <w:trPr>
          <w:trHeight w:val="400" w:hRule="atLeast"/>
        </w:trPr>
        <w:tc>
          <w:tcPr>
            <w:tcW w:w="2985"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年度资金总额：</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4.769</w:t>
            </w:r>
          </w:p>
        </w:tc>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48%</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4.8</w:t>
            </w:r>
          </w:p>
        </w:tc>
      </w:tr>
      <w:tr>
        <w:trPr>
          <w:trHeight w:val="585" w:hRule="atLeast"/>
        </w:trPr>
        <w:tc>
          <w:tcPr>
            <w:tcW w:w="2985"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其中:当年财政</w:t>
            </w:r>
            <w:r>
              <w:rPr>
                <w:rFonts w:hint="eastAsia" w:ascii="宋体" w:hAnsi="宋体" w:cs="宋体"/>
                <w:color w:val="000000"/>
                <w:kern w:val="0"/>
                <w:sz w:val="24"/>
              </w:rPr>
              <w:br w:type="textWrapping"/>
            </w:r>
            <w:r>
              <w:rPr>
                <w:rFonts w:hint="eastAsia" w:ascii="宋体" w:hAnsi="宋体" w:cs="宋体"/>
                <w:color w:val="000000"/>
                <w:kern w:val="0"/>
                <w:sz w:val="24"/>
              </w:rPr>
              <w:t>拨款</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4.769</w:t>
            </w:r>
          </w:p>
        </w:tc>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rPr>
          <w:trHeight w:val="500" w:hRule="atLeast"/>
        </w:trPr>
        <w:tc>
          <w:tcPr>
            <w:tcW w:w="2985"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上年结转资金</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rPr>
          <w:trHeight w:val="380" w:hRule="atLeast"/>
        </w:trPr>
        <w:tc>
          <w:tcPr>
            <w:tcW w:w="2985"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其他资金</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3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rPr>
          <w:trHeight w:val="520" w:hRule="atLeast"/>
        </w:trPr>
        <w:tc>
          <w:tcPr>
            <w:tcW w:w="464"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w:t>
            </w:r>
          </w:p>
        </w:tc>
        <w:tc>
          <w:tcPr>
            <w:tcW w:w="792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570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实际完成情况</w:t>
            </w:r>
          </w:p>
        </w:tc>
      </w:tr>
      <w:tr>
        <w:trPr>
          <w:trHeight w:val="150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7921"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2020年在全区开展废旧地膜回收工作，加大推广使用易于回收的国标0.014mm规格的地膜，促进废旧地膜的回收和再生利用，有效防治农业面源污染，计划完成废旧地膜回收置换3440kg。</w:t>
            </w:r>
          </w:p>
        </w:tc>
        <w:tc>
          <w:tcPr>
            <w:tcW w:w="5703"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认真引导园区开展废旧地膜回收工作，专人负责专人回收，采取废旧地膜回收工作，按照1：1的置换比例换取新地膜。按时完成完成废旧地膜回收置换3440kg。</w:t>
            </w:r>
          </w:p>
        </w:tc>
      </w:tr>
      <w:tr>
        <w:trPr>
          <w:trHeight w:val="585" w:hRule="atLeast"/>
        </w:trPr>
        <w:tc>
          <w:tcPr>
            <w:tcW w:w="464"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绩效指标</w:t>
            </w:r>
          </w:p>
        </w:tc>
        <w:tc>
          <w:tcPr>
            <w:tcW w:w="10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4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年度指标值(A)</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实际完成值(B)</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偏差原因分析及改进措施</w:t>
            </w:r>
          </w:p>
        </w:tc>
      </w:tr>
      <w:tr>
        <w:trPr>
          <w:trHeight w:val="66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产出指标(50分)</w:t>
            </w:r>
          </w:p>
        </w:tc>
        <w:tc>
          <w:tcPr>
            <w:tcW w:w="14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回收新地膜数量</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回收新地膜数量≥3000kg</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回收新地膜数量3440kg</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r>
      <w:tr>
        <w:trPr>
          <w:trHeight w:val="48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发放新地膜数量达到100%</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48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时效指标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项目预计12月底完成</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12月底前完成</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48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预算控制数</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4.769万元</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4.769万元</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585"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效果指标(30分)</w:t>
            </w:r>
          </w:p>
        </w:tc>
        <w:tc>
          <w:tcPr>
            <w:tcW w:w="14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rPr>
          <w:trHeight w:val="585"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节省农业园区生产成本</w:t>
            </w:r>
          </w:p>
        </w:tc>
        <w:tc>
          <w:tcPr>
            <w:tcW w:w="26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节省农业园区生产成本</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节省园区购买新地膜费用，节省生产成本</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585"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生态效益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减少废旧地膜回土填埋等造成污染　</w:t>
            </w:r>
          </w:p>
        </w:tc>
        <w:tc>
          <w:tcPr>
            <w:tcW w:w="26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减少废旧地膜回土填埋等造成污染　</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有效减少废旧地膜回土填埋等造成污染　</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效果资料量化程度有待加强</w:t>
            </w:r>
          </w:p>
        </w:tc>
      </w:tr>
      <w:tr>
        <w:trPr>
          <w:trHeight w:val="585"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可持续影响指标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废旧地膜的回收和再利用</w:t>
            </w:r>
          </w:p>
        </w:tc>
        <w:tc>
          <w:tcPr>
            <w:tcW w:w="26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有效促进废旧地膜回收利用</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有效促进废旧地膜回收利用</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1060" w:hRule="atLeast"/>
        </w:trPr>
        <w:tc>
          <w:tcPr>
            <w:tcW w:w="464"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7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14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273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开展服务对象满意度调查</w:t>
            </w:r>
          </w:p>
        </w:tc>
        <w:tc>
          <w:tcPr>
            <w:tcW w:w="26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≥80%</w:t>
            </w:r>
          </w:p>
        </w:tc>
        <w:tc>
          <w:tcPr>
            <w:tcW w:w="276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≥80%</w:t>
            </w:r>
          </w:p>
        </w:tc>
        <w:tc>
          <w:tcPr>
            <w:tcW w:w="94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r>
      <w:tr>
        <w:trPr>
          <w:trHeight w:val="300" w:hRule="atLeast"/>
        </w:trPr>
        <w:tc>
          <w:tcPr>
            <w:tcW w:w="11146"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总分</w:t>
            </w:r>
          </w:p>
        </w:tc>
        <w:tc>
          <w:tcPr>
            <w:tcW w:w="94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93.8</w:t>
            </w:r>
          </w:p>
        </w:tc>
        <w:tc>
          <w:tcPr>
            <w:tcW w:w="9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p>
        </w:tc>
      </w:tr>
    </w:tbl>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hint="eastAsia" w:ascii="仿宋_GB2312" w:hAnsi="黑体" w:eastAsia="仿宋_GB2312"/>
          <w:sz w:val="28"/>
          <w:szCs w:val="28"/>
        </w:rPr>
      </w:pPr>
    </w:p>
    <w:tbl>
      <w:tblPr>
        <w:tblStyle w:val="8"/>
        <w:tblW w:w="15461" w:type="dxa"/>
        <w:tblInd w:w="118" w:type="dxa"/>
        <w:tblLayout w:type="autofit"/>
        <w:tblCellMar>
          <w:top w:w="0" w:type="dxa"/>
          <w:left w:w="108" w:type="dxa"/>
          <w:bottom w:w="0" w:type="dxa"/>
          <w:right w:w="108" w:type="dxa"/>
        </w:tblCellMar>
      </w:tblPr>
      <w:tblGrid>
        <w:gridCol w:w="840"/>
        <w:gridCol w:w="794"/>
        <w:gridCol w:w="1665"/>
        <w:gridCol w:w="2131"/>
        <w:gridCol w:w="2340"/>
        <w:gridCol w:w="1600"/>
        <w:gridCol w:w="1400"/>
        <w:gridCol w:w="1080"/>
        <w:gridCol w:w="1080"/>
        <w:gridCol w:w="2531"/>
      </w:tblGrid>
      <w:tr>
        <w:tblPrEx>
          <w:tblCellMar>
            <w:top w:w="0" w:type="dxa"/>
            <w:left w:w="108" w:type="dxa"/>
            <w:bottom w:w="0" w:type="dxa"/>
            <w:right w:w="108" w:type="dxa"/>
          </w:tblCellMar>
        </w:tblPrEx>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2162"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机构运转经费</w:t>
            </w:r>
          </w:p>
        </w:tc>
      </w:tr>
      <w:tr>
        <w:tblPrEx>
          <w:tblCellMar>
            <w:top w:w="0" w:type="dxa"/>
            <w:left w:w="108" w:type="dxa"/>
            <w:bottom w:w="0" w:type="dxa"/>
            <w:right w:w="108" w:type="dxa"/>
          </w:tblCellMar>
        </w:tblPrEx>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主管部门</w:t>
            </w:r>
          </w:p>
        </w:tc>
        <w:tc>
          <w:tcPr>
            <w:tcW w:w="447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北京市丰台区农业农村局</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实施单位</w:t>
            </w:r>
          </w:p>
        </w:tc>
        <w:tc>
          <w:tcPr>
            <w:tcW w:w="469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hint="eastAsia" w:ascii="宋体" w:hAnsi="宋体" w:cs="宋体"/>
                <w:color w:val="000000"/>
                <w:kern w:val="0"/>
                <w:sz w:val="24"/>
              </w:rPr>
            </w:pPr>
            <w:r>
              <w:rPr>
                <w:rFonts w:hint="eastAsia" w:ascii="宋体" w:hAnsi="宋体" w:cs="宋体"/>
                <w:color w:val="000000"/>
                <w:kern w:val="0"/>
                <w:sz w:val="24"/>
              </w:rPr>
              <w:t>北京市丰台区农业农村局</w:t>
            </w:r>
          </w:p>
        </w:tc>
      </w:tr>
      <w:tr>
        <w:trPr>
          <w:trHeight w:val="400" w:hRule="atLeast"/>
        </w:trPr>
        <w:tc>
          <w:tcPr>
            <w:tcW w:w="3299"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项目负责人</w:t>
            </w:r>
          </w:p>
        </w:tc>
        <w:tc>
          <w:tcPr>
            <w:tcW w:w="4471"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贾思禹</w:t>
            </w:r>
          </w:p>
        </w:tc>
        <w:tc>
          <w:tcPr>
            <w:tcW w:w="1600" w:type="dxa"/>
            <w:tcBorders>
              <w:top w:val="single" w:color="000000" w:sz="8" w:space="0"/>
              <w:left w:val="single" w:color="000000" w:sz="8" w:space="0"/>
              <w:bottom w:val="nil"/>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140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4691"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hint="eastAsia" w:ascii="宋体" w:hAnsi="宋体" w:cs="宋体"/>
                <w:color w:val="000000"/>
                <w:kern w:val="0"/>
                <w:sz w:val="24"/>
              </w:rPr>
            </w:pPr>
            <w:r>
              <w:rPr>
                <w:rFonts w:hint="eastAsia" w:ascii="宋体" w:hAnsi="宋体" w:cs="宋体"/>
                <w:color w:val="000000"/>
                <w:kern w:val="0"/>
                <w:sz w:val="24"/>
              </w:rPr>
              <w:t>17610773787</w:t>
            </w:r>
          </w:p>
        </w:tc>
      </w:tr>
      <w:tr>
        <w:tblPrEx>
          <w:tblCellMar>
            <w:top w:w="0" w:type="dxa"/>
            <w:left w:w="108" w:type="dxa"/>
            <w:bottom w:w="0" w:type="dxa"/>
            <w:right w:w="108" w:type="dxa"/>
          </w:tblCellMar>
        </w:tblPrEx>
        <w:trPr>
          <w:trHeight w:val="585" w:hRule="atLeast"/>
        </w:trPr>
        <w:tc>
          <w:tcPr>
            <w:tcW w:w="3299"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项目资金                    （万元）</w:t>
            </w:r>
          </w:p>
        </w:tc>
        <w:tc>
          <w:tcPr>
            <w:tcW w:w="2131" w:type="dxa"/>
            <w:tcBorders>
              <w:top w:val="single" w:color="000000" w:sz="8" w:space="0"/>
              <w:left w:val="single" w:color="000000" w:sz="8" w:space="0"/>
              <w:bottom w:val="single" w:color="000000" w:sz="8" w:space="0"/>
              <w:right w:val="nil"/>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28575</wp:posOffset>
                      </wp:positionV>
                      <wp:extent cx="1294765" cy="314325"/>
                      <wp:effectExtent l="0" t="0" r="19685" b="28575"/>
                      <wp:wrapNone/>
                      <wp:docPr id="4" name="直接箭头连接符 4"/>
                      <wp:cNvGraphicFramePr/>
                      <a:graphic xmlns:a="http://schemas.openxmlformats.org/drawingml/2006/main">
                        <a:graphicData uri="http://schemas.microsoft.com/office/word/2010/wordprocessingShape">
                          <wps:wsp>
                            <wps:cNvCnPr/>
                            <wps:spPr>
                              <a:xfrm>
                                <a:off x="0" y="0"/>
                                <a:ext cx="1294765" cy="3143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pt;margin-top:2.25pt;height:24.75pt;width:101.95pt;z-index:251663360;mso-width-relative:page;mso-height-relative:page;" filled="f" stroked="t" coordsize="21600,21600" o:gfxdata="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ZLxjWAAAABgEAAA8AAAAAAAAAAQAgAAAAIgAAAGRycy9kb3ducmV2LnhtbFBLAQIUABQA&#10;AAAIAIdO4kCCv1N6uQEAADUDAAAOAAAAAAAAAAEAIAAAACUBAABkcnMvZTJvRG9jLnhtbFBLBQYA&#10;AAAABgAGAFkBAABQBQAAAAA=&#10;">
                      <v:fill on="f" focussize="0,0"/>
                      <v:stroke color="#000000" joinstyle="round"/>
                      <v:imagedata o:title=""/>
                      <o:lock v:ext="edit" aspectratio="f"/>
                    </v:shape>
                  </w:pict>
                </mc:Fallback>
              </mc:AlternateContent>
            </w:r>
          </w:p>
        </w:tc>
        <w:tc>
          <w:tcPr>
            <w:tcW w:w="23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全年执行数（B）</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分值（10分）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执行率（B/A)</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trHeight w:val="40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nil"/>
            </w:tcBorders>
            <w:shd w:val="clear" w:color="auto" w:fill="auto"/>
            <w:noWrap/>
            <w:vAlign w:val="center"/>
          </w:tcPr>
          <w:p>
            <w:pPr>
              <w:widowControl/>
              <w:rPr>
                <w:rFonts w:hint="eastAsia" w:ascii="宋体" w:hAnsi="宋体" w:cs="宋体"/>
                <w:color w:val="000000"/>
                <w:kern w:val="0"/>
                <w:sz w:val="24"/>
              </w:rPr>
            </w:pPr>
            <w:r>
              <w:rPr>
                <w:rFonts w:hint="eastAsia" w:ascii="宋体" w:hAnsi="宋体" w:cs="宋体"/>
                <w:color w:val="000000"/>
                <w:kern w:val="0"/>
                <w:sz w:val="24"/>
              </w:rPr>
              <w:t>年度资金总额：</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85"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nil"/>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其中:当年财政</w:t>
            </w:r>
            <w:r>
              <w:rPr>
                <w:rFonts w:hint="eastAsia" w:ascii="宋体" w:hAnsi="宋体" w:cs="宋体"/>
                <w:color w:val="000000"/>
                <w:kern w:val="0"/>
                <w:sz w:val="24"/>
              </w:rPr>
              <w:br w:type="textWrapping"/>
            </w:r>
            <w:r>
              <w:rPr>
                <w:rFonts w:hint="eastAsia" w:ascii="宋体" w:hAnsi="宋体" w:cs="宋体"/>
                <w:color w:val="000000"/>
                <w:kern w:val="0"/>
                <w:sz w:val="24"/>
              </w:rPr>
              <w:t>拨款</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0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上年结转资金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rPr>
          <w:trHeight w:val="380" w:hRule="atLeast"/>
        </w:trPr>
        <w:tc>
          <w:tcPr>
            <w:tcW w:w="3299"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其他资金</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1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4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20" w:hRule="atLeast"/>
        </w:trPr>
        <w:tc>
          <w:tcPr>
            <w:tcW w:w="48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w:t>
            </w:r>
          </w:p>
        </w:tc>
        <w:tc>
          <w:tcPr>
            <w:tcW w:w="72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769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实际完成情况</w:t>
            </w:r>
          </w:p>
        </w:tc>
      </w:tr>
      <w:tr>
        <w:tblPrEx>
          <w:tblCellMar>
            <w:top w:w="0" w:type="dxa"/>
            <w:left w:w="108" w:type="dxa"/>
            <w:bottom w:w="0" w:type="dxa"/>
            <w:right w:w="108" w:type="dxa"/>
          </w:tblCellMar>
        </w:tblPrEx>
        <w:trPr>
          <w:trHeight w:val="286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7284"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单位是全额拨款事业单位，现职工8人，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提高单位工作效率。单位给予职工提供午餐，按每天每人10元计算，需资金31700元。</w:t>
            </w:r>
          </w:p>
        </w:tc>
        <w:tc>
          <w:tcPr>
            <w:tcW w:w="7691"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本单位是全额拨款事业单位，现职工8人，肩负着丰台区推广科学施肥，防止农用地污染，建立耕地质量定期监测；测土配方施肥技术试验、示范、推广；发展节水型农业、土壤墒情定期监测；农业新技术培训；农业新品种、新技术的试验、示范、推广等。业务量比较大，工作任务繁重。为了更好完成提高单位工作效率。单位给予职工提供午餐，按每天每人10元计算，需资金31700元。</w:t>
            </w:r>
          </w:p>
        </w:tc>
      </w:tr>
      <w:tr>
        <w:trPr>
          <w:trHeight w:val="585" w:hRule="atLeast"/>
        </w:trPr>
        <w:tc>
          <w:tcPr>
            <w:tcW w:w="48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绩效指标</w:t>
            </w:r>
          </w:p>
        </w:tc>
        <w:tc>
          <w:tcPr>
            <w:tcW w:w="114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实际完成值(B)</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偏差原因分析及改进措施</w:t>
            </w: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产出指标(50分)</w:t>
            </w: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职工</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8人</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8人</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21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发放率100%</w:t>
            </w:r>
          </w:p>
        </w:tc>
        <w:tc>
          <w:tcPr>
            <w:tcW w:w="23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时效指标</w:t>
            </w:r>
          </w:p>
        </w:tc>
        <w:tc>
          <w:tcPr>
            <w:tcW w:w="2131" w:type="dxa"/>
            <w:tcBorders>
              <w:top w:val="nil"/>
              <w:left w:val="nil"/>
              <w:bottom w:val="nil"/>
              <w:right w:val="nil"/>
            </w:tcBorders>
            <w:shd w:val="clear" w:color="auto" w:fill="auto"/>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项目预计完成时间11月底</w:t>
            </w:r>
          </w:p>
        </w:tc>
        <w:tc>
          <w:tcPr>
            <w:tcW w:w="2340" w:type="dxa"/>
            <w:tcBorders>
              <w:top w:val="nil"/>
              <w:left w:val="nil"/>
              <w:bottom w:val="nil"/>
              <w:right w:val="nil"/>
            </w:tcBorders>
            <w:shd w:val="clear" w:color="auto" w:fill="auto"/>
            <w:noWrap/>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11月底</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11月底</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3.17万元</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效果指标(30分)</w:t>
            </w:r>
          </w:p>
        </w:tc>
        <w:tc>
          <w:tcPr>
            <w:tcW w:w="166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无</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 xml:space="preserve">      无</w:t>
            </w:r>
          </w:p>
        </w:tc>
        <w:tc>
          <w:tcPr>
            <w:tcW w:w="3000"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质量得到职工好评</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质量得到职工好评</w:t>
            </w:r>
          </w:p>
        </w:tc>
        <w:tc>
          <w:tcPr>
            <w:tcW w:w="3000"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质量得到职工好评</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25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效果资料量化程度有待加强</w:t>
            </w: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000"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66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可持续影响指标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000"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rPr>
          <w:trHeight w:val="1060" w:hRule="atLeast"/>
        </w:trPr>
        <w:tc>
          <w:tcPr>
            <w:tcW w:w="48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14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166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2131"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员工满意度</w:t>
            </w:r>
          </w:p>
        </w:tc>
        <w:tc>
          <w:tcPr>
            <w:tcW w:w="234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暂未开展满意度调查</w:t>
            </w:r>
          </w:p>
        </w:tc>
      </w:tr>
      <w:tr>
        <w:tblPrEx>
          <w:tblCellMar>
            <w:top w:w="0" w:type="dxa"/>
            <w:left w:w="108" w:type="dxa"/>
            <w:bottom w:w="0" w:type="dxa"/>
            <w:right w:w="108" w:type="dxa"/>
          </w:tblCellMar>
        </w:tblPrEx>
        <w:trPr>
          <w:trHeight w:val="300" w:hRule="atLeast"/>
        </w:trPr>
        <w:tc>
          <w:tcPr>
            <w:tcW w:w="10770"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总分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100</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96</w:t>
            </w:r>
          </w:p>
        </w:tc>
        <w:tc>
          <w:tcPr>
            <w:tcW w:w="253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p>
        </w:tc>
      </w:tr>
    </w:tbl>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ascii="仿宋_GB2312" w:hAnsi="黑体" w:eastAsia="仿宋_GB2312"/>
          <w:sz w:val="28"/>
          <w:szCs w:val="28"/>
        </w:rPr>
      </w:pPr>
    </w:p>
    <w:p>
      <w:pPr>
        <w:spacing w:line="360" w:lineRule="auto"/>
        <w:ind w:firstLine="560" w:firstLineChars="200"/>
        <w:outlineLvl w:val="0"/>
        <w:rPr>
          <w:rFonts w:hint="eastAsia" w:ascii="仿宋_GB2312" w:hAnsi="黑体" w:eastAsia="仿宋_GB2312"/>
          <w:sz w:val="28"/>
          <w:szCs w:val="28"/>
        </w:rPr>
      </w:pPr>
    </w:p>
    <w:tbl>
      <w:tblPr>
        <w:tblStyle w:val="8"/>
        <w:tblW w:w="14600" w:type="dxa"/>
        <w:tblInd w:w="118" w:type="dxa"/>
        <w:tblLayout w:type="autofit"/>
        <w:tblCellMar>
          <w:top w:w="0" w:type="dxa"/>
          <w:left w:w="108" w:type="dxa"/>
          <w:bottom w:w="0" w:type="dxa"/>
          <w:right w:w="108" w:type="dxa"/>
        </w:tblCellMar>
      </w:tblPr>
      <w:tblGrid>
        <w:gridCol w:w="820"/>
        <w:gridCol w:w="682"/>
        <w:gridCol w:w="1389"/>
        <w:gridCol w:w="3062"/>
        <w:gridCol w:w="3062"/>
        <w:gridCol w:w="914"/>
        <w:gridCol w:w="1013"/>
        <w:gridCol w:w="682"/>
        <w:gridCol w:w="914"/>
        <w:gridCol w:w="2130"/>
      </w:tblGrid>
      <w:tr>
        <w:tblPrEx>
          <w:tblCellMar>
            <w:top w:w="0" w:type="dxa"/>
            <w:left w:w="108" w:type="dxa"/>
            <w:bottom w:w="0" w:type="dxa"/>
            <w:right w:w="108" w:type="dxa"/>
          </w:tblCellMar>
        </w:tblPrEx>
        <w:trPr>
          <w:trHeight w:val="400" w:hRule="atLeast"/>
        </w:trPr>
        <w:tc>
          <w:tcPr>
            <w:tcW w:w="294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项目名称</w:t>
            </w:r>
          </w:p>
        </w:tc>
        <w:tc>
          <w:tcPr>
            <w:tcW w:w="11658"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网络建设服务费</w:t>
            </w:r>
          </w:p>
        </w:tc>
      </w:tr>
      <w:tr>
        <w:tblPrEx>
          <w:tblCellMar>
            <w:top w:w="0" w:type="dxa"/>
            <w:left w:w="108" w:type="dxa"/>
            <w:bottom w:w="0" w:type="dxa"/>
            <w:right w:w="108" w:type="dxa"/>
          </w:tblCellMar>
        </w:tblPrEx>
        <w:trPr>
          <w:trHeight w:val="400" w:hRule="atLeast"/>
        </w:trPr>
        <w:tc>
          <w:tcPr>
            <w:tcW w:w="294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主管部门</w:t>
            </w:r>
          </w:p>
        </w:tc>
        <w:tc>
          <w:tcPr>
            <w:tcW w:w="63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北京市丰台区农业农村局</w:t>
            </w:r>
          </w:p>
        </w:tc>
        <w:tc>
          <w:tcPr>
            <w:tcW w:w="8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10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实施单位</w:t>
            </w:r>
          </w:p>
        </w:tc>
        <w:tc>
          <w:tcPr>
            <w:tcW w:w="350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hint="eastAsia" w:ascii="宋体" w:hAnsi="宋体" w:cs="宋体"/>
                <w:color w:val="000000"/>
                <w:kern w:val="0"/>
                <w:sz w:val="24"/>
              </w:rPr>
            </w:pPr>
            <w:r>
              <w:rPr>
                <w:rFonts w:hint="eastAsia" w:ascii="宋体" w:hAnsi="宋体" w:cs="宋体"/>
                <w:color w:val="000000"/>
                <w:kern w:val="0"/>
                <w:sz w:val="24"/>
              </w:rPr>
              <w:t>北京市丰台区农业农村局</w:t>
            </w:r>
          </w:p>
        </w:tc>
      </w:tr>
      <w:tr>
        <w:tblPrEx>
          <w:tblCellMar>
            <w:top w:w="0" w:type="dxa"/>
            <w:left w:w="108" w:type="dxa"/>
            <w:bottom w:w="0" w:type="dxa"/>
            <w:right w:w="108" w:type="dxa"/>
          </w:tblCellMar>
        </w:tblPrEx>
        <w:trPr>
          <w:trHeight w:val="400" w:hRule="atLeast"/>
        </w:trPr>
        <w:tc>
          <w:tcPr>
            <w:tcW w:w="2942" w:type="dxa"/>
            <w:gridSpan w:val="3"/>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项目负责人</w:t>
            </w:r>
          </w:p>
        </w:tc>
        <w:tc>
          <w:tcPr>
            <w:tcW w:w="6300"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 xml:space="preserve">贾思禹 </w:t>
            </w:r>
          </w:p>
        </w:tc>
        <w:tc>
          <w:tcPr>
            <w:tcW w:w="8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10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联系电话</w:t>
            </w:r>
          </w:p>
        </w:tc>
        <w:tc>
          <w:tcPr>
            <w:tcW w:w="350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hint="eastAsia" w:ascii="宋体" w:hAnsi="宋体" w:cs="宋体"/>
                <w:color w:val="000000"/>
                <w:kern w:val="0"/>
                <w:sz w:val="24"/>
              </w:rPr>
            </w:pPr>
            <w:r>
              <w:rPr>
                <w:rFonts w:hint="eastAsia" w:ascii="宋体" w:hAnsi="宋体" w:cs="宋体"/>
                <w:color w:val="000000"/>
                <w:kern w:val="0"/>
                <w:sz w:val="24"/>
              </w:rPr>
              <w:t>17610773787</w:t>
            </w:r>
          </w:p>
        </w:tc>
      </w:tr>
      <w:tr>
        <w:tblPrEx>
          <w:tblCellMar>
            <w:top w:w="0" w:type="dxa"/>
            <w:left w:w="108" w:type="dxa"/>
            <w:bottom w:w="0" w:type="dxa"/>
            <w:right w:w="108" w:type="dxa"/>
          </w:tblCellMar>
        </w:tblPrEx>
        <w:trPr>
          <w:trHeight w:val="585" w:hRule="atLeast"/>
        </w:trPr>
        <w:tc>
          <w:tcPr>
            <w:tcW w:w="2942" w:type="dxa"/>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项目资金                    （万元）</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28575</wp:posOffset>
                      </wp:positionV>
                      <wp:extent cx="1294765" cy="314325"/>
                      <wp:effectExtent l="0" t="0" r="19685" b="28575"/>
                      <wp:wrapNone/>
                      <wp:docPr id="5" name="直接箭头连接符 5"/>
                      <wp:cNvGraphicFramePr/>
                      <a:graphic xmlns:a="http://schemas.openxmlformats.org/drawingml/2006/main">
                        <a:graphicData uri="http://schemas.microsoft.com/office/word/2010/wordprocessingShape">
                          <wps:wsp>
                            <wps:cNvCnPr/>
                            <wps:spPr>
                              <a:xfrm>
                                <a:off x="0" y="0"/>
                                <a:ext cx="1294765" cy="31432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3pt;margin-top:2.25pt;height:24.75pt;width:101.95pt;z-index:251665408;mso-width-relative:page;mso-height-relative:page;" filled="f" stroked="t" coordsize="21600,21600" o:gfxdata="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yZLxjWAAAABgEAAA8AAAAAAAAAAQAgAAAAIgAAAGRycy9kb3ducmV2LnhtbFBLAQIUABQA&#10;AAAIAIdO4kAx3quluQEAADUDAAAOAAAAAAAAAAEAIAAAACUBAABkcnMvZTJvRG9jLnhtbFBLBQYA&#10;AAAABgAGAFkBAABQBQAAAAA=&#10;">
                      <v:fill on="f" focussize="0,0"/>
                      <v:stroke color="#000000" joinstyle="round"/>
                      <v:imagedata o:title=""/>
                      <o:lock v:ext="edit" aspectratio="f"/>
                    </v:shape>
                  </w:pict>
                </mc:Fallback>
              </mc:AlternateContent>
            </w:r>
          </w:p>
        </w:tc>
        <w:tc>
          <w:tcPr>
            <w:tcW w:w="3150"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年初预算数</w:t>
            </w:r>
          </w:p>
        </w:tc>
        <w:tc>
          <w:tcPr>
            <w:tcW w:w="811"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全年预算数（A）</w:t>
            </w:r>
          </w:p>
        </w:tc>
        <w:tc>
          <w:tcPr>
            <w:tcW w:w="1038" w:type="dxa"/>
            <w:tcBorders>
              <w:top w:val="single" w:color="000000" w:sz="8" w:space="0"/>
              <w:left w:val="single" w:color="000000" w:sz="8" w:space="0"/>
              <w:bottom w:val="nil"/>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全年执行数（B）</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分值（10分）</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执行率（B/A)</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r>
      <w:tr>
        <w:tblPrEx>
          <w:tblCellMar>
            <w:top w:w="0" w:type="dxa"/>
            <w:left w:w="108" w:type="dxa"/>
            <w:bottom w:w="0" w:type="dxa"/>
            <w:right w:w="108" w:type="dxa"/>
          </w:tblCellMar>
        </w:tblPrEx>
        <w:trPr>
          <w:trHeight w:val="400" w:hRule="atLeast"/>
        </w:trPr>
        <w:tc>
          <w:tcPr>
            <w:tcW w:w="2942"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3150" w:type="dxa"/>
            <w:tcBorders>
              <w:top w:val="single" w:color="000000" w:sz="8" w:space="0"/>
              <w:left w:val="single" w:color="000000" w:sz="8" w:space="0"/>
              <w:bottom w:val="single" w:color="000000" w:sz="8" w:space="0"/>
              <w:right w:val="nil"/>
            </w:tcBorders>
            <w:shd w:val="clear" w:color="auto" w:fill="auto"/>
            <w:noWrap/>
            <w:vAlign w:val="center"/>
          </w:tcPr>
          <w:p>
            <w:pPr>
              <w:widowControl/>
              <w:rPr>
                <w:rFonts w:hint="eastAsia" w:ascii="宋体" w:hAnsi="宋体" w:cs="宋体"/>
                <w:color w:val="000000"/>
                <w:kern w:val="0"/>
                <w:sz w:val="24"/>
              </w:rPr>
            </w:pPr>
            <w:r>
              <w:rPr>
                <w:rFonts w:hint="eastAsia" w:ascii="宋体" w:hAnsi="宋体" w:cs="宋体"/>
                <w:color w:val="000000"/>
                <w:kern w:val="0"/>
                <w:sz w:val="24"/>
              </w:rPr>
              <w:t>年度资金总额：</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8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10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85" w:hRule="atLeast"/>
        </w:trPr>
        <w:tc>
          <w:tcPr>
            <w:tcW w:w="2942"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3150" w:type="dxa"/>
            <w:tcBorders>
              <w:top w:val="single" w:color="000000" w:sz="8" w:space="0"/>
              <w:left w:val="single" w:color="000000" w:sz="8" w:space="0"/>
              <w:bottom w:val="single" w:color="000000" w:sz="8" w:space="0"/>
              <w:right w:val="nil"/>
            </w:tcBorders>
            <w:shd w:val="clear" w:color="auto" w:fill="auto"/>
            <w:vAlign w:val="center"/>
          </w:tcPr>
          <w:p>
            <w:pPr>
              <w:widowControl/>
              <w:jc w:val="left"/>
              <w:rPr>
                <w:rFonts w:hint="eastAsia" w:ascii="宋体" w:hAnsi="宋体" w:cs="宋体"/>
                <w:color w:val="000000"/>
                <w:kern w:val="0"/>
                <w:sz w:val="24"/>
              </w:rPr>
            </w:pPr>
            <w:r>
              <w:rPr>
                <w:rFonts w:hint="eastAsia" w:ascii="宋体" w:hAnsi="宋体" w:cs="宋体"/>
                <w:color w:val="000000"/>
                <w:kern w:val="0"/>
                <w:sz w:val="24"/>
              </w:rPr>
              <w:t>其中:当年财政</w:t>
            </w:r>
            <w:r>
              <w:rPr>
                <w:rFonts w:hint="eastAsia" w:ascii="宋体" w:hAnsi="宋体" w:cs="宋体"/>
                <w:color w:val="000000"/>
                <w:kern w:val="0"/>
                <w:sz w:val="24"/>
              </w:rPr>
              <w:br w:type="textWrapping"/>
            </w:r>
            <w:r>
              <w:rPr>
                <w:rFonts w:hint="eastAsia" w:ascii="宋体" w:hAnsi="宋体" w:cs="宋体"/>
                <w:color w:val="000000"/>
                <w:kern w:val="0"/>
                <w:sz w:val="24"/>
              </w:rPr>
              <w:t>拨款</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8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10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w:t>
            </w:r>
          </w:p>
        </w:tc>
        <w:tc>
          <w:tcPr>
            <w:tcW w:w="540"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r>
      <w:tr>
        <w:tblPrEx>
          <w:tblCellMar>
            <w:top w:w="0" w:type="dxa"/>
            <w:left w:w="108" w:type="dxa"/>
            <w:bottom w:w="0" w:type="dxa"/>
            <w:right w:w="108" w:type="dxa"/>
          </w:tblCellMar>
        </w:tblPrEx>
        <w:trPr>
          <w:trHeight w:val="500" w:hRule="atLeast"/>
        </w:trPr>
        <w:tc>
          <w:tcPr>
            <w:tcW w:w="2942"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上年结转资金</w:t>
            </w:r>
          </w:p>
        </w:tc>
        <w:tc>
          <w:tcPr>
            <w:tcW w:w="31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811"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38"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80" w:hRule="atLeast"/>
        </w:trPr>
        <w:tc>
          <w:tcPr>
            <w:tcW w:w="2942" w:type="dxa"/>
            <w:gridSpan w:val="3"/>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其他资金</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left"/>
              <w:rPr>
                <w:rFonts w:hint="eastAsia" w:ascii="宋体" w:hAnsi="宋体" w:cs="宋体"/>
                <w:color w:val="000000"/>
                <w:kern w:val="0"/>
                <w:sz w:val="24"/>
              </w:rPr>
            </w:pPr>
          </w:p>
        </w:tc>
        <w:tc>
          <w:tcPr>
            <w:tcW w:w="8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03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5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r>
      <w:tr>
        <w:tblPrEx>
          <w:tblCellMar>
            <w:top w:w="0" w:type="dxa"/>
            <w:left w:w="108" w:type="dxa"/>
            <w:bottom w:w="0" w:type="dxa"/>
            <w:right w:w="108" w:type="dxa"/>
          </w:tblCellMar>
        </w:tblPrEx>
        <w:trPr>
          <w:trHeight w:val="520" w:hRule="atLeast"/>
        </w:trPr>
        <w:tc>
          <w:tcPr>
            <w:tcW w:w="45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w:t>
            </w:r>
          </w:p>
        </w:tc>
        <w:tc>
          <w:tcPr>
            <w:tcW w:w="878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预期目标</w:t>
            </w:r>
          </w:p>
        </w:tc>
        <w:tc>
          <w:tcPr>
            <w:tcW w:w="535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实际完成情况</w:t>
            </w:r>
          </w:p>
        </w:tc>
      </w:tr>
      <w:tr>
        <w:tblPrEx>
          <w:tblCellMar>
            <w:top w:w="0" w:type="dxa"/>
            <w:left w:w="108" w:type="dxa"/>
            <w:bottom w:w="0" w:type="dxa"/>
            <w:right w:w="108" w:type="dxa"/>
          </w:tblCellMar>
        </w:tblPrEx>
        <w:trPr>
          <w:trHeight w:val="286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8786"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年初设定目标：为保证单位员工正常办公，在单位范围内设置网络服务。</w:t>
            </w:r>
          </w:p>
        </w:tc>
        <w:tc>
          <w:tcPr>
            <w:tcW w:w="5358"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年度总体目标完成情况综述：顺利在单位内部安装网络，保证单位员工正常上网办公。</w:t>
            </w:r>
          </w:p>
        </w:tc>
      </w:tr>
      <w:tr>
        <w:tblPrEx>
          <w:tblCellMar>
            <w:top w:w="0" w:type="dxa"/>
            <w:left w:w="108" w:type="dxa"/>
            <w:bottom w:w="0" w:type="dxa"/>
            <w:right w:w="108" w:type="dxa"/>
          </w:tblCellMar>
        </w:tblPrEx>
        <w:trPr>
          <w:trHeight w:val="585" w:hRule="atLeast"/>
        </w:trPr>
        <w:tc>
          <w:tcPr>
            <w:tcW w:w="456" w:type="dxa"/>
            <w:vMerge w:val="restart"/>
            <w:tcBorders>
              <w:top w:val="single" w:color="000000" w:sz="8" w:space="0"/>
              <w:left w:val="single" w:color="000000" w:sz="8" w:space="0"/>
              <w:bottom w:val="single" w:color="000000" w:sz="8" w:space="0"/>
              <w:right w:val="single" w:color="000000" w:sz="8" w:space="0"/>
            </w:tcBorders>
            <w:shd w:val="clear" w:color="auto" w:fill="auto"/>
            <w:noWrap/>
            <w:textDirection w:val="tbLrV"/>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绩效指标</w:t>
            </w: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一级指标</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二级指标</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三级指标</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年度指标值(A)</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实际完成值(B)</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分值</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得分</w:t>
            </w: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偏差原因分析及改进措施</w:t>
            </w:r>
          </w:p>
        </w:tc>
      </w:tr>
      <w:tr>
        <w:tblPrEx>
          <w:tblCellMar>
            <w:top w:w="0" w:type="dxa"/>
            <w:left w:w="108" w:type="dxa"/>
            <w:bottom w:w="0" w:type="dxa"/>
            <w:right w:w="108" w:type="dxa"/>
          </w:tblCellMar>
        </w:tblPrEx>
        <w:trPr>
          <w:trHeight w:val="48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产出指标(50分)</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数量指标</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网络服务大于30M</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大于30M</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大于30M</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质量指标</w:t>
            </w:r>
          </w:p>
        </w:tc>
        <w:tc>
          <w:tcPr>
            <w:tcW w:w="315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网络安全与运行率大于90%</w:t>
            </w:r>
          </w:p>
        </w:tc>
        <w:tc>
          <w:tcPr>
            <w:tcW w:w="31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＞90%</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＞90%</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时效指标</w:t>
            </w:r>
          </w:p>
        </w:tc>
        <w:tc>
          <w:tcPr>
            <w:tcW w:w="3150" w:type="dxa"/>
            <w:tcBorders>
              <w:top w:val="nil"/>
              <w:left w:val="nil"/>
              <w:bottom w:val="nil"/>
              <w:right w:val="nil"/>
            </w:tcBorders>
            <w:shd w:val="clear" w:color="auto" w:fill="auto"/>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项目完成时间安装网络在8月前安装</w:t>
            </w:r>
          </w:p>
        </w:tc>
        <w:tc>
          <w:tcPr>
            <w:tcW w:w="3150" w:type="dxa"/>
            <w:tcBorders>
              <w:top w:val="nil"/>
              <w:left w:val="nil"/>
              <w:bottom w:val="nil"/>
              <w:right w:val="nil"/>
            </w:tcBorders>
            <w:shd w:val="clear" w:color="auto" w:fill="auto"/>
            <w:vAlign w:val="bottom"/>
          </w:tcPr>
          <w:p>
            <w:pPr>
              <w:widowControl/>
              <w:jc w:val="center"/>
              <w:rPr>
                <w:rFonts w:hint="eastAsia" w:ascii="宋体" w:hAnsi="宋体" w:cs="宋体"/>
                <w:color w:val="000000"/>
                <w:kern w:val="0"/>
                <w:sz w:val="24"/>
              </w:rPr>
            </w:pPr>
            <w:r>
              <w:rPr>
                <w:rFonts w:hint="eastAsia" w:ascii="宋体" w:hAnsi="宋体" w:cs="宋体"/>
                <w:color w:val="000000"/>
                <w:kern w:val="0"/>
                <w:sz w:val="24"/>
              </w:rPr>
              <w:t>安装网络在8月前安装</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6月完成</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48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成本指标</w:t>
            </w:r>
          </w:p>
        </w:tc>
        <w:tc>
          <w:tcPr>
            <w:tcW w:w="315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项目预算控制数</w:t>
            </w:r>
          </w:p>
        </w:tc>
        <w:tc>
          <w:tcPr>
            <w:tcW w:w="3150" w:type="dxa"/>
            <w:tcBorders>
              <w:top w:val="single" w:color="000000" w:sz="8" w:space="0"/>
              <w:left w:val="single" w:color="000000" w:sz="8" w:space="0"/>
              <w:bottom w:val="nil"/>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4.9992万元</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4.9992万元</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p>
        </w:tc>
      </w:tr>
      <w:tr>
        <w:tblPrEx>
          <w:tblCellMar>
            <w:top w:w="0" w:type="dxa"/>
            <w:left w:w="108" w:type="dxa"/>
            <w:bottom w:w="0" w:type="dxa"/>
            <w:right w:w="108" w:type="dxa"/>
          </w:tblCellMar>
        </w:tblPrEx>
        <w:trPr>
          <w:trHeight w:val="585"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效果指标(30分)</w:t>
            </w:r>
          </w:p>
        </w:tc>
        <w:tc>
          <w:tcPr>
            <w:tcW w:w="142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经济效益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rPr>
                <w:rFonts w:hint="eastAsia" w:ascii="宋体" w:hAnsi="宋体" w:cs="宋体"/>
                <w:color w:val="000000"/>
                <w:kern w:val="0"/>
                <w:sz w:val="24"/>
              </w:rPr>
            </w:pPr>
            <w:r>
              <w:rPr>
                <w:rFonts w:hint="eastAsia" w:ascii="宋体" w:hAnsi="宋体" w:cs="宋体"/>
                <w:color w:val="000000"/>
                <w:kern w:val="0"/>
                <w:sz w:val="24"/>
              </w:rPr>
              <w:t xml:space="preserve">        无</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rPr>
                <w:rFonts w:hint="eastAsia" w:ascii="宋体" w:hAnsi="宋体" w:cs="宋体"/>
                <w:color w:val="000000"/>
                <w:kern w:val="0"/>
                <w:sz w:val="24"/>
              </w:rPr>
            </w:pPr>
            <w:r>
              <w:rPr>
                <w:rFonts w:hint="eastAsia" w:ascii="宋体" w:hAnsi="宋体" w:cs="宋体"/>
                <w:color w:val="000000"/>
                <w:kern w:val="0"/>
                <w:sz w:val="24"/>
              </w:rPr>
              <w:t xml:space="preserve">      无</w:t>
            </w:r>
          </w:p>
        </w:tc>
        <w:tc>
          <w:tcPr>
            <w:tcW w:w="1849"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社会效益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150" w:type="dxa"/>
            <w:tcBorders>
              <w:top w:val="nil"/>
              <w:left w:val="nil"/>
              <w:bottom w:val="nil"/>
              <w:right w:val="nil"/>
            </w:tcBorders>
            <w:shd w:val="clear" w:color="auto" w:fill="auto"/>
            <w:noWrap/>
            <w:vAlign w:val="bottom"/>
          </w:tcPr>
          <w:p>
            <w:pPr>
              <w:widowControl/>
              <w:rPr>
                <w:rFonts w:hint="eastAsia" w:ascii="宋体" w:hAnsi="宋体" w:cs="宋体"/>
                <w:color w:val="000000"/>
                <w:kern w:val="0"/>
                <w:sz w:val="24"/>
              </w:rPr>
            </w:pPr>
            <w:r>
              <w:rPr>
                <w:rFonts w:hint="eastAsia" w:ascii="宋体" w:hAnsi="宋体" w:cs="宋体"/>
                <w:color w:val="000000"/>
                <w:kern w:val="0"/>
                <w:sz w:val="24"/>
              </w:rPr>
              <w:t>使单位职工连接网络正常办公</w:t>
            </w:r>
          </w:p>
        </w:tc>
        <w:tc>
          <w:tcPr>
            <w:tcW w:w="3150" w:type="dxa"/>
            <w:tcBorders>
              <w:top w:val="nil"/>
              <w:left w:val="nil"/>
              <w:bottom w:val="nil"/>
              <w:right w:val="nil"/>
            </w:tcBorders>
            <w:shd w:val="clear" w:color="auto" w:fill="auto"/>
            <w:noWrap/>
            <w:vAlign w:val="bottom"/>
          </w:tcPr>
          <w:p>
            <w:pPr>
              <w:widowControl/>
              <w:rPr>
                <w:rFonts w:hint="eastAsia" w:ascii="宋体" w:hAnsi="宋体" w:cs="宋体"/>
                <w:color w:val="000000"/>
                <w:kern w:val="0"/>
                <w:sz w:val="24"/>
              </w:rPr>
            </w:pPr>
            <w:r>
              <w:rPr>
                <w:rFonts w:hint="eastAsia" w:ascii="宋体" w:hAnsi="宋体" w:cs="宋体"/>
                <w:color w:val="000000"/>
                <w:kern w:val="0"/>
                <w:sz w:val="24"/>
              </w:rPr>
              <w:t>使单位职工连接网络正常办公</w:t>
            </w:r>
          </w:p>
        </w:tc>
        <w:tc>
          <w:tcPr>
            <w:tcW w:w="1849"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使单位职工连接网络正常办公</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28</w:t>
            </w:r>
          </w:p>
        </w:tc>
        <w:tc>
          <w:tcPr>
            <w:tcW w:w="21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效果资料量化程度有待加强</w:t>
            </w:r>
          </w:p>
        </w:tc>
      </w:tr>
      <w:tr>
        <w:tblPrEx>
          <w:tblCellMar>
            <w:top w:w="0" w:type="dxa"/>
            <w:left w:w="108" w:type="dxa"/>
            <w:bottom w:w="0" w:type="dxa"/>
            <w:right w:w="108" w:type="dxa"/>
          </w:tblCellMar>
        </w:tblPrEx>
        <w:trPr>
          <w:trHeight w:val="585"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生态效益</w:t>
            </w:r>
            <w:r>
              <w:rPr>
                <w:rFonts w:hint="eastAsia" w:ascii="宋体" w:hAnsi="宋体" w:cs="宋体"/>
                <w:color w:val="000000"/>
                <w:kern w:val="0"/>
                <w:sz w:val="24"/>
              </w:rPr>
              <w:br w:type="textWrapping"/>
            </w:r>
            <w:r>
              <w:rPr>
                <w:rFonts w:hint="eastAsia" w:ascii="宋体" w:hAnsi="宋体" w:cs="宋体"/>
                <w:color w:val="000000"/>
                <w:kern w:val="0"/>
                <w:sz w:val="24"/>
              </w:rPr>
              <w:t>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849"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585"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425" w:type="dxa"/>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可持续影响指标</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1849" w:type="dxa"/>
            <w:gridSpan w:val="2"/>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无</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1060" w:hRule="atLeast"/>
        </w:trPr>
        <w:tc>
          <w:tcPr>
            <w:tcW w:w="456"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24"/>
              </w:rPr>
            </w:pPr>
          </w:p>
        </w:tc>
        <w:tc>
          <w:tcPr>
            <w:tcW w:w="106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r>
              <w:rPr>
                <w:rFonts w:hint="eastAsia" w:ascii="宋体" w:hAnsi="宋体" w:cs="宋体"/>
                <w:color w:val="000000"/>
                <w:kern w:val="0"/>
                <w:sz w:val="24"/>
              </w:rPr>
              <w:br w:type="textWrapping"/>
            </w:r>
            <w:r>
              <w:rPr>
                <w:rFonts w:hint="eastAsia" w:ascii="宋体" w:hAnsi="宋体" w:cs="宋体"/>
                <w:color w:val="000000"/>
                <w:kern w:val="0"/>
                <w:sz w:val="24"/>
              </w:rPr>
              <w:t>指标</w:t>
            </w:r>
            <w:r>
              <w:rPr>
                <w:rFonts w:hint="eastAsia" w:ascii="宋体" w:hAnsi="宋体" w:cs="宋体"/>
                <w:color w:val="000000"/>
                <w:kern w:val="0"/>
                <w:sz w:val="24"/>
              </w:rPr>
              <w:br w:type="textWrapping"/>
            </w:r>
            <w:r>
              <w:rPr>
                <w:rFonts w:hint="eastAsia" w:ascii="宋体" w:hAnsi="宋体" w:cs="宋体"/>
                <w:color w:val="000000"/>
                <w:kern w:val="0"/>
                <w:sz w:val="24"/>
              </w:rPr>
              <w:t>（10分）</w:t>
            </w:r>
          </w:p>
        </w:tc>
        <w:tc>
          <w:tcPr>
            <w:tcW w:w="14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服务对象满意度指标</w:t>
            </w:r>
          </w:p>
        </w:tc>
        <w:tc>
          <w:tcPr>
            <w:tcW w:w="31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员工满意度</w:t>
            </w:r>
          </w:p>
        </w:tc>
        <w:tc>
          <w:tcPr>
            <w:tcW w:w="3150"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1849"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暂未开展满意度调查</w:t>
            </w:r>
          </w:p>
        </w:tc>
      </w:tr>
      <w:tr>
        <w:tblPrEx>
          <w:tblCellMar>
            <w:top w:w="0" w:type="dxa"/>
            <w:left w:w="108" w:type="dxa"/>
            <w:bottom w:w="0" w:type="dxa"/>
            <w:right w:w="108" w:type="dxa"/>
          </w:tblCellMar>
        </w:tblPrEx>
        <w:trPr>
          <w:trHeight w:val="300" w:hRule="atLeast"/>
        </w:trPr>
        <w:tc>
          <w:tcPr>
            <w:tcW w:w="11091"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总分</w:t>
            </w:r>
          </w:p>
        </w:tc>
        <w:tc>
          <w:tcPr>
            <w:tcW w:w="5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100</w:t>
            </w:r>
          </w:p>
        </w:tc>
        <w:tc>
          <w:tcPr>
            <w:tcW w:w="77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r>
              <w:rPr>
                <w:rFonts w:hint="eastAsia" w:ascii="宋体" w:hAnsi="宋体" w:cs="宋体"/>
                <w:b/>
                <w:bCs/>
                <w:color w:val="000000"/>
                <w:kern w:val="0"/>
                <w:sz w:val="24"/>
              </w:rPr>
              <w:t>96</w:t>
            </w:r>
          </w:p>
        </w:tc>
        <w:tc>
          <w:tcPr>
            <w:tcW w:w="21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hint="eastAsia" w:ascii="宋体" w:hAnsi="宋体" w:cs="宋体"/>
                <w:b/>
                <w:bCs/>
                <w:color w:val="000000"/>
                <w:kern w:val="0"/>
                <w:sz w:val="24"/>
              </w:rPr>
            </w:pPr>
          </w:p>
        </w:tc>
      </w:tr>
    </w:tbl>
    <w:p>
      <w:pPr>
        <w:spacing w:line="360" w:lineRule="auto"/>
        <w:ind w:firstLine="560" w:firstLineChars="200"/>
        <w:outlineLvl w:val="0"/>
        <w:rPr>
          <w:rFonts w:hint="eastAsia" w:ascii="仿宋_GB2312" w:hAnsi="黑体" w:eastAsia="仿宋_GB2312"/>
          <w:sz w:val="28"/>
          <w:szCs w:val="28"/>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15</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57088"/>
    <w:multiLevelType w:val="multilevel"/>
    <w:tmpl w:val="50257088"/>
    <w:lvl w:ilvl="0" w:tentative="0">
      <w:start w:val="1"/>
      <w:numFmt w:val="japaneseCounting"/>
      <w:lvlText w:val="%1、"/>
      <w:lvlJc w:val="left"/>
      <w:pPr>
        <w:ind w:left="1269" w:hanging="720"/>
      </w:pPr>
      <w:rPr>
        <w:rFonts w:hint="default" w:ascii="黑体" w:eastAsia="黑体"/>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13CEC"/>
    <w:rsid w:val="00027CD5"/>
    <w:rsid w:val="00031717"/>
    <w:rsid w:val="00031849"/>
    <w:rsid w:val="00031B8E"/>
    <w:rsid w:val="00033EC1"/>
    <w:rsid w:val="00034224"/>
    <w:rsid w:val="00040275"/>
    <w:rsid w:val="0004719C"/>
    <w:rsid w:val="00047F6E"/>
    <w:rsid w:val="00051B00"/>
    <w:rsid w:val="0005395D"/>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D6BFA"/>
    <w:rsid w:val="000E0B26"/>
    <w:rsid w:val="000E3291"/>
    <w:rsid w:val="000E56A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76C13"/>
    <w:rsid w:val="00177804"/>
    <w:rsid w:val="00180DAD"/>
    <w:rsid w:val="00181BD8"/>
    <w:rsid w:val="0018370E"/>
    <w:rsid w:val="001852E1"/>
    <w:rsid w:val="00191568"/>
    <w:rsid w:val="001A4277"/>
    <w:rsid w:val="001A7D2E"/>
    <w:rsid w:val="001B1DF9"/>
    <w:rsid w:val="001B1E93"/>
    <w:rsid w:val="001B375E"/>
    <w:rsid w:val="001B5E87"/>
    <w:rsid w:val="001B5E91"/>
    <w:rsid w:val="001B7988"/>
    <w:rsid w:val="001D14E2"/>
    <w:rsid w:val="001D1E46"/>
    <w:rsid w:val="001D78D9"/>
    <w:rsid w:val="001E0556"/>
    <w:rsid w:val="001E2355"/>
    <w:rsid w:val="001E2379"/>
    <w:rsid w:val="001E29A9"/>
    <w:rsid w:val="001F5857"/>
    <w:rsid w:val="00206EC3"/>
    <w:rsid w:val="0021047C"/>
    <w:rsid w:val="00211E4E"/>
    <w:rsid w:val="00213D1C"/>
    <w:rsid w:val="00214C3A"/>
    <w:rsid w:val="00217517"/>
    <w:rsid w:val="00222628"/>
    <w:rsid w:val="0022396B"/>
    <w:rsid w:val="002253CB"/>
    <w:rsid w:val="002326DE"/>
    <w:rsid w:val="00234314"/>
    <w:rsid w:val="00241724"/>
    <w:rsid w:val="0024390C"/>
    <w:rsid w:val="00243EB9"/>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29F9"/>
    <w:rsid w:val="002B3682"/>
    <w:rsid w:val="002B5464"/>
    <w:rsid w:val="002C0443"/>
    <w:rsid w:val="002C12FB"/>
    <w:rsid w:val="002C24BC"/>
    <w:rsid w:val="002D03C6"/>
    <w:rsid w:val="002D0FDF"/>
    <w:rsid w:val="002D3955"/>
    <w:rsid w:val="002D5B4E"/>
    <w:rsid w:val="002D68A9"/>
    <w:rsid w:val="002D72D1"/>
    <w:rsid w:val="002E06AE"/>
    <w:rsid w:val="002E4B75"/>
    <w:rsid w:val="002E68DD"/>
    <w:rsid w:val="002F17C2"/>
    <w:rsid w:val="002F32EE"/>
    <w:rsid w:val="002F4054"/>
    <w:rsid w:val="002F5574"/>
    <w:rsid w:val="00301D20"/>
    <w:rsid w:val="00302B19"/>
    <w:rsid w:val="00303428"/>
    <w:rsid w:val="003038DE"/>
    <w:rsid w:val="003053C4"/>
    <w:rsid w:val="00305433"/>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E7C9B"/>
    <w:rsid w:val="003F0D1B"/>
    <w:rsid w:val="003F1DD6"/>
    <w:rsid w:val="00401087"/>
    <w:rsid w:val="00402E26"/>
    <w:rsid w:val="004110BC"/>
    <w:rsid w:val="00411D17"/>
    <w:rsid w:val="004121B3"/>
    <w:rsid w:val="0041271F"/>
    <w:rsid w:val="0041688E"/>
    <w:rsid w:val="004170EF"/>
    <w:rsid w:val="0042093C"/>
    <w:rsid w:val="004233DD"/>
    <w:rsid w:val="00423F0A"/>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0BC2"/>
    <w:rsid w:val="00461FA5"/>
    <w:rsid w:val="00463566"/>
    <w:rsid w:val="00464182"/>
    <w:rsid w:val="00471C52"/>
    <w:rsid w:val="0047460C"/>
    <w:rsid w:val="00474FF2"/>
    <w:rsid w:val="00480098"/>
    <w:rsid w:val="00481BD4"/>
    <w:rsid w:val="00484A93"/>
    <w:rsid w:val="00485B54"/>
    <w:rsid w:val="00485E12"/>
    <w:rsid w:val="004865DA"/>
    <w:rsid w:val="0048779C"/>
    <w:rsid w:val="00487AB7"/>
    <w:rsid w:val="00487ED0"/>
    <w:rsid w:val="0049193D"/>
    <w:rsid w:val="004919D2"/>
    <w:rsid w:val="0049682C"/>
    <w:rsid w:val="004A168E"/>
    <w:rsid w:val="004A4EC7"/>
    <w:rsid w:val="004B0003"/>
    <w:rsid w:val="004C020A"/>
    <w:rsid w:val="004C03A3"/>
    <w:rsid w:val="004C0BF7"/>
    <w:rsid w:val="004C2DCD"/>
    <w:rsid w:val="004C44B8"/>
    <w:rsid w:val="004C4913"/>
    <w:rsid w:val="004C73F4"/>
    <w:rsid w:val="004C7629"/>
    <w:rsid w:val="004D0D5D"/>
    <w:rsid w:val="004E27DD"/>
    <w:rsid w:val="004E3350"/>
    <w:rsid w:val="004E3911"/>
    <w:rsid w:val="004E5292"/>
    <w:rsid w:val="004F2C5B"/>
    <w:rsid w:val="004F610B"/>
    <w:rsid w:val="004F641B"/>
    <w:rsid w:val="004F71F3"/>
    <w:rsid w:val="00500D0B"/>
    <w:rsid w:val="005052FA"/>
    <w:rsid w:val="005069E1"/>
    <w:rsid w:val="00507E59"/>
    <w:rsid w:val="005122B5"/>
    <w:rsid w:val="0052381C"/>
    <w:rsid w:val="005346B3"/>
    <w:rsid w:val="005368DE"/>
    <w:rsid w:val="0054051C"/>
    <w:rsid w:val="00543E37"/>
    <w:rsid w:val="00546A84"/>
    <w:rsid w:val="00547BE2"/>
    <w:rsid w:val="0055353D"/>
    <w:rsid w:val="005606FD"/>
    <w:rsid w:val="0056187C"/>
    <w:rsid w:val="00562FC8"/>
    <w:rsid w:val="005646B2"/>
    <w:rsid w:val="0056700F"/>
    <w:rsid w:val="00570350"/>
    <w:rsid w:val="00576B03"/>
    <w:rsid w:val="005845FB"/>
    <w:rsid w:val="005846FF"/>
    <w:rsid w:val="00591655"/>
    <w:rsid w:val="00591BEC"/>
    <w:rsid w:val="005940EA"/>
    <w:rsid w:val="00594448"/>
    <w:rsid w:val="0059722D"/>
    <w:rsid w:val="005A1D6F"/>
    <w:rsid w:val="005A4D82"/>
    <w:rsid w:val="005A52A6"/>
    <w:rsid w:val="005B0DEC"/>
    <w:rsid w:val="005B368E"/>
    <w:rsid w:val="005B6E69"/>
    <w:rsid w:val="005B7DA7"/>
    <w:rsid w:val="005C0015"/>
    <w:rsid w:val="005C0F5F"/>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4322"/>
    <w:rsid w:val="00637503"/>
    <w:rsid w:val="006376DA"/>
    <w:rsid w:val="006459DA"/>
    <w:rsid w:val="006502E8"/>
    <w:rsid w:val="0065675C"/>
    <w:rsid w:val="0065793F"/>
    <w:rsid w:val="006603EB"/>
    <w:rsid w:val="0066263B"/>
    <w:rsid w:val="0066713A"/>
    <w:rsid w:val="0067195C"/>
    <w:rsid w:val="006724F7"/>
    <w:rsid w:val="0067511A"/>
    <w:rsid w:val="0067539B"/>
    <w:rsid w:val="00675543"/>
    <w:rsid w:val="00677396"/>
    <w:rsid w:val="00677AD9"/>
    <w:rsid w:val="00681970"/>
    <w:rsid w:val="006822C3"/>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4DA3"/>
    <w:rsid w:val="006C5205"/>
    <w:rsid w:val="006C7272"/>
    <w:rsid w:val="006C75F6"/>
    <w:rsid w:val="006D3F53"/>
    <w:rsid w:val="006D60AF"/>
    <w:rsid w:val="006F5FE4"/>
    <w:rsid w:val="00701651"/>
    <w:rsid w:val="0070304E"/>
    <w:rsid w:val="007049BF"/>
    <w:rsid w:val="00704E79"/>
    <w:rsid w:val="00707A26"/>
    <w:rsid w:val="0071120F"/>
    <w:rsid w:val="00716380"/>
    <w:rsid w:val="007175E8"/>
    <w:rsid w:val="00722165"/>
    <w:rsid w:val="00724B1C"/>
    <w:rsid w:val="007275A1"/>
    <w:rsid w:val="007428F0"/>
    <w:rsid w:val="00742B05"/>
    <w:rsid w:val="00747613"/>
    <w:rsid w:val="00750E0E"/>
    <w:rsid w:val="007512EF"/>
    <w:rsid w:val="007551AC"/>
    <w:rsid w:val="0076101C"/>
    <w:rsid w:val="00761A93"/>
    <w:rsid w:val="00763D87"/>
    <w:rsid w:val="007670B2"/>
    <w:rsid w:val="00771795"/>
    <w:rsid w:val="00774925"/>
    <w:rsid w:val="00791185"/>
    <w:rsid w:val="0079279F"/>
    <w:rsid w:val="00793E69"/>
    <w:rsid w:val="00797A67"/>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6887"/>
    <w:rsid w:val="007C7A22"/>
    <w:rsid w:val="007C7C62"/>
    <w:rsid w:val="007D1076"/>
    <w:rsid w:val="007D12B7"/>
    <w:rsid w:val="007D2A49"/>
    <w:rsid w:val="007D5E38"/>
    <w:rsid w:val="007D7AC4"/>
    <w:rsid w:val="007E0340"/>
    <w:rsid w:val="007E141D"/>
    <w:rsid w:val="007E1D4A"/>
    <w:rsid w:val="007E53C0"/>
    <w:rsid w:val="007E7703"/>
    <w:rsid w:val="007F0850"/>
    <w:rsid w:val="007F251D"/>
    <w:rsid w:val="007F4558"/>
    <w:rsid w:val="007F64DF"/>
    <w:rsid w:val="007F66A0"/>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5267"/>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351E9"/>
    <w:rsid w:val="00937862"/>
    <w:rsid w:val="00942279"/>
    <w:rsid w:val="009524EB"/>
    <w:rsid w:val="00962013"/>
    <w:rsid w:val="00963942"/>
    <w:rsid w:val="0096716C"/>
    <w:rsid w:val="009672B2"/>
    <w:rsid w:val="00971C66"/>
    <w:rsid w:val="00982515"/>
    <w:rsid w:val="0098419C"/>
    <w:rsid w:val="009843EF"/>
    <w:rsid w:val="009867F2"/>
    <w:rsid w:val="00991347"/>
    <w:rsid w:val="00996018"/>
    <w:rsid w:val="0099738E"/>
    <w:rsid w:val="009A493E"/>
    <w:rsid w:val="009A531F"/>
    <w:rsid w:val="009A6931"/>
    <w:rsid w:val="009B0308"/>
    <w:rsid w:val="009B1F9A"/>
    <w:rsid w:val="009B1FA9"/>
    <w:rsid w:val="009B349F"/>
    <w:rsid w:val="009B4293"/>
    <w:rsid w:val="009B6715"/>
    <w:rsid w:val="009B68D8"/>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390D"/>
    <w:rsid w:val="009F57CE"/>
    <w:rsid w:val="00A04384"/>
    <w:rsid w:val="00A117CA"/>
    <w:rsid w:val="00A12225"/>
    <w:rsid w:val="00A14C18"/>
    <w:rsid w:val="00A174D7"/>
    <w:rsid w:val="00A25898"/>
    <w:rsid w:val="00A3071D"/>
    <w:rsid w:val="00A3182E"/>
    <w:rsid w:val="00A31A89"/>
    <w:rsid w:val="00A32F06"/>
    <w:rsid w:val="00A34934"/>
    <w:rsid w:val="00A34EFE"/>
    <w:rsid w:val="00A35BAC"/>
    <w:rsid w:val="00A36546"/>
    <w:rsid w:val="00A403E1"/>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3F4"/>
    <w:rsid w:val="00A97B34"/>
    <w:rsid w:val="00AA1B5C"/>
    <w:rsid w:val="00AA2482"/>
    <w:rsid w:val="00AA7A27"/>
    <w:rsid w:val="00AB3FB0"/>
    <w:rsid w:val="00AB465D"/>
    <w:rsid w:val="00AC114C"/>
    <w:rsid w:val="00AC1478"/>
    <w:rsid w:val="00AC6C2D"/>
    <w:rsid w:val="00AC6E17"/>
    <w:rsid w:val="00AD2FF3"/>
    <w:rsid w:val="00AD7764"/>
    <w:rsid w:val="00AD7FE2"/>
    <w:rsid w:val="00AE0DC7"/>
    <w:rsid w:val="00AE1284"/>
    <w:rsid w:val="00AE1B18"/>
    <w:rsid w:val="00AE7339"/>
    <w:rsid w:val="00AF1B0B"/>
    <w:rsid w:val="00AF242C"/>
    <w:rsid w:val="00AF3CC4"/>
    <w:rsid w:val="00AF5F8D"/>
    <w:rsid w:val="00B05903"/>
    <w:rsid w:val="00B12C7A"/>
    <w:rsid w:val="00B12E10"/>
    <w:rsid w:val="00B22BC3"/>
    <w:rsid w:val="00B25865"/>
    <w:rsid w:val="00B272B6"/>
    <w:rsid w:val="00B2771B"/>
    <w:rsid w:val="00B336E9"/>
    <w:rsid w:val="00B33AE5"/>
    <w:rsid w:val="00B34BDD"/>
    <w:rsid w:val="00B35BE5"/>
    <w:rsid w:val="00B46965"/>
    <w:rsid w:val="00B54ED0"/>
    <w:rsid w:val="00B55D47"/>
    <w:rsid w:val="00B6204E"/>
    <w:rsid w:val="00B649EC"/>
    <w:rsid w:val="00B64E2B"/>
    <w:rsid w:val="00B66324"/>
    <w:rsid w:val="00B728DD"/>
    <w:rsid w:val="00B72D43"/>
    <w:rsid w:val="00B74121"/>
    <w:rsid w:val="00B80DC8"/>
    <w:rsid w:val="00B85FF0"/>
    <w:rsid w:val="00B86150"/>
    <w:rsid w:val="00B878F9"/>
    <w:rsid w:val="00B9044A"/>
    <w:rsid w:val="00B96076"/>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1A72"/>
    <w:rsid w:val="00BE34CA"/>
    <w:rsid w:val="00BE59E3"/>
    <w:rsid w:val="00BF116A"/>
    <w:rsid w:val="00C0366F"/>
    <w:rsid w:val="00C0623C"/>
    <w:rsid w:val="00C06A07"/>
    <w:rsid w:val="00C132B6"/>
    <w:rsid w:val="00C20A02"/>
    <w:rsid w:val="00C21A6C"/>
    <w:rsid w:val="00C224D0"/>
    <w:rsid w:val="00C24A10"/>
    <w:rsid w:val="00C27003"/>
    <w:rsid w:val="00C27597"/>
    <w:rsid w:val="00C32BD4"/>
    <w:rsid w:val="00C32D1F"/>
    <w:rsid w:val="00C33E48"/>
    <w:rsid w:val="00C3618B"/>
    <w:rsid w:val="00C403FB"/>
    <w:rsid w:val="00C40C38"/>
    <w:rsid w:val="00C4316E"/>
    <w:rsid w:val="00C441A2"/>
    <w:rsid w:val="00C5076B"/>
    <w:rsid w:val="00C512D4"/>
    <w:rsid w:val="00C51CF4"/>
    <w:rsid w:val="00C531E2"/>
    <w:rsid w:val="00C57E34"/>
    <w:rsid w:val="00C64659"/>
    <w:rsid w:val="00C662E9"/>
    <w:rsid w:val="00C66C2D"/>
    <w:rsid w:val="00C66F47"/>
    <w:rsid w:val="00C7190B"/>
    <w:rsid w:val="00C74C2A"/>
    <w:rsid w:val="00C76852"/>
    <w:rsid w:val="00C77210"/>
    <w:rsid w:val="00C777FA"/>
    <w:rsid w:val="00C77989"/>
    <w:rsid w:val="00C81E51"/>
    <w:rsid w:val="00C87B73"/>
    <w:rsid w:val="00C92444"/>
    <w:rsid w:val="00C92FBB"/>
    <w:rsid w:val="00C93327"/>
    <w:rsid w:val="00C97B4D"/>
    <w:rsid w:val="00CA22C2"/>
    <w:rsid w:val="00CA5602"/>
    <w:rsid w:val="00CA5CA9"/>
    <w:rsid w:val="00CA78E2"/>
    <w:rsid w:val="00CB1BBE"/>
    <w:rsid w:val="00CB65DB"/>
    <w:rsid w:val="00CB6BD9"/>
    <w:rsid w:val="00CB6EE7"/>
    <w:rsid w:val="00CC0067"/>
    <w:rsid w:val="00CC293A"/>
    <w:rsid w:val="00CE19F6"/>
    <w:rsid w:val="00CF366B"/>
    <w:rsid w:val="00CF5D9D"/>
    <w:rsid w:val="00CF606C"/>
    <w:rsid w:val="00CF7423"/>
    <w:rsid w:val="00D001F5"/>
    <w:rsid w:val="00D03E80"/>
    <w:rsid w:val="00D03F61"/>
    <w:rsid w:val="00D15B9F"/>
    <w:rsid w:val="00D15DD6"/>
    <w:rsid w:val="00D16A83"/>
    <w:rsid w:val="00D25548"/>
    <w:rsid w:val="00D2601F"/>
    <w:rsid w:val="00D27759"/>
    <w:rsid w:val="00D30028"/>
    <w:rsid w:val="00D325D3"/>
    <w:rsid w:val="00D408D6"/>
    <w:rsid w:val="00D50AF0"/>
    <w:rsid w:val="00D511DD"/>
    <w:rsid w:val="00D55C2A"/>
    <w:rsid w:val="00D571C1"/>
    <w:rsid w:val="00D602F4"/>
    <w:rsid w:val="00D6457E"/>
    <w:rsid w:val="00D66CE9"/>
    <w:rsid w:val="00D742E2"/>
    <w:rsid w:val="00D7580E"/>
    <w:rsid w:val="00D76CAF"/>
    <w:rsid w:val="00D76FF3"/>
    <w:rsid w:val="00D87A39"/>
    <w:rsid w:val="00D87DAF"/>
    <w:rsid w:val="00D9446D"/>
    <w:rsid w:val="00D97FE2"/>
    <w:rsid w:val="00DA2994"/>
    <w:rsid w:val="00DB08E8"/>
    <w:rsid w:val="00DB0DED"/>
    <w:rsid w:val="00DB3073"/>
    <w:rsid w:val="00DB3BA9"/>
    <w:rsid w:val="00DB50FE"/>
    <w:rsid w:val="00DB5EDA"/>
    <w:rsid w:val="00DC0542"/>
    <w:rsid w:val="00DC2349"/>
    <w:rsid w:val="00DC3026"/>
    <w:rsid w:val="00DD1EDB"/>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019C"/>
    <w:rsid w:val="00EA11B1"/>
    <w:rsid w:val="00EA2224"/>
    <w:rsid w:val="00EA7194"/>
    <w:rsid w:val="00EB1329"/>
    <w:rsid w:val="00EB2987"/>
    <w:rsid w:val="00EB2D75"/>
    <w:rsid w:val="00EB34BE"/>
    <w:rsid w:val="00EB571A"/>
    <w:rsid w:val="00EC2804"/>
    <w:rsid w:val="00EC3F79"/>
    <w:rsid w:val="00EC6138"/>
    <w:rsid w:val="00ED1DCF"/>
    <w:rsid w:val="00ED43C9"/>
    <w:rsid w:val="00ED7460"/>
    <w:rsid w:val="00EE2C60"/>
    <w:rsid w:val="00EE2E58"/>
    <w:rsid w:val="00EE487A"/>
    <w:rsid w:val="00EE734C"/>
    <w:rsid w:val="00EF6907"/>
    <w:rsid w:val="00EF6D91"/>
    <w:rsid w:val="00EF7C4E"/>
    <w:rsid w:val="00F01F54"/>
    <w:rsid w:val="00F04D4D"/>
    <w:rsid w:val="00F11DD8"/>
    <w:rsid w:val="00F12745"/>
    <w:rsid w:val="00F13766"/>
    <w:rsid w:val="00F16273"/>
    <w:rsid w:val="00F20A77"/>
    <w:rsid w:val="00F22C60"/>
    <w:rsid w:val="00F231A4"/>
    <w:rsid w:val="00F23252"/>
    <w:rsid w:val="00F27B2A"/>
    <w:rsid w:val="00F345D3"/>
    <w:rsid w:val="00F356ED"/>
    <w:rsid w:val="00F35909"/>
    <w:rsid w:val="00F359B5"/>
    <w:rsid w:val="00F37183"/>
    <w:rsid w:val="00F4144F"/>
    <w:rsid w:val="00F433F3"/>
    <w:rsid w:val="00F47F64"/>
    <w:rsid w:val="00F522D9"/>
    <w:rsid w:val="00F52F54"/>
    <w:rsid w:val="00F53584"/>
    <w:rsid w:val="00F5449B"/>
    <w:rsid w:val="00F612C9"/>
    <w:rsid w:val="00F61B24"/>
    <w:rsid w:val="00F62DE5"/>
    <w:rsid w:val="00F63F8A"/>
    <w:rsid w:val="00F703DC"/>
    <w:rsid w:val="00F71D06"/>
    <w:rsid w:val="00F73B46"/>
    <w:rsid w:val="00F73D01"/>
    <w:rsid w:val="00F7642B"/>
    <w:rsid w:val="00F76A43"/>
    <w:rsid w:val="00F80334"/>
    <w:rsid w:val="00F83DF9"/>
    <w:rsid w:val="00F85DA0"/>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522D"/>
    <w:rsid w:val="00FE6A2B"/>
    <w:rsid w:val="00FF0275"/>
    <w:rsid w:val="00FF07B3"/>
    <w:rsid w:val="00FF1E37"/>
    <w:rsid w:val="00FF7FE8"/>
    <w:rsid w:val="0D385A62"/>
    <w:rsid w:val="34C26E6D"/>
    <w:rsid w:val="357D0F81"/>
    <w:rsid w:val="3B5B3B7A"/>
    <w:rsid w:val="3B6715C1"/>
    <w:rsid w:val="4CF8392A"/>
    <w:rsid w:val="533477D4"/>
    <w:rsid w:val="5B1B08BA"/>
    <w:rsid w:val="5B631957"/>
    <w:rsid w:val="65A731B2"/>
    <w:rsid w:val="7D08410F"/>
    <w:rsid w:val="7FFC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5"/>
    </w:pPr>
    <w:rPr>
      <w:rFonts w:ascii="仿宋_GB2312" w:hAnsi="Calibri" w:eastAsia="仿宋_GB2312"/>
      <w:sz w:val="32"/>
      <w:szCs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0"/>
    <w:pPr>
      <w:spacing w:before="100" w:beforeAutospacing="1" w:after="100" w:afterAutospacing="1"/>
      <w:ind w:right="238"/>
      <w:jc w:val="left"/>
    </w:pPr>
    <w:rPr>
      <w:b/>
      <w:kern w:val="0"/>
      <w:sz w:val="24"/>
      <w:szCs w:val="20"/>
    </w:rPr>
  </w:style>
  <w:style w:type="character" w:styleId="10">
    <w:name w:val="Strong"/>
    <w:qFormat/>
    <w:uiPriority w:val="0"/>
    <w:rPr>
      <w:b/>
    </w:rPr>
  </w:style>
  <w:style w:type="character" w:styleId="11">
    <w:name w:val="page number"/>
    <w:basedOn w:val="9"/>
    <w:qFormat/>
    <w:uiPriority w:val="0"/>
  </w:style>
  <w:style w:type="paragraph" w:customStyle="1" w:styleId="12">
    <w:name w:val="Char Char Char Char Char Char Char"/>
    <w:basedOn w:val="1"/>
    <w:qFormat/>
    <w:uiPriority w:val="0"/>
    <w:rPr>
      <w:rFonts w:ascii="Tahoma" w:hAnsi="Tahoma"/>
      <w:sz w:val="24"/>
      <w:szCs w:val="20"/>
    </w:rPr>
  </w:style>
  <w:style w:type="paragraph" w:customStyle="1" w:styleId="13">
    <w:name w:val="Char1 Char Char Char"/>
    <w:basedOn w:val="1"/>
    <w:qFormat/>
    <w:uiPriority w:val="0"/>
    <w:pPr>
      <w:widowControl/>
      <w:spacing w:after="160" w:line="240" w:lineRule="exact"/>
      <w:jc w:val="left"/>
    </w:pPr>
    <w:rPr>
      <w:szCs w:val="20"/>
    </w:rPr>
  </w:style>
  <w:style w:type="paragraph" w:customStyle="1" w:styleId="14">
    <w:name w:val="Char"/>
    <w:basedOn w:val="1"/>
    <w:qFormat/>
    <w:uiPriority w:val="0"/>
    <w:rPr>
      <w:rFonts w:ascii="Tahoma" w:hAnsi="Tahoma"/>
      <w:sz w:val="24"/>
      <w:szCs w:val="20"/>
    </w:rPr>
  </w:style>
  <w:style w:type="paragraph" w:customStyle="1" w:styleId="15">
    <w:name w:val="Char Char3 Char Char"/>
    <w:basedOn w:val="1"/>
    <w:qFormat/>
    <w:uiPriority w:val="0"/>
    <w:rPr>
      <w:szCs w:val="21"/>
    </w:rPr>
  </w:style>
  <w:style w:type="character" w:customStyle="1" w:styleId="16">
    <w:name w:val="页脚 Char"/>
    <w:link w:val="5"/>
    <w:qFormat/>
    <w:uiPriority w:val="0"/>
    <w:rPr>
      <w:rFonts w:eastAsia="宋体"/>
      <w:kern w:val="2"/>
      <w:sz w:val="18"/>
      <w:szCs w:val="18"/>
      <w:lang w:val="en-US" w:eastAsia="zh-CN" w:bidi="ar-SA"/>
    </w:rPr>
  </w:style>
  <w:style w:type="character" w:customStyle="1" w:styleId="17">
    <w:name w:val="页眉 Char"/>
    <w:link w:val="6"/>
    <w:qFormat/>
    <w:uiPriority w:val="0"/>
    <w:rPr>
      <w:rFonts w:ascii="Calibri" w:hAnsi="Calibri" w:eastAsia="宋体"/>
      <w:kern w:val="2"/>
      <w:sz w:val="18"/>
      <w:szCs w:val="18"/>
      <w:lang w:val="en-US" w:eastAsia="zh-CN" w:bidi="ar-SA"/>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1145</Words>
  <Characters>6531</Characters>
  <Lines>54</Lines>
  <Paragraphs>15</Paragraphs>
  <TotalTime>0</TotalTime>
  <ScaleCrop>false</ScaleCrop>
  <LinksUpToDate>false</LinksUpToDate>
  <CharactersWithSpaces>7661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2017-07-07T07:16:00Z</dcterms:created>
  <dc:creator>常程</dc:creator>
  <cp:lastModifiedBy>nwa</cp:lastModifiedBy>
  <cp:lastPrinted>2021-05-31T12:41:00Z</cp:lastPrinted>
  <dcterms:modified xsi:type="dcterms:W3CDTF">2022-09-02T04:54:17Z</dcterms:modified>
  <dc:title>北京市财政局关于做好向市人大常委会报送2015年度市级部门决算（草案）</dc:title>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