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72"/>
          <w:szCs w:val="72"/>
        </w:rPr>
      </w:pPr>
    </w:p>
    <w:p>
      <w:pPr>
        <w:pStyle w:val="2"/>
        <w:ind w:firstLine="420"/>
        <w:rPr>
          <w:rFonts w:hint="eastAsia"/>
        </w:rPr>
      </w:pPr>
    </w:p>
    <w:p>
      <w:pPr>
        <w:jc w:val="center"/>
        <w:rPr>
          <w:rFonts w:ascii="黑体" w:eastAsia="黑体"/>
          <w:sz w:val="72"/>
          <w:szCs w:val="72"/>
        </w:rPr>
      </w:pPr>
    </w:p>
    <w:p>
      <w:pPr>
        <w:jc w:val="center"/>
        <w:rPr>
          <w:rFonts w:hint="eastAsia" w:ascii="黑体" w:eastAsia="黑体"/>
          <w:sz w:val="72"/>
          <w:szCs w:val="72"/>
        </w:rPr>
      </w:pPr>
    </w:p>
    <w:p>
      <w:pPr>
        <w:jc w:val="center"/>
        <w:rPr>
          <w:rFonts w:hint="default" w:ascii="黑体" w:eastAsia="黑体"/>
          <w:color w:val="auto"/>
          <w:sz w:val="72"/>
          <w:szCs w:val="72"/>
          <w:lang w:val="en-US" w:eastAsia="zh-CN"/>
        </w:rPr>
      </w:pPr>
      <w:r>
        <w:rPr>
          <w:rFonts w:hint="eastAsia" w:ascii="黑体" w:eastAsia="黑体"/>
          <w:color w:val="auto"/>
          <w:sz w:val="72"/>
          <w:szCs w:val="72"/>
          <w:lang w:val="en-US" w:eastAsia="zh-CN"/>
        </w:rPr>
        <w:t>北京市丰台区蒲黄榆第二幼儿园</w:t>
      </w:r>
    </w:p>
    <w:p>
      <w:pPr>
        <w:jc w:val="center"/>
        <w:rPr>
          <w:rFonts w:ascii="黑体" w:eastAsia="黑体"/>
          <w:sz w:val="52"/>
          <w:szCs w:val="52"/>
        </w:rPr>
      </w:pPr>
      <w:r>
        <w:rPr>
          <w:rFonts w:hint="eastAsia" w:ascii="黑体" w:eastAsia="黑体"/>
          <w:sz w:val="72"/>
          <w:szCs w:val="72"/>
        </w:rPr>
        <w:t>2022年度部门决算（草案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pStyle w:val="2"/>
        <w:ind w:firstLine="1040"/>
        <w:rPr>
          <w:rFonts w:ascii="黑体" w:eastAsia="黑体"/>
          <w:sz w:val="52"/>
          <w:szCs w:val="52"/>
        </w:rPr>
      </w:pPr>
    </w:p>
    <w:p>
      <w:pPr>
        <w:pStyle w:val="2"/>
        <w:ind w:firstLine="1040"/>
        <w:rPr>
          <w:rFonts w:ascii="黑体" w:eastAsia="黑体"/>
          <w:sz w:val="52"/>
          <w:szCs w:val="52"/>
        </w:rPr>
      </w:pPr>
    </w:p>
    <w:p>
      <w:pPr>
        <w:jc w:val="center"/>
        <w:rPr>
          <w:rFonts w:ascii="黑体" w:eastAsia="黑体"/>
          <w:sz w:val="52"/>
          <w:szCs w:val="5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2022年度部门决算报表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hint="eastAsia" w:eastAsia="仿宋_GB231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2022年度部门决算说明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2022年度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2022年度部门绩效评价情况</w:t>
      </w: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2022年度部门决算报表</w:t>
      </w:r>
    </w:p>
    <w:p>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sz w:val="28"/>
          <w:szCs w:val="28"/>
          <w:lang w:val="en-US" w:eastAsia="zh-CN"/>
        </w:rPr>
        <w:t>北京市丰台区蒲黄榆第二幼儿园</w:t>
      </w:r>
      <w:r>
        <w:rPr>
          <w:rFonts w:hint="eastAsia" w:ascii="仿宋_GB2312" w:eastAsia="仿宋_GB2312"/>
          <w:kern w:val="0"/>
          <w:sz w:val="28"/>
          <w:szCs w:val="28"/>
        </w:rPr>
        <w:t>2022年度部门决算报表详见附件</w:t>
      </w:r>
      <w:r>
        <w:rPr>
          <w:rFonts w:hint="eastAsia" w:ascii="仿宋_GB2312" w:hAnsi="宋体" w:eastAsia="仿宋_GB2312" w:cs="宋体"/>
          <w:bCs/>
          <w:spacing w:val="40"/>
          <w:kern w:val="0"/>
          <w:sz w:val="32"/>
          <w:szCs w:val="32"/>
        </w:rPr>
        <w:t>。</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2022年度部门决算说明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一、单位基本情况</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1260" w:firstLineChars="450"/>
        <w:rPr>
          <w:rFonts w:hint="eastAsia" w:ascii="仿宋_GB2312" w:eastAsia="仿宋_GB2312"/>
          <w:color w:val="auto"/>
          <w:sz w:val="28"/>
          <w:szCs w:val="28"/>
        </w:rPr>
      </w:pPr>
      <w:r>
        <w:rPr>
          <w:rFonts w:hint="eastAsia" w:ascii="仿宋_GB2312" w:eastAsia="仿宋_GB2312"/>
          <w:color w:val="auto"/>
          <w:sz w:val="28"/>
          <w:szCs w:val="28"/>
        </w:rPr>
        <w:t>机构设置：事业单位1个，职责：1，实行保教结合的原则，培养幼儿德、智、体、美全面发展。</w:t>
      </w:r>
    </w:p>
    <w:p>
      <w:pPr>
        <w:tabs>
          <w:tab w:val="center" w:pos="6979"/>
        </w:tabs>
        <w:spacing w:line="580" w:lineRule="exact"/>
        <w:ind w:firstLine="1260" w:firstLineChars="450"/>
        <w:rPr>
          <w:rFonts w:hint="eastAsia" w:ascii="仿宋_GB2312" w:eastAsia="仿宋_GB2312"/>
          <w:color w:val="auto"/>
          <w:sz w:val="28"/>
          <w:szCs w:val="28"/>
        </w:rPr>
      </w:pPr>
      <w:r>
        <w:rPr>
          <w:rFonts w:hint="eastAsia" w:ascii="仿宋_GB2312" w:eastAsia="仿宋_GB2312"/>
          <w:color w:val="auto"/>
          <w:sz w:val="28"/>
          <w:szCs w:val="28"/>
        </w:rPr>
        <w:t>2，幼儿园实行园长负责制，园长是幼儿园的法人代表，履行园长聘任制职责，全面负责幼儿园行政管理工作。</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1120" w:firstLineChars="400"/>
        <w:rPr>
          <w:rFonts w:ascii="仿宋_GB2312" w:eastAsia="仿宋_GB2312"/>
          <w:kern w:val="0"/>
          <w:sz w:val="28"/>
          <w:szCs w:val="28"/>
        </w:rPr>
      </w:pPr>
      <w:r>
        <w:rPr>
          <w:rFonts w:hint="eastAsia" w:ascii="仿宋_GB2312" w:eastAsia="仿宋_GB2312"/>
          <w:kern w:val="0"/>
          <w:sz w:val="28"/>
          <w:szCs w:val="28"/>
        </w:rPr>
        <w:t>事业编制</w:t>
      </w:r>
      <w:r>
        <w:rPr>
          <w:rFonts w:hint="eastAsia" w:ascii="仿宋_GB2312" w:eastAsia="仿宋_GB2312"/>
          <w:kern w:val="0"/>
          <w:sz w:val="28"/>
          <w:szCs w:val="28"/>
          <w:lang w:val="en-US" w:eastAsia="zh-CN"/>
        </w:rPr>
        <w:t>59</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54</w:t>
      </w:r>
      <w:r>
        <w:rPr>
          <w:rFonts w:hint="eastAsia" w:ascii="仿宋_GB2312" w:eastAsia="仿宋_GB2312"/>
          <w:kern w:val="0"/>
          <w:sz w:val="28"/>
          <w:szCs w:val="28"/>
        </w:rPr>
        <w:t>人。</w:t>
      </w:r>
    </w:p>
    <w:p>
      <w:pPr>
        <w:tabs>
          <w:tab w:val="center" w:pos="6979"/>
        </w:tabs>
        <w:spacing w:line="580" w:lineRule="exact"/>
        <w:rPr>
          <w:rFonts w:hint="eastAsia" w:ascii="黑体" w:eastAsia="黑体"/>
          <w:b/>
          <w:color w:val="auto"/>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color w:val="auto"/>
          <w:sz w:val="28"/>
          <w:szCs w:val="28"/>
        </w:rPr>
      </w:pPr>
      <w:r>
        <w:rPr>
          <w:rFonts w:hint="eastAsia" w:ascii="仿宋_GB2312" w:eastAsia="仿宋_GB2312"/>
          <w:color w:val="auto"/>
          <w:sz w:val="28"/>
          <w:szCs w:val="28"/>
        </w:rPr>
        <w:t>2022年度收、</w:t>
      </w:r>
      <w:r>
        <w:rPr>
          <w:rFonts w:ascii="仿宋_GB2312" w:eastAsia="仿宋_GB2312"/>
          <w:color w:val="auto"/>
          <w:sz w:val="28"/>
          <w:szCs w:val="28"/>
        </w:rPr>
        <w:t>支</w:t>
      </w:r>
      <w:r>
        <w:rPr>
          <w:rFonts w:hint="eastAsia" w:ascii="仿宋_GB2312" w:eastAsia="仿宋_GB2312"/>
          <w:color w:val="auto"/>
          <w:sz w:val="28"/>
          <w:szCs w:val="28"/>
        </w:rPr>
        <w:t>总计</w:t>
      </w:r>
      <w:r>
        <w:rPr>
          <w:rFonts w:hint="default" w:ascii="仿宋_GB2312" w:eastAsia="仿宋_GB2312"/>
          <w:color w:val="auto"/>
          <w:sz w:val="28"/>
          <w:szCs w:val="28"/>
        </w:rPr>
        <w:t>2181.3</w:t>
      </w:r>
      <w:r>
        <w:rPr>
          <w:rFonts w:hint="eastAsia" w:ascii="仿宋_GB2312" w:eastAsia="仿宋_GB2312"/>
          <w:color w:val="auto"/>
          <w:sz w:val="28"/>
          <w:szCs w:val="28"/>
        </w:rPr>
        <w:t>万元，</w:t>
      </w:r>
      <w:r>
        <w:rPr>
          <w:rFonts w:ascii="仿宋_GB2312" w:eastAsia="仿宋_GB2312"/>
          <w:color w:val="auto"/>
          <w:sz w:val="28"/>
          <w:szCs w:val="28"/>
        </w:rPr>
        <w:t>比上年</w:t>
      </w:r>
      <w:r>
        <w:rPr>
          <w:rFonts w:hint="eastAsia" w:ascii="仿宋_GB2312" w:eastAsia="仿宋_GB2312"/>
          <w:color w:val="auto"/>
          <w:sz w:val="28"/>
          <w:szCs w:val="28"/>
        </w:rPr>
        <w:t>减少</w:t>
      </w:r>
      <w:r>
        <w:rPr>
          <w:rFonts w:hint="default" w:ascii="仿宋_GB2312" w:eastAsia="仿宋_GB2312"/>
          <w:color w:val="auto"/>
          <w:sz w:val="28"/>
          <w:szCs w:val="28"/>
        </w:rPr>
        <w:t>289.03</w:t>
      </w:r>
      <w:r>
        <w:rPr>
          <w:rFonts w:hint="eastAsia" w:ascii="仿宋_GB2312" w:eastAsia="仿宋_GB2312"/>
          <w:color w:val="auto"/>
          <w:sz w:val="28"/>
          <w:szCs w:val="28"/>
        </w:rPr>
        <w:t>万元，下降</w:t>
      </w:r>
      <w:r>
        <w:rPr>
          <w:rFonts w:hint="default" w:ascii="仿宋_GB2312" w:eastAsia="仿宋_GB2312"/>
          <w:color w:val="auto"/>
          <w:sz w:val="28"/>
          <w:szCs w:val="28"/>
        </w:rPr>
        <w:t>11.7</w:t>
      </w:r>
      <w:r>
        <w:rPr>
          <w:rFonts w:hint="eastAsia" w:ascii="仿宋_GB2312" w:eastAsia="仿宋_GB2312"/>
          <w:color w:val="auto"/>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60" w:firstLineChars="20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2022年度本年收入合计</w:t>
      </w:r>
      <w:r>
        <w:rPr>
          <w:rFonts w:hint="default" w:ascii="仿宋_GB2312" w:hAnsi="Times New Roman" w:eastAsia="仿宋_GB2312" w:cs="Times New Roman"/>
          <w:color w:val="auto"/>
          <w:sz w:val="28"/>
          <w:szCs w:val="28"/>
        </w:rPr>
        <w:t>2087.75</w:t>
      </w:r>
      <w:r>
        <w:rPr>
          <w:rFonts w:hint="eastAsia" w:ascii="仿宋_GB2312" w:hAnsi="Times New Roman" w:eastAsia="仿宋_GB2312" w:cs="Times New Roman"/>
          <w:color w:val="auto"/>
          <w:sz w:val="28"/>
          <w:szCs w:val="28"/>
        </w:rPr>
        <w:t>万元，比上年减少</w:t>
      </w:r>
      <w:r>
        <w:rPr>
          <w:rFonts w:hint="default" w:ascii="仿宋_GB2312" w:hAnsi="Times New Roman" w:eastAsia="仿宋_GB2312" w:cs="Times New Roman"/>
          <w:color w:val="auto"/>
          <w:sz w:val="28"/>
          <w:szCs w:val="28"/>
        </w:rPr>
        <w:t>252.69</w:t>
      </w:r>
      <w:r>
        <w:rPr>
          <w:rFonts w:hint="eastAsia" w:ascii="仿宋_GB2312" w:hAnsi="Times New Roman" w:eastAsia="仿宋_GB2312" w:cs="Times New Roman"/>
          <w:color w:val="auto"/>
          <w:sz w:val="28"/>
          <w:szCs w:val="28"/>
        </w:rPr>
        <w:t>万元，下降</w:t>
      </w:r>
      <w:r>
        <w:rPr>
          <w:rFonts w:hint="default" w:ascii="仿宋_GB2312" w:hAnsi="Times New Roman" w:eastAsia="仿宋_GB2312" w:cs="Times New Roman"/>
          <w:color w:val="auto"/>
          <w:sz w:val="28"/>
          <w:szCs w:val="28"/>
        </w:rPr>
        <w:t>10.7</w:t>
      </w:r>
      <w:r>
        <w:rPr>
          <w:rFonts w:hint="eastAsia" w:ascii="仿宋_GB2312" w:hAnsi="Times New Roman" w:eastAsia="仿宋_GB2312" w:cs="Times New Roman"/>
          <w:color w:val="auto"/>
          <w:sz w:val="28"/>
          <w:szCs w:val="28"/>
        </w:rPr>
        <w:t>%，其中：财政拨款收入</w:t>
      </w:r>
      <w:r>
        <w:rPr>
          <w:rFonts w:hint="eastAsia" w:ascii="仿宋_GB2312" w:hAnsi="Times New Roman"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lang w:eastAsia="zh-CN"/>
        </w:rPr>
        <w:t>079.6</w:t>
      </w:r>
      <w:r>
        <w:rPr>
          <w:rFonts w:hint="eastAsia" w:ascii="仿宋_GB2312" w:hAnsi="Times New Roman" w:eastAsia="仿宋_GB2312" w:cs="Times New Roman"/>
          <w:color w:val="auto"/>
          <w:sz w:val="28"/>
          <w:szCs w:val="28"/>
        </w:rPr>
        <w:t>万元，占收入合计的99.6%；上级补助收入0万元，占收入合计的0%；事业收入0万元，占收入合计的0%；经营收入0万元，占收入合计的0%；附属单位上缴收入0万元，占收入合计的0%；其他收入8.15万元，占收入合计的0.4%。</w:t>
      </w:r>
    </w:p>
    <w:p>
      <w:pPr>
        <w:pStyle w:val="2"/>
        <w:ind w:firstLine="640"/>
        <w:jc w:val="center"/>
        <w:rPr>
          <w:rFonts w:hint="eastAsia" w:ascii="仿宋" w:hAnsi="仿宋" w:eastAsia="仿宋"/>
          <w:color w:val="000000"/>
          <w:sz w:val="32"/>
          <w:lang w:eastAsia="zh-CN"/>
        </w:rPr>
      </w:pPr>
      <w:r>
        <w:rPr>
          <w:rFonts w:hint="eastAsia" w:ascii="仿宋" w:hAnsi="仿宋" w:eastAsia="仿宋"/>
          <w:color w:val="000000"/>
          <w:sz w:val="32"/>
        </w:rPr>
        <w:t>图1：收入</w:t>
      </w:r>
      <w:r>
        <w:rPr>
          <w:rFonts w:hint="eastAsia" w:ascii="仿宋" w:hAnsi="仿宋" w:eastAsia="仿宋"/>
          <w:color w:val="000000"/>
          <w:sz w:val="32"/>
          <w:lang w:val="en-US" w:eastAsia="zh-CN"/>
        </w:rPr>
        <w:t>决算</w:t>
      </w:r>
    </w:p>
    <w:p>
      <w:pPr>
        <w:pStyle w:val="2"/>
        <w:ind w:firstLine="640"/>
        <w:jc w:val="center"/>
        <w:rPr>
          <w:rFonts w:hint="eastAsia" w:ascii="仿宋" w:hAnsi="仿宋" w:eastAsia="仿宋"/>
          <w:color w:val="000000"/>
          <w:sz w:val="32"/>
          <w:lang w:eastAsia="zh-CN"/>
        </w:rPr>
      </w:pPr>
      <w:r>
        <w:rPr>
          <w:rFonts w:hint="eastAsia" w:ascii="仿宋" w:hAnsi="仿宋" w:eastAsia="仿宋"/>
          <w:color w:val="000000"/>
          <w:sz w:val="32"/>
          <w:lang w:eastAsia="zh-CN"/>
        </w:rPr>
        <w:drawing>
          <wp:inline distT="0" distB="0" distL="114300" distR="114300">
            <wp:extent cx="5080000" cy="3810000"/>
            <wp:effectExtent l="4445" t="4445" r="5715" b="41275"/>
            <wp:docPr id="4" name="图表 4" descr="7b0a202020202263686172745265734964223a202232303437313237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ind w:firstLine="420"/>
        <w:jc w:val="center"/>
        <w:rPr>
          <w:rFonts w:hint="eastAsia" w:ascii="仿宋" w:hAnsi="仿宋" w:eastAsia="仿宋"/>
          <w:color w:val="000000"/>
          <w:sz w:val="32"/>
        </w:rPr>
      </w:pPr>
    </w:p>
    <w:p>
      <w:pPr>
        <w:tabs>
          <w:tab w:val="center" w:pos="6979"/>
        </w:tabs>
        <w:spacing w:line="580" w:lineRule="exact"/>
        <w:ind w:firstLine="570"/>
        <w:rPr>
          <w:rFonts w:hint="eastAsia" w:ascii="仿宋_GB2312" w:eastAsia="仿宋_GB2312"/>
          <w:sz w:val="28"/>
          <w:szCs w:val="28"/>
        </w:rPr>
      </w:pPr>
    </w:p>
    <w:p>
      <w:pPr>
        <w:tabs>
          <w:tab w:val="center" w:pos="6979"/>
        </w:tabs>
        <w:spacing w:line="580" w:lineRule="exact"/>
        <w:ind w:firstLine="570"/>
        <w:rPr>
          <w:rFonts w:hint="eastAsia" w:ascii="仿宋_GB2312" w:eastAsia="仿宋_GB2312"/>
          <w:sz w:val="28"/>
          <w:szCs w:val="28"/>
        </w:rPr>
      </w:pPr>
    </w:p>
    <w:p>
      <w:pPr>
        <w:tabs>
          <w:tab w:val="center" w:pos="6979"/>
        </w:tabs>
        <w:spacing w:line="580" w:lineRule="exact"/>
        <w:ind w:firstLine="570"/>
        <w:rPr>
          <w:rFonts w:hint="eastAsia" w:ascii="仿宋_GB2312" w:eastAsia="仿宋_GB2312"/>
          <w:sz w:val="28"/>
          <w:szCs w:val="28"/>
        </w:rPr>
      </w:pP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keepNext w:val="0"/>
        <w:keepLines w:val="0"/>
        <w:widowControl/>
        <w:suppressLineNumbers w:val="0"/>
        <w:ind w:firstLine="560" w:firstLineChars="200"/>
        <w:jc w:val="left"/>
        <w:rPr>
          <w:rFonts w:hint="eastAsia" w:ascii="仿宋_GB2312" w:hAnsi="Times New Roman" w:eastAsia="仿宋_GB2312" w:cs="Times New Roman"/>
          <w:color w:val="auto"/>
          <w:sz w:val="28"/>
          <w:szCs w:val="28"/>
        </w:rPr>
      </w:pPr>
      <w:r>
        <w:rPr>
          <w:rFonts w:hint="eastAsia" w:ascii="仿宋_GB2312" w:eastAsia="仿宋_GB2312"/>
          <w:sz w:val="28"/>
          <w:szCs w:val="28"/>
        </w:rPr>
        <w:t>2</w:t>
      </w:r>
      <w:r>
        <w:rPr>
          <w:rFonts w:hint="eastAsia" w:ascii="仿宋_GB2312" w:hAnsi="Times New Roman" w:eastAsia="仿宋_GB2312" w:cs="Times New Roman"/>
          <w:color w:val="auto"/>
          <w:sz w:val="28"/>
          <w:szCs w:val="28"/>
        </w:rPr>
        <w:t>022年度本年支出合计</w:t>
      </w:r>
      <w:r>
        <w:rPr>
          <w:rFonts w:hint="eastAsia" w:ascii="仿宋_GB2312" w:hAnsi="Times New Roman" w:eastAsia="仿宋_GB2312" w:cs="Times New Roman"/>
          <w:color w:val="auto"/>
          <w:sz w:val="28"/>
          <w:szCs w:val="28"/>
          <w:lang w:val="en-US" w:eastAsia="zh-CN"/>
        </w:rPr>
        <w:t>2115.8</w:t>
      </w:r>
      <w:r>
        <w:rPr>
          <w:rFonts w:hint="eastAsia" w:ascii="仿宋_GB2312" w:hAnsi="Times New Roman" w:eastAsia="仿宋_GB2312" w:cs="Times New Roman"/>
          <w:color w:val="auto"/>
          <w:sz w:val="28"/>
          <w:szCs w:val="28"/>
        </w:rPr>
        <w:t>万元，比上年减少</w:t>
      </w:r>
      <w:r>
        <w:rPr>
          <w:rFonts w:hint="eastAsia" w:ascii="仿宋_GB2312" w:hAnsi="Times New Roman" w:eastAsia="仿宋_GB2312" w:cs="Times New Roman"/>
          <w:color w:val="auto"/>
          <w:sz w:val="28"/>
          <w:szCs w:val="28"/>
          <w:lang w:val="en-US" w:eastAsia="zh-CN"/>
        </w:rPr>
        <w:t>248.76</w:t>
      </w:r>
      <w:r>
        <w:rPr>
          <w:rFonts w:hint="eastAsia" w:ascii="仿宋_GB2312" w:hAnsi="Times New Roman" w:eastAsia="仿宋_GB2312" w:cs="Times New Roman"/>
          <w:color w:val="auto"/>
          <w:sz w:val="28"/>
          <w:szCs w:val="28"/>
        </w:rPr>
        <w:t>万元，下降</w:t>
      </w:r>
      <w:r>
        <w:rPr>
          <w:rFonts w:hint="eastAsia" w:ascii="仿宋_GB2312" w:hAnsi="Times New Roman" w:eastAsia="仿宋_GB2312" w:cs="Times New Roman"/>
          <w:color w:val="auto"/>
          <w:sz w:val="28"/>
          <w:szCs w:val="28"/>
          <w:lang w:val="en-US" w:eastAsia="zh-CN"/>
        </w:rPr>
        <w:t>10.52</w:t>
      </w:r>
      <w:r>
        <w:rPr>
          <w:rFonts w:hint="eastAsia" w:ascii="仿宋_GB2312" w:hAnsi="Times New Roman" w:eastAsia="仿宋_GB2312" w:cs="Times New Roman"/>
          <w:color w:val="auto"/>
          <w:sz w:val="28"/>
          <w:szCs w:val="28"/>
        </w:rPr>
        <w:t>%，其中：基本支出</w:t>
      </w:r>
      <w:r>
        <w:rPr>
          <w:rFonts w:hint="eastAsia" w:ascii="仿宋_GB2312" w:hAnsi="Times New Roman" w:eastAsia="仿宋_GB2312" w:cs="Times New Roman"/>
          <w:color w:val="auto"/>
          <w:sz w:val="28"/>
          <w:szCs w:val="28"/>
          <w:lang w:val="en-US" w:eastAsia="zh-CN"/>
        </w:rPr>
        <w:t xml:space="preserve">1953.95 </w:t>
      </w:r>
      <w:r>
        <w:rPr>
          <w:rFonts w:hint="eastAsia" w:ascii="仿宋_GB2312" w:hAnsi="Times New Roman" w:eastAsia="仿宋_GB2312" w:cs="Times New Roman"/>
          <w:color w:val="auto"/>
          <w:sz w:val="28"/>
          <w:szCs w:val="28"/>
        </w:rPr>
        <w:t>万元，占支出合计的</w:t>
      </w:r>
      <w:r>
        <w:rPr>
          <w:rFonts w:hint="eastAsia" w:ascii="仿宋_GB2312" w:hAnsi="Times New Roman" w:eastAsia="仿宋_GB2312" w:cs="Times New Roman"/>
          <w:color w:val="auto"/>
          <w:sz w:val="28"/>
          <w:szCs w:val="28"/>
          <w:lang w:val="en-US" w:eastAsia="zh-CN"/>
        </w:rPr>
        <w:t>92.35</w:t>
      </w:r>
      <w:r>
        <w:rPr>
          <w:rFonts w:hint="eastAsia" w:ascii="仿宋_GB2312" w:hAnsi="Times New Roman" w:eastAsia="仿宋_GB2312" w:cs="Times New Roman"/>
          <w:color w:val="auto"/>
          <w:sz w:val="28"/>
          <w:szCs w:val="28"/>
        </w:rPr>
        <w:t>%；项目支出</w:t>
      </w:r>
      <w:r>
        <w:rPr>
          <w:rFonts w:hint="eastAsia" w:ascii="仿宋_GB2312" w:hAnsi="Times New Roman" w:eastAsia="仿宋_GB2312" w:cs="Times New Roman"/>
          <w:color w:val="auto"/>
          <w:sz w:val="28"/>
          <w:szCs w:val="28"/>
          <w:lang w:val="en-US" w:eastAsia="zh-CN"/>
        </w:rPr>
        <w:t xml:space="preserve">161.95 </w:t>
      </w:r>
      <w:r>
        <w:rPr>
          <w:rFonts w:hint="eastAsia" w:ascii="仿宋_GB2312" w:hAnsi="Times New Roman" w:eastAsia="仿宋_GB2312" w:cs="Times New Roman"/>
          <w:color w:val="auto"/>
          <w:sz w:val="28"/>
          <w:szCs w:val="28"/>
        </w:rPr>
        <w:t>万元，占支出合计的</w:t>
      </w:r>
      <w:r>
        <w:rPr>
          <w:rFonts w:hint="eastAsia" w:ascii="仿宋_GB2312" w:hAnsi="Times New Roman" w:eastAsia="仿宋_GB2312" w:cs="Times New Roman"/>
          <w:color w:val="auto"/>
          <w:sz w:val="28"/>
          <w:szCs w:val="28"/>
          <w:lang w:val="en-US" w:eastAsia="zh-CN"/>
        </w:rPr>
        <w:t>7.65</w:t>
      </w:r>
      <w:r>
        <w:rPr>
          <w:rFonts w:hint="eastAsia" w:ascii="仿宋_GB2312" w:hAnsi="Times New Roman" w:eastAsia="仿宋_GB2312" w:cs="Times New Roman"/>
          <w:color w:val="auto"/>
          <w:sz w:val="28"/>
          <w:szCs w:val="28"/>
        </w:rPr>
        <w:t>%;上缴上级支出</w:t>
      </w:r>
      <w:r>
        <w:rPr>
          <w:rFonts w:hint="eastAsia" w:ascii="仿宋_GB2312" w:hAnsi="Times New Roman" w:eastAsia="仿宋_GB2312" w:cs="Times New Roman"/>
          <w:color w:val="auto"/>
          <w:sz w:val="28"/>
          <w:szCs w:val="28"/>
          <w:lang w:val="en-US" w:eastAsia="zh-CN"/>
        </w:rPr>
        <w:t>0</w:t>
      </w:r>
      <w:r>
        <w:rPr>
          <w:rFonts w:hint="eastAsia" w:ascii="仿宋_GB2312" w:hAnsi="Times New Roman" w:eastAsia="仿宋_GB2312" w:cs="Times New Roman"/>
          <w:color w:val="auto"/>
          <w:sz w:val="28"/>
          <w:szCs w:val="28"/>
        </w:rPr>
        <w:t>万元，占支出合计的</w:t>
      </w:r>
      <w:r>
        <w:rPr>
          <w:rFonts w:hint="eastAsia" w:ascii="仿宋_GB2312" w:hAnsi="Times New Roman" w:eastAsia="仿宋_GB2312" w:cs="Times New Roman"/>
          <w:color w:val="auto"/>
          <w:sz w:val="28"/>
          <w:szCs w:val="28"/>
          <w:lang w:val="en-US" w:eastAsia="zh-CN"/>
        </w:rPr>
        <w:t>0</w:t>
      </w:r>
      <w:r>
        <w:rPr>
          <w:rFonts w:hint="eastAsia" w:ascii="仿宋_GB2312" w:hAnsi="Times New Roman" w:eastAsia="仿宋_GB2312" w:cs="Times New Roman"/>
          <w:color w:val="auto"/>
          <w:sz w:val="28"/>
          <w:szCs w:val="28"/>
        </w:rPr>
        <w:t>%；经营支出</w:t>
      </w:r>
      <w:r>
        <w:rPr>
          <w:rFonts w:hint="eastAsia" w:ascii="仿宋_GB2312" w:hAnsi="Times New Roman" w:eastAsia="仿宋_GB2312" w:cs="Times New Roman"/>
          <w:color w:val="auto"/>
          <w:sz w:val="28"/>
          <w:szCs w:val="28"/>
          <w:lang w:val="en-US" w:eastAsia="zh-CN"/>
        </w:rPr>
        <w:t>0</w:t>
      </w:r>
      <w:r>
        <w:rPr>
          <w:rFonts w:hint="eastAsia" w:ascii="仿宋_GB2312" w:hAnsi="Times New Roman" w:eastAsia="仿宋_GB2312" w:cs="Times New Roman"/>
          <w:color w:val="auto"/>
          <w:sz w:val="28"/>
          <w:szCs w:val="28"/>
        </w:rPr>
        <w:t>万元，占支出合计的</w:t>
      </w:r>
      <w:r>
        <w:rPr>
          <w:rFonts w:hint="eastAsia" w:ascii="仿宋_GB2312" w:hAnsi="Times New Roman" w:eastAsia="仿宋_GB2312" w:cs="Times New Roman"/>
          <w:color w:val="auto"/>
          <w:sz w:val="28"/>
          <w:szCs w:val="28"/>
          <w:lang w:val="en-US" w:eastAsia="zh-CN"/>
        </w:rPr>
        <w:t>0</w:t>
      </w:r>
      <w:r>
        <w:rPr>
          <w:rFonts w:hint="eastAsia" w:ascii="仿宋_GB2312" w:hAnsi="Times New Roman" w:eastAsia="仿宋_GB2312" w:cs="Times New Roman"/>
          <w:color w:val="auto"/>
          <w:sz w:val="28"/>
          <w:szCs w:val="28"/>
        </w:rPr>
        <w:t>%；对附属单位补助支出</w:t>
      </w:r>
      <w:r>
        <w:rPr>
          <w:rFonts w:hint="eastAsia" w:ascii="仿宋_GB2312" w:hAnsi="Times New Roman" w:eastAsia="仿宋_GB2312" w:cs="Times New Roman"/>
          <w:color w:val="auto"/>
          <w:sz w:val="28"/>
          <w:szCs w:val="28"/>
          <w:lang w:val="en-US" w:eastAsia="zh-CN"/>
        </w:rPr>
        <w:t>0</w:t>
      </w:r>
      <w:r>
        <w:rPr>
          <w:rFonts w:hint="eastAsia" w:ascii="仿宋_GB2312" w:hAnsi="Times New Roman" w:eastAsia="仿宋_GB2312" w:cs="Times New Roman"/>
          <w:color w:val="auto"/>
          <w:sz w:val="28"/>
          <w:szCs w:val="28"/>
        </w:rPr>
        <w:t>万元，占支出合计的</w:t>
      </w:r>
      <w:r>
        <w:rPr>
          <w:rFonts w:hint="eastAsia" w:ascii="仿宋_GB2312" w:hAnsi="Times New Roman" w:eastAsia="仿宋_GB2312" w:cs="Times New Roman"/>
          <w:color w:val="auto"/>
          <w:sz w:val="28"/>
          <w:szCs w:val="28"/>
          <w:lang w:val="en-US" w:eastAsia="zh-CN"/>
        </w:rPr>
        <w:t>0</w:t>
      </w:r>
      <w:r>
        <w:rPr>
          <w:rFonts w:hint="eastAsia" w:ascii="仿宋_GB2312" w:hAnsi="Times New Roman" w:eastAsia="仿宋_GB2312" w:cs="Times New Roman"/>
          <w:color w:val="auto"/>
          <w:sz w:val="28"/>
          <w:szCs w:val="28"/>
        </w:rPr>
        <w:t>%。</w:t>
      </w:r>
    </w:p>
    <w:p>
      <w:pPr>
        <w:tabs>
          <w:tab w:val="center" w:pos="6979"/>
        </w:tabs>
        <w:spacing w:line="580" w:lineRule="exact"/>
        <w:ind w:firstLine="570"/>
        <w:jc w:val="center"/>
        <w:rPr>
          <w:rFonts w:hint="eastAsia" w:ascii="仿宋" w:hAnsi="仿宋" w:eastAsia="仿宋"/>
          <w:color w:val="000000"/>
          <w:sz w:val="32"/>
        </w:rPr>
      </w:pPr>
      <w:r>
        <w:rPr>
          <w:rFonts w:hint="eastAsia" w:ascii="仿宋" w:hAnsi="仿宋" w:eastAsia="仿宋"/>
          <w:color w:val="000000"/>
          <w:sz w:val="32"/>
        </w:rPr>
        <w:t>图2：基本支出和项目支出情况</w:t>
      </w:r>
    </w:p>
    <w:p>
      <w:pPr>
        <w:tabs>
          <w:tab w:val="center" w:pos="6979"/>
        </w:tabs>
        <w:spacing w:line="580" w:lineRule="exact"/>
        <w:jc w:val="both"/>
        <w:rPr>
          <w:rFonts w:hint="eastAsia" w:ascii="仿宋" w:hAnsi="仿宋" w:eastAsia="仿宋"/>
          <w:color w:val="000000"/>
          <w:sz w:val="32"/>
        </w:rPr>
      </w:pPr>
      <w:r>
        <w:rPr>
          <w:rFonts w:hint="eastAsia" w:ascii="仿宋" w:hAnsi="仿宋" w:eastAsia="仿宋"/>
          <w:color w:val="000000"/>
          <w:sz w:val="32"/>
          <w:lang w:eastAsia="zh-CN"/>
        </w:rPr>
        <w:drawing>
          <wp:anchor distT="0" distB="0" distL="114300" distR="114300" simplePos="0" relativeHeight="251659264" behindDoc="0" locked="0" layoutInCell="1" allowOverlap="1">
            <wp:simplePos x="0" y="0"/>
            <wp:positionH relativeFrom="column">
              <wp:posOffset>2218055</wp:posOffset>
            </wp:positionH>
            <wp:positionV relativeFrom="paragraph">
              <wp:posOffset>100965</wp:posOffset>
            </wp:positionV>
            <wp:extent cx="4890135" cy="3268980"/>
            <wp:effectExtent l="5080" t="4445" r="12065" b="48895"/>
            <wp:wrapSquare wrapText="bothSides"/>
            <wp:docPr id="5" name="图表 5" descr="7b0a202020202263686172745265734964223a202232303437353538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tabs>
          <w:tab w:val="center" w:pos="6979"/>
        </w:tabs>
        <w:spacing w:line="580" w:lineRule="exact"/>
        <w:ind w:firstLine="570"/>
        <w:rPr>
          <w:rFonts w:hint="eastAsia" w:ascii="仿宋" w:hAnsi="仿宋" w:eastAsia="仿宋"/>
          <w:color w:val="000000"/>
          <w:sz w:val="32"/>
        </w:rPr>
      </w:pPr>
    </w:p>
    <w:p>
      <w:pPr>
        <w:tabs>
          <w:tab w:val="center" w:pos="6979"/>
        </w:tabs>
        <w:spacing w:line="580" w:lineRule="exact"/>
        <w:ind w:firstLine="570"/>
        <w:rPr>
          <w:rFonts w:hint="eastAsia" w:ascii="仿宋" w:hAnsi="仿宋" w:eastAsia="仿宋"/>
          <w:color w:val="000000"/>
          <w:sz w:val="32"/>
        </w:rPr>
      </w:pPr>
    </w:p>
    <w:p>
      <w:pPr>
        <w:tabs>
          <w:tab w:val="center" w:pos="6979"/>
        </w:tabs>
        <w:spacing w:line="580" w:lineRule="exact"/>
        <w:ind w:firstLine="570"/>
        <w:rPr>
          <w:rFonts w:hint="eastAsia" w:ascii="仿宋" w:hAnsi="仿宋" w:eastAsia="仿宋"/>
          <w:color w:val="000000"/>
          <w:sz w:val="32"/>
        </w:rPr>
      </w:pPr>
    </w:p>
    <w:p>
      <w:pPr>
        <w:tabs>
          <w:tab w:val="center" w:pos="6979"/>
        </w:tabs>
        <w:spacing w:line="580" w:lineRule="exact"/>
        <w:ind w:firstLine="570"/>
        <w:rPr>
          <w:rFonts w:hint="eastAsia" w:ascii="仿宋" w:hAnsi="仿宋" w:eastAsia="仿宋"/>
          <w:color w:val="000000"/>
          <w:sz w:val="32"/>
        </w:rPr>
      </w:pPr>
    </w:p>
    <w:p>
      <w:pPr>
        <w:tabs>
          <w:tab w:val="center" w:pos="6979"/>
        </w:tabs>
        <w:spacing w:line="580" w:lineRule="exact"/>
        <w:ind w:firstLine="570"/>
        <w:rPr>
          <w:rFonts w:hint="eastAsia" w:ascii="仿宋" w:hAnsi="仿宋" w:eastAsia="仿宋"/>
          <w:color w:val="000000"/>
          <w:sz w:val="32"/>
        </w:rPr>
      </w:pPr>
    </w:p>
    <w:p>
      <w:pPr>
        <w:tabs>
          <w:tab w:val="center" w:pos="6979"/>
        </w:tabs>
        <w:spacing w:line="580" w:lineRule="exact"/>
        <w:ind w:firstLine="570"/>
        <w:rPr>
          <w:rFonts w:hint="eastAsia" w:ascii="仿宋" w:hAnsi="仿宋" w:eastAsia="仿宋"/>
          <w:color w:val="000000"/>
          <w:sz w:val="32"/>
        </w:rPr>
      </w:pPr>
    </w:p>
    <w:p>
      <w:pPr>
        <w:tabs>
          <w:tab w:val="center" w:pos="6979"/>
        </w:tabs>
        <w:spacing w:line="580" w:lineRule="exact"/>
        <w:ind w:firstLine="570"/>
        <w:rPr>
          <w:rFonts w:hint="eastAsia" w:ascii="仿宋" w:hAnsi="仿宋" w:eastAsia="仿宋"/>
          <w:color w:val="000000"/>
          <w:sz w:val="32"/>
        </w:rPr>
      </w:pPr>
    </w:p>
    <w:p>
      <w:pPr>
        <w:tabs>
          <w:tab w:val="center" w:pos="6979"/>
        </w:tabs>
        <w:spacing w:line="580" w:lineRule="exact"/>
        <w:ind w:firstLine="570"/>
        <w:rPr>
          <w:rFonts w:hint="eastAsia" w:ascii="仿宋" w:hAnsi="仿宋" w:eastAsia="仿宋"/>
          <w:color w:val="000000"/>
          <w:sz w:val="32"/>
        </w:rPr>
      </w:pPr>
    </w:p>
    <w:p>
      <w:pPr>
        <w:tabs>
          <w:tab w:val="center" w:pos="6979"/>
        </w:tabs>
        <w:spacing w:line="580" w:lineRule="exact"/>
        <w:ind w:firstLine="548" w:firstLineChars="196"/>
        <w:rPr>
          <w:rFonts w:hint="eastAsia" w:ascii="黑体" w:eastAsia="黑体"/>
          <w:b/>
          <w:sz w:val="28"/>
          <w:szCs w:val="28"/>
        </w:rPr>
      </w:pPr>
    </w:p>
    <w:p>
      <w:pPr>
        <w:tabs>
          <w:tab w:val="center" w:pos="6979"/>
        </w:tabs>
        <w:spacing w:line="580" w:lineRule="exact"/>
        <w:ind w:firstLine="548" w:firstLineChars="196"/>
        <w:rPr>
          <w:rFonts w:hint="eastAsia" w:ascii="黑体" w:eastAsia="黑体"/>
          <w:b/>
          <w:sz w:val="28"/>
          <w:szCs w:val="28"/>
        </w:rPr>
      </w:pPr>
    </w:p>
    <w:p>
      <w:pPr>
        <w:tabs>
          <w:tab w:val="center" w:pos="6979"/>
        </w:tabs>
        <w:spacing w:line="580" w:lineRule="exact"/>
        <w:ind w:firstLine="548" w:firstLineChars="196"/>
        <w:rPr>
          <w:rFonts w:hint="eastAsia" w:ascii="黑体" w:eastAsia="黑体"/>
          <w:b/>
          <w:sz w:val="28"/>
          <w:szCs w:val="28"/>
        </w:rPr>
      </w:pP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keepNext w:val="0"/>
        <w:keepLines w:val="0"/>
        <w:widowControl/>
        <w:suppressLineNumbers w:val="0"/>
        <w:ind w:firstLine="560" w:firstLineChars="200"/>
        <w:jc w:val="left"/>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2022年度财政拨款收、支总计</w:t>
      </w:r>
      <w:r>
        <w:rPr>
          <w:rFonts w:hint="eastAsia" w:ascii="仿宋_GB2312" w:hAnsi="Times New Roman" w:eastAsia="仿宋_GB2312" w:cs="Times New Roman"/>
          <w:color w:val="auto"/>
          <w:sz w:val="28"/>
          <w:szCs w:val="28"/>
          <w:lang w:val="en-US" w:eastAsia="zh-CN"/>
        </w:rPr>
        <w:t xml:space="preserve">2172.91 </w:t>
      </w:r>
      <w:r>
        <w:rPr>
          <w:rFonts w:hint="eastAsia" w:ascii="仿宋_GB2312" w:hAnsi="Times New Roman" w:eastAsia="仿宋_GB2312" w:cs="Times New Roman"/>
          <w:color w:val="auto"/>
          <w:sz w:val="28"/>
          <w:szCs w:val="28"/>
        </w:rPr>
        <w:t>万元，比上年减少</w:t>
      </w:r>
      <w:r>
        <w:rPr>
          <w:rFonts w:hint="eastAsia" w:ascii="仿宋_GB2312" w:hAnsi="Times New Roman" w:eastAsia="仿宋_GB2312" w:cs="Times New Roman"/>
          <w:color w:val="auto"/>
          <w:sz w:val="28"/>
          <w:szCs w:val="28"/>
          <w:lang w:val="en-US" w:eastAsia="zh-CN"/>
        </w:rPr>
        <w:t>297.42</w:t>
      </w:r>
      <w:r>
        <w:rPr>
          <w:rFonts w:hint="eastAsia" w:ascii="仿宋_GB2312" w:hAnsi="Times New Roman" w:eastAsia="仿宋_GB2312" w:cs="Times New Roman"/>
          <w:color w:val="auto"/>
          <w:sz w:val="28"/>
          <w:szCs w:val="28"/>
        </w:rPr>
        <w:t>万元，下降</w:t>
      </w:r>
      <w:r>
        <w:rPr>
          <w:rFonts w:hint="eastAsia" w:ascii="仿宋_GB2312" w:hAnsi="Times New Roman" w:eastAsia="仿宋_GB2312" w:cs="Times New Roman"/>
          <w:color w:val="auto"/>
          <w:sz w:val="28"/>
          <w:szCs w:val="28"/>
          <w:lang w:val="en-US" w:eastAsia="zh-CN"/>
        </w:rPr>
        <w:t>12.04</w:t>
      </w:r>
      <w:r>
        <w:rPr>
          <w:rFonts w:hint="eastAsia" w:ascii="仿宋_GB2312" w:hAnsi="Times New Roman" w:eastAsia="仿宋_GB2312" w:cs="Times New Roman"/>
          <w:color w:val="auto"/>
          <w:sz w:val="28"/>
          <w:szCs w:val="28"/>
        </w:rPr>
        <w:t>%。主要原因：</w:t>
      </w:r>
      <w:r>
        <w:rPr>
          <w:rFonts w:hint="eastAsia" w:ascii="仿宋_GB2312" w:hAnsi="Times New Roman" w:eastAsia="仿宋_GB2312" w:cs="Times New Roman"/>
          <w:color w:val="auto"/>
          <w:sz w:val="28"/>
          <w:szCs w:val="28"/>
          <w:lang w:val="en-US" w:eastAsia="zh-CN"/>
        </w:rPr>
        <w:t>减少以租代建办园点租赁费用</w:t>
      </w:r>
      <w:r>
        <w:rPr>
          <w:rFonts w:hint="eastAsia" w:ascii="仿宋_GB2312" w:hAnsi="Times New Roman" w:eastAsia="仿宋_GB2312" w:cs="Times New Roman"/>
          <w:color w:val="auto"/>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keepNext w:val="0"/>
        <w:keepLines w:val="0"/>
        <w:widowControl/>
        <w:suppressLineNumbers w:val="0"/>
        <w:ind w:firstLine="560" w:firstLineChars="200"/>
        <w:jc w:val="left"/>
        <w:rPr>
          <w:rFonts w:hint="eastAsia" w:ascii="仿宋_GB2312" w:eastAsia="仿宋_GB2312"/>
          <w:color w:val="FF0000"/>
          <w:sz w:val="28"/>
          <w:szCs w:val="28"/>
        </w:rPr>
      </w:pPr>
      <w:r>
        <w:rPr>
          <w:rFonts w:hint="eastAsia" w:ascii="仿宋_GB2312" w:hAnsi="Times New Roman" w:eastAsia="仿宋_GB2312" w:cs="Times New Roman"/>
          <w:color w:val="auto"/>
          <w:sz w:val="28"/>
          <w:szCs w:val="28"/>
        </w:rPr>
        <w:t>2022年度一般公共预算财政拨款支出</w:t>
      </w:r>
      <w:r>
        <w:rPr>
          <w:rFonts w:hint="eastAsia" w:ascii="仿宋_GB2312" w:hAnsi="Times New Roman" w:eastAsia="仿宋_GB2312" w:cs="Times New Roman"/>
          <w:color w:val="auto"/>
          <w:sz w:val="28"/>
          <w:szCs w:val="28"/>
          <w:lang w:val="en-US" w:eastAsia="zh-CN"/>
        </w:rPr>
        <w:t>2107.89万元，主要用于以下方面（按大类）：一般公共服务支出0.09 万元，占本年财政拨款支出0.004%；教育支出1633.5万元，占本年财政拨款支出77.49%；社会保障和就业支出230.77 万元，占本年财政拨款支出10.95%；住房保障支出243.54万元，占本年财政拨款支出11.556%。</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keepNext w:val="0"/>
        <w:keepLines w:val="0"/>
        <w:widowControl/>
        <w:numPr>
          <w:numId w:val="0"/>
        </w:numPr>
        <w:suppressLineNumbers w:val="0"/>
        <w:ind w:firstLine="560" w:firstLineChars="200"/>
        <w:jc w:val="left"/>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1、“一般公共服务支出”（类）2022年度决算0.09万元，比2022年度年初预算增加0.09万元，增长100%。其中：</w:t>
      </w:r>
    </w:p>
    <w:p>
      <w:pPr>
        <w:keepNext w:val="0"/>
        <w:keepLines w:val="0"/>
        <w:widowControl/>
        <w:numPr>
          <w:numId w:val="0"/>
        </w:numPr>
        <w:suppressLineNumbers w:val="0"/>
        <w:ind w:firstLine="560" w:firstLineChars="200"/>
        <w:jc w:val="left"/>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“组织事务”（款）2022年度决算0.09万元，比2022年年初预算增加0.09万元，增长100%。主要原因：2021年结转</w:t>
      </w:r>
      <w:r>
        <w:rPr>
          <w:rFonts w:hint="eastAsia" w:ascii="仿宋_GB2312" w:hAnsi="Times New Roman" w:eastAsia="仿宋_GB2312" w:cs="Times New Roman"/>
          <w:color w:val="auto"/>
          <w:sz w:val="28"/>
          <w:szCs w:val="28"/>
          <w:lang w:val="en-US" w:eastAsia="zh-CN"/>
        </w:rPr>
        <w:t>党员活动经费在2022年支出</w:t>
      </w:r>
      <w:r>
        <w:rPr>
          <w:rFonts w:hint="eastAsia" w:ascii="仿宋_GB2312" w:hAnsi="Times New Roman" w:eastAsia="仿宋_GB2312" w:cs="Times New Roman"/>
          <w:color w:val="auto"/>
          <w:sz w:val="28"/>
          <w:szCs w:val="28"/>
          <w:lang w:val="en-US" w:eastAsia="zh-CN"/>
        </w:rPr>
        <w:t>。</w:t>
      </w:r>
    </w:p>
    <w:p>
      <w:pPr>
        <w:keepNext w:val="0"/>
        <w:keepLines w:val="0"/>
        <w:widowControl/>
        <w:suppressLineNumbers w:val="0"/>
        <w:ind w:firstLine="560" w:firstLineChars="200"/>
        <w:jc w:val="left"/>
        <w:rPr>
          <w:rFonts w:hint="eastAsia" w:ascii="仿宋_GB2312" w:hAnsi="Times New Roman" w:eastAsia="仿宋_GB2312" w:cs="Times New Roman"/>
          <w:color w:val="auto"/>
          <w:sz w:val="28"/>
          <w:szCs w:val="28"/>
          <w:lang w:val="en-US" w:eastAsia="zh-CN"/>
        </w:rPr>
      </w:pPr>
    </w:p>
    <w:p>
      <w:pPr>
        <w:keepNext w:val="0"/>
        <w:keepLines w:val="0"/>
        <w:widowControl/>
        <w:numPr>
          <w:ilvl w:val="0"/>
          <w:numId w:val="1"/>
        </w:numPr>
        <w:suppressLineNumbers w:val="0"/>
        <w:ind w:firstLine="560" w:firstLineChars="200"/>
        <w:jc w:val="left"/>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“教育支出”(类)2022年度决算1633.5万元，比2022年年初预算减少64.98万元，下降3.83%。</w:t>
      </w:r>
      <w:r>
        <w:rPr>
          <w:rFonts w:hint="eastAsia" w:ascii="仿宋_GB2312" w:eastAsia="仿宋_GB2312" w:cs="Times New Roman"/>
          <w:color w:val="auto"/>
          <w:sz w:val="28"/>
          <w:szCs w:val="28"/>
          <w:lang w:val="en-US" w:eastAsia="zh-CN"/>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“普通教育”（款，下同）202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1545.96</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eastAsia="zh-CN"/>
        </w:rPr>
        <w:t>度</w:t>
      </w:r>
      <w:r>
        <w:rPr>
          <w:rFonts w:hint="eastAsia" w:ascii="仿宋_GB2312" w:eastAsia="仿宋_GB2312"/>
          <w:sz w:val="28"/>
          <w:szCs w:val="28"/>
        </w:rPr>
        <w:t>年初预算减少</w:t>
      </w:r>
      <w:r>
        <w:rPr>
          <w:rFonts w:hint="eastAsia" w:ascii="仿宋_GB2312" w:eastAsia="仿宋_GB2312"/>
          <w:sz w:val="28"/>
          <w:szCs w:val="28"/>
          <w:lang w:val="en-US" w:eastAsia="zh-CN"/>
        </w:rPr>
        <w:t>70.53</w:t>
      </w:r>
      <w:r>
        <w:rPr>
          <w:rFonts w:hint="eastAsia" w:ascii="仿宋_GB2312" w:eastAsia="仿宋_GB2312"/>
          <w:sz w:val="28"/>
          <w:szCs w:val="28"/>
        </w:rPr>
        <w:t>万元，下降</w:t>
      </w:r>
      <w:r>
        <w:rPr>
          <w:rFonts w:hint="eastAsia" w:ascii="仿宋_GB2312" w:eastAsia="仿宋_GB2312"/>
          <w:sz w:val="28"/>
          <w:szCs w:val="28"/>
          <w:lang w:val="en-US" w:eastAsia="zh-CN"/>
        </w:rPr>
        <w:t>4.36</w:t>
      </w:r>
      <w:r>
        <w:rPr>
          <w:rFonts w:hint="eastAsia" w:ascii="仿宋_GB2312" w:eastAsia="仿宋_GB2312"/>
          <w:sz w:val="28"/>
          <w:szCs w:val="28"/>
        </w:rPr>
        <w:t>%。主要原因：</w:t>
      </w:r>
      <w:r>
        <w:rPr>
          <w:rFonts w:hint="eastAsia" w:ascii="仿宋_GB2312" w:eastAsia="仿宋_GB2312"/>
          <w:sz w:val="28"/>
          <w:szCs w:val="28"/>
          <w:lang w:eastAsia="zh-CN"/>
        </w:rPr>
        <w:t>结余资金收回</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“进修及培训”（款，下同）202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2.48</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eastAsia="zh-CN"/>
        </w:rPr>
        <w:t>度</w:t>
      </w:r>
      <w:r>
        <w:rPr>
          <w:rFonts w:hint="eastAsia" w:ascii="仿宋_GB2312" w:eastAsia="仿宋_GB2312"/>
          <w:sz w:val="28"/>
          <w:szCs w:val="28"/>
        </w:rPr>
        <w:t>年初预算增加</w:t>
      </w:r>
      <w:r>
        <w:rPr>
          <w:rFonts w:hint="eastAsia" w:ascii="仿宋_GB2312" w:eastAsia="仿宋_GB2312"/>
          <w:sz w:val="28"/>
          <w:szCs w:val="28"/>
          <w:lang w:val="en-US" w:eastAsia="zh-CN"/>
        </w:rPr>
        <w:t>0</w:t>
      </w:r>
      <w:r>
        <w:rPr>
          <w:rFonts w:hint="eastAsia" w:ascii="仿宋_GB2312" w:eastAsia="仿宋_GB2312"/>
          <w:sz w:val="28"/>
          <w:szCs w:val="28"/>
        </w:rPr>
        <w:t>万元，增长</w:t>
      </w:r>
      <w:r>
        <w:rPr>
          <w:rFonts w:hint="eastAsia" w:ascii="仿宋_GB2312" w:eastAsia="仿宋_GB2312"/>
          <w:sz w:val="28"/>
          <w:szCs w:val="28"/>
          <w:lang w:val="en-US" w:eastAsia="zh-CN"/>
        </w:rPr>
        <w:t>0</w:t>
      </w:r>
      <w:r>
        <w:rPr>
          <w:rFonts w:hint="eastAsia" w:ascii="仿宋_GB2312" w:eastAsia="仿宋_GB2312"/>
          <w:sz w:val="28"/>
          <w:szCs w:val="28"/>
        </w:rPr>
        <w:t>%。主要原因：</w:t>
      </w:r>
      <w:r>
        <w:rPr>
          <w:rFonts w:hint="eastAsia" w:ascii="仿宋_GB2312" w:eastAsia="仿宋_GB2312"/>
          <w:sz w:val="28"/>
          <w:szCs w:val="28"/>
          <w:lang w:eastAsia="zh-CN"/>
        </w:rPr>
        <w:t>与年初预算持平</w:t>
      </w:r>
      <w:r>
        <w:rPr>
          <w:rFonts w:hint="eastAsia" w:ascii="仿宋_GB2312" w:eastAsia="仿宋_GB2312"/>
          <w:sz w:val="28"/>
          <w:szCs w:val="28"/>
        </w:rPr>
        <w:t>。</w:t>
      </w:r>
    </w:p>
    <w:p>
      <w:pPr>
        <w:spacing w:line="580" w:lineRule="exact"/>
        <w:ind w:firstLine="560" w:firstLineChars="200"/>
        <w:rPr>
          <w:rFonts w:hint="eastAsia" w:ascii="仿宋_GB2312" w:hAnsi="Times New Roman" w:eastAsia="仿宋_GB2312" w:cs="Times New Roman"/>
          <w:color w:val="auto"/>
          <w:sz w:val="28"/>
          <w:szCs w:val="28"/>
          <w:lang w:val="en-US" w:eastAsia="zh-CN"/>
        </w:rPr>
      </w:pPr>
      <w:r>
        <w:rPr>
          <w:rFonts w:hint="eastAsia" w:ascii="仿宋_GB2312" w:eastAsia="仿宋_GB2312"/>
          <w:sz w:val="28"/>
          <w:szCs w:val="28"/>
        </w:rPr>
        <w:t>“教育费附加安排的支出”（款，下同）202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85.06</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eastAsia="zh-CN"/>
        </w:rPr>
        <w:t>度</w:t>
      </w:r>
      <w:r>
        <w:rPr>
          <w:rFonts w:hint="eastAsia" w:ascii="仿宋_GB2312" w:eastAsia="仿宋_GB2312"/>
          <w:sz w:val="28"/>
          <w:szCs w:val="28"/>
        </w:rPr>
        <w:t>年初预算增加</w:t>
      </w:r>
      <w:r>
        <w:rPr>
          <w:rFonts w:hint="eastAsia" w:ascii="仿宋_GB2312" w:eastAsia="仿宋_GB2312"/>
          <w:sz w:val="28"/>
          <w:szCs w:val="28"/>
          <w:lang w:val="en-US" w:eastAsia="zh-CN"/>
        </w:rPr>
        <w:t>5.55</w:t>
      </w:r>
      <w:r>
        <w:rPr>
          <w:rFonts w:hint="eastAsia" w:ascii="仿宋_GB2312" w:eastAsia="仿宋_GB2312"/>
          <w:sz w:val="28"/>
          <w:szCs w:val="28"/>
        </w:rPr>
        <w:t>万元，增长</w:t>
      </w:r>
      <w:r>
        <w:rPr>
          <w:rFonts w:hint="eastAsia" w:ascii="仿宋_GB2312" w:eastAsia="仿宋_GB2312"/>
          <w:sz w:val="28"/>
          <w:szCs w:val="28"/>
          <w:lang w:val="en-US" w:eastAsia="zh-CN"/>
        </w:rPr>
        <w:t>6.98</w:t>
      </w:r>
      <w:r>
        <w:rPr>
          <w:rFonts w:hint="eastAsia" w:ascii="仿宋_GB2312" w:eastAsia="仿宋_GB2312"/>
          <w:sz w:val="28"/>
          <w:szCs w:val="28"/>
        </w:rPr>
        <w:t>%。主要原因：</w:t>
      </w:r>
      <w:r>
        <w:rPr>
          <w:rFonts w:hint="eastAsia" w:ascii="仿宋_GB2312" w:eastAsia="仿宋_GB2312"/>
          <w:sz w:val="28"/>
          <w:szCs w:val="28"/>
          <w:lang w:val="en-US" w:eastAsia="zh-CN"/>
        </w:rPr>
        <w:t>2021年</w:t>
      </w:r>
      <w:r>
        <w:rPr>
          <w:rFonts w:hint="eastAsia" w:ascii="仿宋_GB2312" w:eastAsia="仿宋_GB2312"/>
          <w:sz w:val="28"/>
          <w:szCs w:val="28"/>
          <w:lang w:eastAsia="zh-CN"/>
        </w:rPr>
        <w:t>外聘人员经费在</w:t>
      </w:r>
      <w:r>
        <w:rPr>
          <w:rFonts w:hint="eastAsia" w:ascii="仿宋_GB2312" w:eastAsia="仿宋_GB2312"/>
          <w:sz w:val="28"/>
          <w:szCs w:val="28"/>
          <w:lang w:val="en-US" w:eastAsia="zh-CN"/>
        </w:rPr>
        <w:t>2022年支出</w:t>
      </w:r>
      <w:r>
        <w:rPr>
          <w:rFonts w:hint="eastAsia" w:ascii="仿宋_GB2312" w:eastAsia="仿宋_GB2312"/>
          <w:sz w:val="28"/>
          <w:szCs w:val="28"/>
        </w:rPr>
        <w:t>。</w:t>
      </w:r>
    </w:p>
    <w:p>
      <w:pPr>
        <w:keepNext w:val="0"/>
        <w:keepLines w:val="0"/>
        <w:widowControl/>
        <w:suppressLineNumbers w:val="0"/>
        <w:ind w:firstLine="560" w:firstLineChars="200"/>
        <w:jc w:val="left"/>
        <w:rPr>
          <w:rFonts w:hint="eastAsia" w:ascii="仿宋_GB2312" w:hAnsi="Times New Roman" w:eastAsia="仿宋_GB2312" w:cs="Times New Roman"/>
          <w:color w:val="auto"/>
          <w:sz w:val="28"/>
          <w:szCs w:val="28"/>
          <w:lang w:val="en-US" w:eastAsia="zh-CN"/>
        </w:rPr>
      </w:pPr>
      <w:r>
        <w:rPr>
          <w:rFonts w:hint="eastAsia" w:ascii="仿宋_GB2312" w:eastAsia="仿宋_GB2312" w:cs="Times New Roman"/>
          <w:color w:val="auto"/>
          <w:sz w:val="28"/>
          <w:szCs w:val="28"/>
          <w:lang w:val="en-US" w:eastAsia="zh-CN"/>
        </w:rPr>
        <w:t>3</w:t>
      </w:r>
      <w:r>
        <w:rPr>
          <w:rFonts w:hint="eastAsia" w:ascii="仿宋_GB2312" w:hAnsi="Times New Roman" w:eastAsia="仿宋_GB2312" w:cs="Times New Roman"/>
          <w:color w:val="auto"/>
          <w:sz w:val="28"/>
          <w:szCs w:val="28"/>
          <w:lang w:val="en-US" w:eastAsia="zh-CN"/>
        </w:rPr>
        <w:t>、“社会保障和就业支出”（款，下同）2022年度决算230.77 万元，比2022年年初预算增加11.17万元，增长5.09%。</w:t>
      </w:r>
      <w:r>
        <w:rPr>
          <w:rFonts w:hint="eastAsia" w:ascii="仿宋_GB2312" w:eastAsia="仿宋_GB2312" w:cs="Times New Roman"/>
          <w:color w:val="auto"/>
          <w:sz w:val="28"/>
          <w:szCs w:val="28"/>
          <w:lang w:val="en-US" w:eastAsia="zh-CN"/>
        </w:rPr>
        <w:t>其中：</w:t>
      </w:r>
    </w:p>
    <w:p>
      <w:pPr>
        <w:spacing w:line="580" w:lineRule="exact"/>
        <w:ind w:firstLine="560" w:firstLineChars="200"/>
        <w:rPr>
          <w:rFonts w:hint="eastAsia" w:ascii="仿宋_GB2312" w:hAnsi="Times New Roman" w:eastAsia="仿宋_GB2312" w:cs="Times New Roman"/>
          <w:color w:val="auto"/>
          <w:sz w:val="28"/>
          <w:szCs w:val="28"/>
          <w:lang w:val="en-US" w:eastAsia="zh-CN"/>
        </w:rPr>
      </w:pPr>
      <w:r>
        <w:rPr>
          <w:rFonts w:hint="eastAsia" w:ascii="仿宋_GB2312" w:eastAsia="仿宋_GB2312"/>
          <w:sz w:val="28"/>
          <w:szCs w:val="28"/>
        </w:rPr>
        <w:t>“行政事业单位养老支出”（款，下同）</w:t>
      </w:r>
      <w:r>
        <w:rPr>
          <w:rFonts w:hint="eastAsia" w:ascii="仿宋_GB2312" w:hAnsi="Times New Roman" w:eastAsia="仿宋_GB2312" w:cs="Times New Roman"/>
          <w:color w:val="auto"/>
          <w:sz w:val="28"/>
          <w:szCs w:val="28"/>
          <w:lang w:val="en-US" w:eastAsia="zh-CN"/>
        </w:rPr>
        <w:t>2022年度决算230.77 万元，比2022年年初预算增加11.17万元，增长5.09%。</w:t>
      </w:r>
      <w:r>
        <w:rPr>
          <w:rFonts w:hint="eastAsia" w:ascii="仿宋_GB2312" w:eastAsia="仿宋_GB2312"/>
          <w:sz w:val="28"/>
          <w:szCs w:val="28"/>
        </w:rPr>
        <w:t>主要原因</w:t>
      </w:r>
      <w:r>
        <w:rPr>
          <w:rFonts w:hint="eastAsia" w:ascii="仿宋_GB2312" w:eastAsia="仿宋_GB2312"/>
          <w:sz w:val="28"/>
          <w:szCs w:val="28"/>
          <w:lang w:eastAsia="zh-CN"/>
        </w:rPr>
        <w:t>：</w:t>
      </w:r>
      <w:r>
        <w:rPr>
          <w:rFonts w:hint="eastAsia" w:ascii="仿宋_GB2312" w:eastAsia="仿宋_GB2312"/>
          <w:sz w:val="28"/>
          <w:szCs w:val="28"/>
          <w:lang w:val="en-US" w:eastAsia="zh-CN"/>
        </w:rPr>
        <w:t>2021年结转</w:t>
      </w:r>
      <w:r>
        <w:rPr>
          <w:rFonts w:hint="eastAsia" w:ascii="仿宋_GB2312" w:eastAsia="仿宋_GB2312"/>
          <w:sz w:val="28"/>
          <w:szCs w:val="28"/>
        </w:rPr>
        <w:t>机关事业单位基本养老保险缴费</w:t>
      </w:r>
      <w:r>
        <w:rPr>
          <w:rFonts w:hint="eastAsia" w:ascii="仿宋_GB2312" w:eastAsia="仿宋_GB2312"/>
          <w:sz w:val="28"/>
          <w:szCs w:val="28"/>
          <w:lang w:eastAsia="zh-CN"/>
        </w:rPr>
        <w:t>等经费在</w:t>
      </w:r>
      <w:r>
        <w:rPr>
          <w:rFonts w:hint="eastAsia" w:ascii="仿宋_GB2312" w:eastAsia="仿宋_GB2312"/>
          <w:sz w:val="28"/>
          <w:szCs w:val="28"/>
          <w:lang w:val="en-US" w:eastAsia="zh-CN"/>
        </w:rPr>
        <w:t>2022年</w:t>
      </w:r>
      <w:r>
        <w:rPr>
          <w:rFonts w:hint="eastAsia" w:ascii="仿宋_GB2312" w:eastAsia="仿宋_GB2312"/>
          <w:sz w:val="28"/>
          <w:szCs w:val="28"/>
        </w:rPr>
        <w:t>支出。</w:t>
      </w:r>
    </w:p>
    <w:p>
      <w:pPr>
        <w:keepNext w:val="0"/>
        <w:keepLines w:val="0"/>
        <w:widowControl/>
        <w:numPr>
          <w:ilvl w:val="0"/>
          <w:numId w:val="2"/>
        </w:numPr>
        <w:suppressLineNumbers w:val="0"/>
        <w:ind w:firstLine="560" w:firstLineChars="200"/>
        <w:jc w:val="left"/>
        <w:rPr>
          <w:rFonts w:hint="default"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“住房保障支出”（款）2022年度决算243.54万元，比2022年年初预算增加0万元，增长0%。</w:t>
      </w:r>
      <w:r>
        <w:rPr>
          <w:rFonts w:hint="eastAsia" w:ascii="仿宋_GB2312" w:eastAsia="仿宋_GB2312" w:cs="Times New Roman"/>
          <w:color w:val="auto"/>
          <w:sz w:val="28"/>
          <w:szCs w:val="28"/>
          <w:lang w:val="en-US" w:eastAsia="zh-CN"/>
        </w:rPr>
        <w:t>其中：</w:t>
      </w:r>
    </w:p>
    <w:p>
      <w:pPr>
        <w:keepNext w:val="0"/>
        <w:keepLines w:val="0"/>
        <w:widowControl/>
        <w:numPr>
          <w:numId w:val="0"/>
        </w:numPr>
        <w:suppressLineNumbers w:val="0"/>
        <w:ind w:firstLine="560" w:firstLineChars="200"/>
        <w:jc w:val="left"/>
        <w:rPr>
          <w:rFonts w:hint="eastAsia" w:ascii="仿宋_GB2312" w:hAnsi="Times New Roman" w:eastAsia="仿宋_GB2312" w:cs="Times New Roman"/>
          <w:color w:val="auto"/>
          <w:sz w:val="28"/>
          <w:szCs w:val="28"/>
          <w:lang w:val="en-US" w:eastAsia="zh-CN"/>
        </w:rPr>
      </w:pPr>
      <w:r>
        <w:rPr>
          <w:rFonts w:hint="eastAsia" w:ascii="仿宋_GB2312" w:eastAsia="仿宋_GB2312"/>
          <w:sz w:val="28"/>
          <w:szCs w:val="28"/>
        </w:rPr>
        <w:t>“住房改革支出”（款，下同）</w:t>
      </w:r>
      <w:r>
        <w:rPr>
          <w:rFonts w:hint="eastAsia" w:ascii="仿宋_GB2312" w:hAnsi="Times New Roman" w:eastAsia="仿宋_GB2312" w:cs="Times New Roman"/>
          <w:color w:val="auto"/>
          <w:sz w:val="28"/>
          <w:szCs w:val="28"/>
          <w:lang w:val="en-US" w:eastAsia="zh-CN"/>
        </w:rPr>
        <w:t>2022年度决算243.54万元，比2022年年初预算增加0万元，增长0%</w:t>
      </w:r>
      <w:r>
        <w:rPr>
          <w:rFonts w:hint="eastAsia" w:ascii="仿宋_GB2312" w:eastAsia="仿宋_GB2312"/>
          <w:sz w:val="28"/>
          <w:szCs w:val="28"/>
        </w:rPr>
        <w:t>。主要原因：</w:t>
      </w:r>
      <w:r>
        <w:rPr>
          <w:rFonts w:hint="eastAsia" w:ascii="仿宋_GB2312" w:eastAsia="仿宋_GB2312"/>
          <w:sz w:val="28"/>
          <w:szCs w:val="28"/>
          <w:lang w:eastAsia="zh-CN"/>
        </w:rPr>
        <w:t>与年初预算持平。</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本年度无此项支出</w:t>
      </w:r>
    </w:p>
    <w:p>
      <w:pPr>
        <w:numPr>
          <w:ilvl w:val="0"/>
          <w:numId w:val="3"/>
        </w:numPr>
        <w:spacing w:line="580" w:lineRule="exact"/>
        <w:ind w:firstLine="548" w:firstLineChars="196"/>
        <w:rPr>
          <w:rFonts w:hint="eastAsia" w:ascii="黑体" w:eastAsia="黑体"/>
          <w:b/>
          <w:sz w:val="28"/>
          <w:szCs w:val="28"/>
        </w:rPr>
      </w:pPr>
      <w:r>
        <w:rPr>
          <w:rFonts w:hint="eastAsia" w:ascii="黑体" w:eastAsia="黑体"/>
          <w:b/>
          <w:sz w:val="28"/>
          <w:szCs w:val="28"/>
        </w:rPr>
        <w:t>国有资本经营预算财政拨款收支情况</w:t>
      </w:r>
    </w:p>
    <w:p>
      <w:pPr>
        <w:spacing w:line="560" w:lineRule="exact"/>
        <w:ind w:firstLine="420" w:firstLineChars="150"/>
        <w:rPr>
          <w:rFonts w:hint="eastAsia" w:ascii="黑体" w:eastAsia="黑体"/>
          <w:b/>
          <w:sz w:val="28"/>
          <w:szCs w:val="28"/>
        </w:rPr>
      </w:pPr>
      <w:r>
        <w:rPr>
          <w:rFonts w:hint="eastAsia" w:ascii="仿宋_GB2312" w:eastAsia="仿宋_GB2312"/>
          <w:sz w:val="28"/>
          <w:szCs w:val="28"/>
        </w:rPr>
        <w:t>本年度无此项</w:t>
      </w:r>
      <w:r>
        <w:rPr>
          <w:rFonts w:ascii="仿宋_GB2312" w:eastAsia="仿宋_GB2312"/>
          <w:sz w:val="28"/>
          <w:szCs w:val="28"/>
        </w:rPr>
        <w:t>经费</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keepNext w:val="0"/>
        <w:keepLines w:val="0"/>
        <w:widowControl/>
        <w:suppressLineNumbers w:val="0"/>
        <w:ind w:firstLine="560" w:firstLineChars="200"/>
        <w:jc w:val="left"/>
        <w:rPr>
          <w:rFonts w:hint="eastAsia" w:ascii="宋体" w:hAnsi="宋体" w:cs="宋体"/>
          <w:b/>
          <w:bCs/>
          <w:spacing w:val="40"/>
          <w:kern w:val="0"/>
          <w:sz w:val="32"/>
          <w:szCs w:val="32"/>
        </w:rPr>
      </w:pPr>
      <w:r>
        <w:rPr>
          <w:rFonts w:hint="eastAsia" w:ascii="仿宋_GB2312" w:eastAsia="仿宋_GB2312"/>
          <w:sz w:val="28"/>
          <w:szCs w:val="28"/>
        </w:rPr>
        <w:t>2022年使用一般公共预算财政拨款安排基本支</w:t>
      </w:r>
      <w:r>
        <w:rPr>
          <w:rFonts w:hint="eastAsia" w:ascii="仿宋_GB2312" w:hAnsi="Times New Roman" w:eastAsia="仿宋_GB2312" w:cs="Times New Roman"/>
          <w:sz w:val="28"/>
          <w:szCs w:val="28"/>
        </w:rPr>
        <w:t>出</w:t>
      </w:r>
      <w:r>
        <w:rPr>
          <w:rFonts w:hint="eastAsia" w:ascii="仿宋_GB2312" w:hAnsi="Times New Roman" w:eastAsia="仿宋_GB2312" w:cs="Times New Roman"/>
          <w:sz w:val="28"/>
          <w:szCs w:val="28"/>
          <w:lang w:val="en-US" w:eastAsia="zh-CN"/>
        </w:rPr>
        <w:t>1945.95万</w:t>
      </w:r>
      <w:r>
        <w:rPr>
          <w:rFonts w:hint="eastAsia" w:ascii="仿宋_GB2312" w:hAnsi="Times New Roman" w:eastAsia="仿宋_GB2312" w:cs="Times New Roman"/>
          <w:sz w:val="28"/>
          <w:szCs w:val="28"/>
        </w:rPr>
        <w:t>元，使用政府性基金财政拨款安排基本支出</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w:t>
      </w:r>
      <w:r>
        <w:rPr>
          <w:rFonts w:ascii="仿宋_GB2312" w:eastAsia="仿宋_GB2312"/>
          <w:sz w:val="28"/>
          <w:szCs w:val="28"/>
        </w:rPr>
        <w:t>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2022年度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keepNext w:val="0"/>
        <w:keepLines w:val="0"/>
        <w:widowControl/>
        <w:suppressLineNumbers w:val="0"/>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“三公”经费包括本单位所属</w:t>
      </w: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个事业单位。2022年“三公”经费财政拨款决算数</w:t>
      </w:r>
      <w:r>
        <w:rPr>
          <w:rFonts w:hint="eastAsia" w:ascii="仿宋_GB2312" w:hAnsi="Times New Roman" w:eastAsia="仿宋_GB2312" w:cs="Times New Roman"/>
          <w:sz w:val="28"/>
          <w:szCs w:val="28"/>
          <w:lang w:val="en-US" w:eastAsia="zh-CN"/>
        </w:rPr>
        <w:t xml:space="preserve">1.8 </w:t>
      </w:r>
      <w:r>
        <w:rPr>
          <w:rFonts w:hint="eastAsia" w:ascii="仿宋_GB2312" w:hAnsi="Times New Roman" w:eastAsia="仿宋_GB2312" w:cs="Times New Roman"/>
          <w:sz w:val="28"/>
          <w:szCs w:val="28"/>
        </w:rPr>
        <w:t>万元，比2022年“三公”经费财政拨款年初预算</w:t>
      </w:r>
      <w:r>
        <w:rPr>
          <w:rFonts w:hint="eastAsia" w:ascii="仿宋_GB2312" w:hAnsi="Times New Roman" w:eastAsia="仿宋_GB2312" w:cs="Times New Roman"/>
          <w:sz w:val="28"/>
          <w:szCs w:val="28"/>
          <w:lang w:val="en-US" w:eastAsia="zh-CN"/>
        </w:rPr>
        <w:t>1.8</w:t>
      </w:r>
      <w:r>
        <w:rPr>
          <w:rFonts w:hint="eastAsia" w:ascii="仿宋_GB2312" w:hAnsi="Times New Roman" w:eastAsia="仿宋_GB2312" w:cs="Times New Roman"/>
          <w:sz w:val="28"/>
          <w:szCs w:val="28"/>
        </w:rPr>
        <w:t>万元增加（减少）</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万元。其中：</w:t>
      </w:r>
    </w:p>
    <w:p>
      <w:pPr>
        <w:numPr>
          <w:ilvl w:val="0"/>
          <w:numId w:val="4"/>
        </w:numPr>
        <w:spacing w:line="560" w:lineRule="exact"/>
        <w:rPr>
          <w:rFonts w:ascii="仿宋_GB2312" w:eastAsia="仿宋_GB2312"/>
          <w:sz w:val="28"/>
          <w:szCs w:val="28"/>
        </w:rPr>
      </w:pPr>
      <w:r>
        <w:rPr>
          <w:rFonts w:hint="eastAsia" w:ascii="仿宋_GB2312" w:eastAsia="仿宋_GB2312"/>
          <w:sz w:val="28"/>
          <w:szCs w:val="28"/>
        </w:rPr>
        <w:t>因公出国（境）费用。</w:t>
      </w:r>
    </w:p>
    <w:p>
      <w:pPr>
        <w:spacing w:line="560" w:lineRule="exact"/>
        <w:ind w:left="600"/>
        <w:rPr>
          <w:rFonts w:hint="eastAsia" w:ascii="仿宋_GB2312" w:eastAsia="仿宋_GB2312"/>
          <w:sz w:val="28"/>
          <w:szCs w:val="28"/>
        </w:rPr>
      </w:pPr>
      <w:r>
        <w:rPr>
          <w:rFonts w:hint="eastAsia" w:ascii="仿宋_GB2312" w:eastAsia="仿宋_GB2312"/>
          <w:sz w:val="28"/>
          <w:szCs w:val="28"/>
        </w:rPr>
        <w:t>2022年本单位无因公出国（境）费用。</w:t>
      </w:r>
    </w:p>
    <w:p>
      <w:pPr>
        <w:numPr>
          <w:ilvl w:val="0"/>
          <w:numId w:val="4"/>
        </w:numPr>
        <w:spacing w:line="560" w:lineRule="exact"/>
        <w:rPr>
          <w:rFonts w:ascii="仿宋_GB2312" w:eastAsia="仿宋_GB2312"/>
          <w:sz w:val="28"/>
          <w:szCs w:val="28"/>
        </w:rPr>
      </w:pPr>
      <w:r>
        <w:rPr>
          <w:rFonts w:hint="eastAsia" w:ascii="仿宋_GB2312" w:eastAsia="仿宋_GB2312"/>
          <w:sz w:val="28"/>
          <w:szCs w:val="28"/>
        </w:rPr>
        <w:t>公务接待费。</w:t>
      </w:r>
    </w:p>
    <w:p>
      <w:pPr>
        <w:spacing w:line="560" w:lineRule="exact"/>
        <w:ind w:left="600"/>
        <w:rPr>
          <w:rFonts w:hint="eastAsia" w:ascii="仿宋_GB2312" w:eastAsia="仿宋_GB2312"/>
          <w:sz w:val="28"/>
          <w:szCs w:val="28"/>
        </w:rPr>
      </w:pPr>
      <w:r>
        <w:rPr>
          <w:rFonts w:hint="eastAsia" w:ascii="仿宋_GB2312" w:eastAsia="仿宋_GB2312"/>
          <w:sz w:val="28"/>
          <w:szCs w:val="28"/>
        </w:rPr>
        <w:t>2022年本单位无公务接待费。</w:t>
      </w:r>
    </w:p>
    <w:p>
      <w:pPr>
        <w:spacing w:line="560" w:lineRule="exact"/>
        <w:ind w:firstLine="560" w:firstLineChars="200"/>
        <w:rPr>
          <w:rFonts w:hint="eastAsia" w:ascii="黑体" w:eastAsia="黑体"/>
          <w:sz w:val="28"/>
          <w:szCs w:val="28"/>
        </w:rPr>
      </w:pPr>
      <w:r>
        <w:rPr>
          <w:rFonts w:hint="eastAsia" w:ascii="仿宋_GB2312" w:eastAsia="仿宋_GB2312"/>
          <w:sz w:val="28"/>
          <w:szCs w:val="28"/>
        </w:rPr>
        <w:t>3.公务用车购置及运行维护费。</w:t>
      </w:r>
      <w:r>
        <w:rPr>
          <w:rFonts w:hint="eastAsia" w:ascii="仿宋_GB2312" w:hAnsi="Times New Roman" w:eastAsia="仿宋_GB2312" w:cs="Times New Roman"/>
          <w:sz w:val="28"/>
          <w:szCs w:val="28"/>
        </w:rPr>
        <w:t>2022年决算数</w:t>
      </w:r>
      <w:r>
        <w:rPr>
          <w:rFonts w:hint="eastAsia" w:ascii="仿宋_GB2312" w:hAnsi="Times New Roman" w:eastAsia="仿宋_GB2312" w:cs="Times New Roman"/>
          <w:sz w:val="28"/>
          <w:szCs w:val="28"/>
          <w:lang w:val="en-US" w:eastAsia="zh-CN"/>
        </w:rPr>
        <w:t>1.8</w:t>
      </w:r>
      <w:r>
        <w:rPr>
          <w:rFonts w:hint="eastAsia" w:ascii="仿宋_GB2312" w:hAnsi="Times New Roman" w:eastAsia="仿宋_GB2312" w:cs="Times New Roman"/>
          <w:sz w:val="28"/>
          <w:szCs w:val="28"/>
        </w:rPr>
        <w:t>万元，比2022年年初预算数</w:t>
      </w:r>
      <w:r>
        <w:rPr>
          <w:rFonts w:hint="eastAsia" w:ascii="仿宋_GB2312" w:hAnsi="Times New Roman" w:eastAsia="仿宋_GB2312" w:cs="Times New Roman"/>
          <w:sz w:val="28"/>
          <w:szCs w:val="28"/>
          <w:lang w:val="en-US" w:eastAsia="zh-CN"/>
        </w:rPr>
        <w:t>1.8</w:t>
      </w:r>
      <w:r>
        <w:rPr>
          <w:rFonts w:hint="eastAsia" w:ascii="仿宋_GB2312" w:hAnsi="Times New Roman" w:eastAsia="仿宋_GB2312" w:cs="Times New Roman"/>
          <w:sz w:val="28"/>
          <w:szCs w:val="28"/>
        </w:rPr>
        <w:t>万元增加（减少）</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万元。其中，公务用车购置费2022年决算数</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万元，比2022年年初预算数</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万元增加（减少）</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万元。2022年购置（更新）</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X辆，车均购置费</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万元。公务用车运行维护费2022年决算数</w:t>
      </w:r>
      <w:r>
        <w:rPr>
          <w:rFonts w:hint="eastAsia" w:ascii="仿宋_GB2312" w:hAnsi="Times New Roman" w:eastAsia="仿宋_GB2312" w:cs="Times New Roman"/>
          <w:sz w:val="28"/>
          <w:szCs w:val="28"/>
          <w:lang w:val="en-US" w:eastAsia="zh-CN"/>
        </w:rPr>
        <w:t>1.8</w:t>
      </w:r>
      <w:r>
        <w:rPr>
          <w:rFonts w:hint="eastAsia" w:ascii="仿宋_GB2312" w:hAnsi="Times New Roman" w:eastAsia="仿宋_GB2312" w:cs="Times New Roman"/>
          <w:sz w:val="28"/>
          <w:szCs w:val="28"/>
        </w:rPr>
        <w:t>万元，比2022年年初预算数</w:t>
      </w:r>
      <w:r>
        <w:rPr>
          <w:rFonts w:hint="eastAsia" w:ascii="仿宋_GB2312" w:hAnsi="Times New Roman" w:eastAsia="仿宋_GB2312" w:cs="Times New Roman"/>
          <w:sz w:val="28"/>
          <w:szCs w:val="28"/>
          <w:lang w:val="en-US" w:eastAsia="zh-CN"/>
        </w:rPr>
        <w:t>1.8</w:t>
      </w:r>
      <w:r>
        <w:rPr>
          <w:rFonts w:hint="eastAsia" w:ascii="仿宋_GB2312" w:hAnsi="Times New Roman" w:eastAsia="仿宋_GB2312" w:cs="Times New Roman"/>
          <w:sz w:val="28"/>
          <w:szCs w:val="28"/>
        </w:rPr>
        <w:t>万元增加（减少）</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万元。2022年公务用车运行维护费中，公务用车加油</w:t>
      </w:r>
      <w:r>
        <w:rPr>
          <w:rFonts w:hint="eastAsia" w:ascii="仿宋_GB2312" w:hAnsi="Times New Roman" w:eastAsia="仿宋_GB2312" w:cs="Times New Roman"/>
          <w:sz w:val="28"/>
          <w:szCs w:val="28"/>
          <w:lang w:val="en-US" w:eastAsia="zh-CN"/>
        </w:rPr>
        <w:t>0.5</w:t>
      </w:r>
      <w:r>
        <w:rPr>
          <w:rFonts w:hint="eastAsia" w:ascii="仿宋_GB2312" w:hAnsi="Times New Roman" w:eastAsia="仿宋_GB2312" w:cs="Times New Roman"/>
          <w:sz w:val="28"/>
          <w:szCs w:val="28"/>
        </w:rPr>
        <w:t>万元，公务用车维修</w:t>
      </w:r>
      <w:r>
        <w:rPr>
          <w:rFonts w:hint="eastAsia" w:ascii="仿宋_GB2312" w:hAnsi="Times New Roman" w:eastAsia="仿宋_GB2312" w:cs="Times New Roman"/>
          <w:sz w:val="28"/>
          <w:szCs w:val="28"/>
          <w:lang w:val="en-US" w:eastAsia="zh-CN"/>
        </w:rPr>
        <w:t>0.89</w:t>
      </w:r>
      <w:r>
        <w:rPr>
          <w:rFonts w:hint="eastAsia" w:ascii="仿宋_GB2312" w:hAnsi="Times New Roman" w:eastAsia="仿宋_GB2312" w:cs="Times New Roman"/>
          <w:sz w:val="28"/>
          <w:szCs w:val="28"/>
        </w:rPr>
        <w:t>万元，公务用车保险</w:t>
      </w:r>
      <w:r>
        <w:rPr>
          <w:rFonts w:hint="eastAsia" w:ascii="仿宋_GB2312" w:hAnsi="Times New Roman" w:eastAsia="仿宋_GB2312" w:cs="Times New Roman"/>
          <w:sz w:val="28"/>
          <w:szCs w:val="28"/>
          <w:lang w:val="en-US" w:eastAsia="zh-CN"/>
        </w:rPr>
        <w:t>0.2</w:t>
      </w:r>
      <w:r>
        <w:rPr>
          <w:rFonts w:hint="eastAsia" w:ascii="仿宋_GB2312" w:hAnsi="Times New Roman" w:eastAsia="仿宋_GB2312" w:cs="Times New Roman"/>
          <w:sz w:val="28"/>
          <w:szCs w:val="28"/>
        </w:rPr>
        <w:t>万元，公务用车其他支出</w:t>
      </w:r>
      <w:r>
        <w:rPr>
          <w:rFonts w:hint="eastAsia" w:ascii="仿宋_GB2312" w:hAnsi="Times New Roman" w:eastAsia="仿宋_GB2312" w:cs="Times New Roman"/>
          <w:sz w:val="28"/>
          <w:szCs w:val="28"/>
          <w:lang w:val="en-US" w:eastAsia="zh-CN"/>
        </w:rPr>
        <w:t>0.21</w:t>
      </w:r>
      <w:r>
        <w:rPr>
          <w:rFonts w:hint="eastAsia" w:ascii="仿宋_GB2312" w:hAnsi="Times New Roman" w:eastAsia="仿宋_GB2312" w:cs="Times New Roman"/>
          <w:sz w:val="28"/>
          <w:szCs w:val="28"/>
        </w:rPr>
        <w:t>万元。2022年公务用车保有量</w:t>
      </w: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辆，车均运行维护费</w:t>
      </w:r>
      <w:r>
        <w:rPr>
          <w:rFonts w:hint="eastAsia" w:ascii="仿宋_GB2312" w:hAnsi="Times New Roman" w:eastAsia="仿宋_GB2312" w:cs="Times New Roman"/>
          <w:sz w:val="28"/>
          <w:szCs w:val="28"/>
          <w:lang w:val="en-US" w:eastAsia="zh-CN"/>
        </w:rPr>
        <w:t>1.8</w:t>
      </w:r>
      <w:r>
        <w:rPr>
          <w:rFonts w:hint="eastAsia" w:ascii="仿宋_GB2312" w:hAnsi="Times New Roman" w:eastAsia="仿宋_GB2312" w:cs="Times New Roman"/>
          <w:sz w:val="28"/>
          <w:szCs w:val="28"/>
        </w:rPr>
        <w:t>万元。</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不属于机关运行经费统计范围</w:t>
      </w:r>
    </w:p>
    <w:p>
      <w:pPr>
        <w:ind w:left="540"/>
        <w:rPr>
          <w:rFonts w:hint="eastAsia" w:ascii="黑体" w:eastAsia="黑体"/>
          <w:sz w:val="28"/>
          <w:szCs w:val="28"/>
        </w:rPr>
      </w:pPr>
      <w:r>
        <w:rPr>
          <w:rFonts w:hint="eastAsia" w:ascii="黑体" w:eastAsia="黑体"/>
          <w:sz w:val="28"/>
          <w:szCs w:val="28"/>
        </w:rPr>
        <w:t>三、政府采购支出情况</w:t>
      </w:r>
    </w:p>
    <w:p>
      <w:pPr>
        <w:spacing w:line="5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2022年政府采购支出总额</w:t>
      </w:r>
      <w:r>
        <w:rPr>
          <w:rFonts w:hint="eastAsia" w:ascii="仿宋_GB2312" w:hAnsi="Times New Roman" w:eastAsia="仿宋_GB2312" w:cs="Times New Roman"/>
          <w:sz w:val="28"/>
          <w:szCs w:val="28"/>
          <w:lang w:val="en-US" w:eastAsia="zh-CN"/>
        </w:rPr>
        <w:t>31.81</w:t>
      </w:r>
      <w:r>
        <w:rPr>
          <w:rFonts w:hint="eastAsia" w:ascii="仿宋_GB2312" w:hAnsi="Times New Roman" w:eastAsia="仿宋_GB2312" w:cs="Times New Roman"/>
          <w:sz w:val="28"/>
          <w:szCs w:val="28"/>
        </w:rPr>
        <w:t>万元，其中：政府采购货物支出</w:t>
      </w:r>
      <w:r>
        <w:rPr>
          <w:rFonts w:hint="eastAsia" w:ascii="仿宋_GB2312" w:hAnsi="Times New Roman" w:eastAsia="仿宋_GB2312" w:cs="Times New Roman"/>
          <w:sz w:val="28"/>
          <w:szCs w:val="28"/>
          <w:lang w:val="en-US" w:eastAsia="zh-CN"/>
        </w:rPr>
        <w:t>12.61</w:t>
      </w:r>
      <w:r>
        <w:rPr>
          <w:rFonts w:hint="eastAsia" w:ascii="仿宋_GB2312" w:hAnsi="Times New Roman" w:eastAsia="仿宋_GB2312" w:cs="Times New Roman"/>
          <w:sz w:val="28"/>
          <w:szCs w:val="28"/>
        </w:rPr>
        <w:t>万元，政府采购工程支出</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万元，政府采购服务支出</w:t>
      </w:r>
      <w:r>
        <w:rPr>
          <w:rFonts w:hint="eastAsia" w:ascii="仿宋_GB2312" w:hAnsi="Times New Roman" w:eastAsia="仿宋_GB2312" w:cs="Times New Roman"/>
          <w:sz w:val="28"/>
          <w:szCs w:val="28"/>
          <w:lang w:val="en-US" w:eastAsia="zh-CN"/>
        </w:rPr>
        <w:t>19.2</w:t>
      </w:r>
      <w:r>
        <w:rPr>
          <w:rFonts w:hint="eastAsia" w:ascii="仿宋_GB2312" w:hAnsi="Times New Roman" w:eastAsia="仿宋_GB2312" w:cs="Times New Roman"/>
          <w:sz w:val="28"/>
          <w:szCs w:val="28"/>
        </w:rPr>
        <w:t>万元。授予中小企业合同金额</w:t>
      </w:r>
      <w:r>
        <w:rPr>
          <w:rFonts w:hint="eastAsia" w:ascii="仿宋_GB2312" w:hAnsi="Times New Roman" w:eastAsia="仿宋_GB2312" w:cs="Times New Roman"/>
          <w:sz w:val="28"/>
          <w:szCs w:val="28"/>
          <w:lang w:val="en-US" w:eastAsia="zh-CN"/>
        </w:rPr>
        <w:t>31.81</w:t>
      </w:r>
      <w:r>
        <w:rPr>
          <w:rFonts w:hint="eastAsia" w:ascii="仿宋_GB2312" w:hAnsi="Times New Roman" w:eastAsia="仿宋_GB2312" w:cs="Times New Roman"/>
          <w:sz w:val="28"/>
          <w:szCs w:val="28"/>
        </w:rPr>
        <w:t>万元，占政府采购支出总额的</w:t>
      </w:r>
      <w:r>
        <w:rPr>
          <w:rFonts w:hint="eastAsia" w:ascii="仿宋_GB2312" w:hAnsi="Times New Roman" w:eastAsia="仿宋_GB2312" w:cs="Times New Roman"/>
          <w:sz w:val="28"/>
          <w:szCs w:val="28"/>
          <w:lang w:val="en-US" w:eastAsia="zh-CN"/>
        </w:rPr>
        <w:t>100</w:t>
      </w:r>
      <w:r>
        <w:rPr>
          <w:rFonts w:hint="eastAsia" w:ascii="仿宋_GB2312" w:hAnsi="Times New Roman" w:eastAsia="仿宋_GB2312" w:cs="Times New Roman"/>
          <w:sz w:val="28"/>
          <w:szCs w:val="28"/>
        </w:rPr>
        <w:t>%，其中：授予小微企业合同金额</w:t>
      </w:r>
      <w:r>
        <w:rPr>
          <w:rFonts w:hint="eastAsia" w:ascii="仿宋_GB2312" w:hAnsi="Times New Roman" w:eastAsia="仿宋_GB2312" w:cs="Times New Roman"/>
          <w:sz w:val="28"/>
          <w:szCs w:val="28"/>
          <w:lang w:val="en-US" w:eastAsia="zh-CN"/>
        </w:rPr>
        <w:t>31.81</w:t>
      </w:r>
      <w:r>
        <w:rPr>
          <w:rFonts w:hint="eastAsia" w:ascii="仿宋_GB2312" w:hAnsi="Times New Roman" w:eastAsia="仿宋_GB2312" w:cs="Times New Roman"/>
          <w:sz w:val="28"/>
          <w:szCs w:val="28"/>
        </w:rPr>
        <w:t>万元，占政府采购支出总额的</w:t>
      </w:r>
      <w:r>
        <w:rPr>
          <w:rFonts w:hint="eastAsia" w:ascii="仿宋_GB2312" w:hAnsi="Times New Roman" w:eastAsia="仿宋_GB2312" w:cs="Times New Roman"/>
          <w:sz w:val="28"/>
          <w:szCs w:val="28"/>
          <w:lang w:val="en-US" w:eastAsia="zh-CN"/>
        </w:rPr>
        <w:t>100</w:t>
      </w:r>
      <w:r>
        <w:rPr>
          <w:rFonts w:hint="eastAsia" w:ascii="仿宋_GB2312" w:hAnsi="Times New Roman" w:eastAsia="仿宋_GB2312" w:cs="Times New Roman"/>
          <w:sz w:val="28"/>
          <w:szCs w:val="28"/>
        </w:rPr>
        <w:t>%。</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spacing w:line="5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2022年车辆</w:t>
      </w: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台，</w:t>
      </w:r>
      <w:r>
        <w:rPr>
          <w:rFonts w:hint="eastAsia" w:ascii="仿宋_GB2312" w:hAnsi="Times New Roman" w:eastAsia="仿宋_GB2312" w:cs="Times New Roman"/>
          <w:sz w:val="28"/>
          <w:szCs w:val="28"/>
          <w:lang w:val="en-US" w:eastAsia="zh-CN"/>
        </w:rPr>
        <w:t>10.962</w:t>
      </w:r>
      <w:r>
        <w:rPr>
          <w:rFonts w:hint="eastAsia" w:ascii="仿宋_GB2312" w:hAnsi="Times New Roman" w:eastAsia="仿宋_GB2312" w:cs="Times New Roman"/>
          <w:sz w:val="28"/>
          <w:szCs w:val="28"/>
        </w:rPr>
        <w:t>万元；单位价值100万元（含）以上的设备</w:t>
      </w:r>
      <w:r>
        <w:rPr>
          <w:rFonts w:hint="eastAsia" w:ascii="仿宋_GB2312" w:hAnsi="Times New Roman" w:eastAsia="仿宋_GB2312" w:cs="Times New Roman"/>
          <w:sz w:val="28"/>
          <w:szCs w:val="28"/>
          <w:lang w:val="en-US" w:eastAsia="zh-CN"/>
        </w:rPr>
        <w:t>0</w:t>
      </w:r>
      <w:r>
        <w:rPr>
          <w:rFonts w:hint="eastAsia" w:ascii="仿宋_GB2312" w:hAnsi="Times New Roman" w:eastAsia="仿宋_GB2312" w:cs="Times New Roman"/>
          <w:sz w:val="28"/>
          <w:szCs w:val="28"/>
        </w:rPr>
        <w:t>台（套）。</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五、</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.一般公共服务支出（类）组织事务（款）一般行政管理事务（项）：反映行政单位（包括实行公务员管理的事业单位）未单独设置项级科目的其他项目支出。 </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.教育支出（类）普通教育（款）学前教育（项）：反映各部门举办的学前教育支出。政府各部门对社会组织等举办的幼儿园的资助，如捐赠、补贴等，也在本科目中反映。</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教育支出（类）进修及培训（款）培训支出（项）：反映各部门安排的用于培训的支出。教育部门的师资培训，党校、行政学院等专业干部教育机构的支出，以及退役士兵、转业士官的培训支出，不在本科目反映。</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.教育支出（类）教育费附加安排的支出（款）其他教育费附加安排的支出（项）：反映除上述项目以外的教育费附加支出。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.社会保障和就业支出（类）行政事业单位养老支出（款）事业单位离退休（项）：反映事业单位开支的离退休经费。</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.社会保障和就业支出（类）行政事业单位养老支出（款）机关事业单位基本养老保险缴费支出（项）：反映机关事业单位实施养老保险制度由单位缴纳的基本养老保险费支出。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12</w:t>
      </w:r>
      <w:r>
        <w:rPr>
          <w:rFonts w:hint="eastAsia" w:ascii="仿宋_GB2312" w:eastAsia="仿宋_GB2312"/>
          <w:sz w:val="28"/>
          <w:szCs w:val="28"/>
        </w:rPr>
        <w:t>.社会保障和就业支出（类）行政事业单位养老支出（款）机关事业单位职业年金缴费支出（项）：反映机关事业单位实施养老保险制度由单位实际缴纳的职业年金支出。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13</w:t>
      </w:r>
      <w:r>
        <w:rPr>
          <w:rFonts w:hint="eastAsia" w:ascii="仿宋_GB2312" w:eastAsia="仿宋_GB2312"/>
          <w:sz w:val="28"/>
          <w:szCs w:val="28"/>
        </w:rPr>
        <w:t>.住房保障支出（类）住房改革支出（款）住房公积金（项）：反映行政事业单位按人力资源和社会保障部、财政部规定的基本工资和津贴补贴以及规定比例为职工缴纳的住房公积金。</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14</w:t>
      </w:r>
      <w:bookmarkStart w:id="0" w:name="_GoBack"/>
      <w:bookmarkEnd w:id="0"/>
      <w:r>
        <w:rPr>
          <w:rFonts w:hint="eastAsia" w:ascii="仿宋_GB2312" w:eastAsia="仿宋_GB2312"/>
          <w:sz w:val="28"/>
          <w:szCs w:val="28"/>
        </w:rPr>
        <w:t>.住房保障支出（类）住房改革支出（款）购房补贴（项）：反映按房改政策规定，行政事业单位向符合条件职工（含离退休人员）、军队（含武警）向转役复员离退休人员发放的用于购买住房的补贴。</w:t>
      </w:r>
    </w:p>
    <w:p>
      <w:pPr>
        <w:ind w:firstLine="560" w:firstLineChars="200"/>
        <w:rPr>
          <w:rFonts w:ascii="仿宋_GB2312" w:eastAsia="仿宋_GB2312"/>
          <w:sz w:val="28"/>
          <w:szCs w:val="28"/>
        </w:rPr>
      </w:pPr>
    </w:p>
    <w:p>
      <w:pPr>
        <w:jc w:val="both"/>
        <w:rPr>
          <w:rFonts w:hint="eastAsia" w:ascii="黑体" w:eastAsia="黑体"/>
          <w:sz w:val="32"/>
          <w:szCs w:val="32"/>
        </w:rPr>
      </w:pPr>
    </w:p>
    <w:p>
      <w:pPr>
        <w:numPr>
          <w:ilvl w:val="0"/>
          <w:numId w:val="5"/>
        </w:numPr>
        <w:ind w:firstLine="640" w:firstLineChars="200"/>
        <w:jc w:val="center"/>
        <w:rPr>
          <w:rFonts w:hint="eastAsia" w:ascii="黑体" w:eastAsia="黑体"/>
          <w:sz w:val="32"/>
          <w:szCs w:val="32"/>
        </w:rPr>
      </w:pPr>
      <w:r>
        <w:rPr>
          <w:rFonts w:hint="eastAsia" w:ascii="黑体" w:eastAsia="黑体"/>
          <w:sz w:val="32"/>
          <w:szCs w:val="32"/>
        </w:rPr>
        <w:t xml:space="preserve"> 2022年度部门绩效评价情况</w:t>
      </w:r>
    </w:p>
    <w:p>
      <w:pPr>
        <w:numPr>
          <w:ilvl w:val="0"/>
          <w:numId w:val="0"/>
        </w:numPr>
        <w:jc w:val="center"/>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项目支出绩效自评表</w:t>
      </w:r>
    </w:p>
    <w:p>
      <w:pPr>
        <w:spacing w:line="240" w:lineRule="exact"/>
        <w:jc w:val="center"/>
        <w:rPr>
          <w:rFonts w:hint="eastAsia" w:ascii="仿宋_GB2312" w:hAnsi="宋体" w:eastAsia="仿宋_GB2312"/>
          <w:sz w:val="30"/>
          <w:szCs w:val="30"/>
          <w:highlight w:val="none"/>
        </w:rPr>
      </w:pPr>
      <w:r>
        <w:rPr>
          <w:rFonts w:hint="eastAsia" w:ascii="仿宋_GB2312" w:hAnsi="宋体" w:eastAsia="仿宋_GB2312" w:cs="仿宋_GB2312"/>
          <w:color w:val="000000"/>
          <w:kern w:val="0"/>
          <w:sz w:val="28"/>
          <w:szCs w:val="28"/>
          <w:lang w:bidi="ar"/>
        </w:rPr>
        <w:t xml:space="preserve">（ </w:t>
      </w:r>
      <w:r>
        <w:rPr>
          <w:rFonts w:hint="eastAsia" w:ascii="仿宋_GB2312" w:hAnsi="宋体" w:eastAsia="仿宋_GB2312" w:cs="仿宋_GB2312"/>
          <w:color w:val="000000"/>
          <w:kern w:val="0"/>
          <w:sz w:val="28"/>
          <w:szCs w:val="28"/>
          <w:lang w:val="en-US" w:eastAsia="zh-CN" w:bidi="ar"/>
        </w:rPr>
        <w:t>2022</w:t>
      </w:r>
      <w:r>
        <w:rPr>
          <w:rFonts w:hint="eastAsia" w:ascii="仿宋_GB2312" w:hAnsi="宋体" w:eastAsia="仿宋_GB2312" w:cs="仿宋_GB2312"/>
          <w:color w:val="000000"/>
          <w:kern w:val="0"/>
          <w:sz w:val="28"/>
          <w:szCs w:val="28"/>
          <w:lang w:bidi="ar"/>
        </w:rPr>
        <w:t>年度）</w:t>
      </w: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专项下达—事业单位基本岗位编外人员补贴</w:t>
            </w:r>
          </w:p>
        </w:tc>
      </w:tr>
      <w:tr>
        <w:tblPrEx>
          <w:tblCellMar>
            <w:top w:w="0" w:type="dxa"/>
            <w:left w:w="108" w:type="dxa"/>
            <w:bottom w:w="0" w:type="dxa"/>
            <w:right w:w="108" w:type="dxa"/>
          </w:tblCellMar>
        </w:tblPrEx>
        <w:trPr>
          <w:trHeight w:val="58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北京市丰台区教育委员会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北京市丰台区蒲黄榆第二幼儿园</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李颖</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87822017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项目资金</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80.64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80.64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80.64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80.64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80.64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80.64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 xml:space="preserve">   </w:t>
            </w:r>
            <w:r>
              <w:rPr>
                <w:rFonts w:hint="eastAsia" w:ascii="仿宋_GB2312" w:hAnsi="宋体" w:eastAsia="仿宋_GB2312" w:cs="宋体"/>
                <w:kern w:val="0"/>
                <w:szCs w:val="21"/>
                <w:highlight w:val="none"/>
              </w:rPr>
              <w:t>通过外聘人员，补充幼儿园在保育员和厨工方面的人员不足，保证幼儿园正常运转。</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通过外聘人员，补充幼儿园在保育员和厨工方面的人员不足，保证幼儿园正常运转。</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绩</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聘用人员服务周期</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12</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12</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10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能够胜任幼儿园岗位工作，保证工作质量的前提下完成工作。</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厨工10人，保育员4人</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14</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14</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对幼儿园正常运转及发展的正面影响率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受益对象满意度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ascii="仿宋_GB2312" w:hAnsi="宋体" w:eastAsia="仿宋_GB2312"/>
          <w:sz w:val="28"/>
          <w:szCs w:val="28"/>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蒲黄榆二幼操场草坪铺设</w:t>
            </w:r>
          </w:p>
        </w:tc>
      </w:tr>
      <w:tr>
        <w:tblPrEx>
          <w:tblCellMar>
            <w:top w:w="0" w:type="dxa"/>
            <w:left w:w="108" w:type="dxa"/>
            <w:bottom w:w="0" w:type="dxa"/>
            <w:right w:w="108" w:type="dxa"/>
          </w:tblCellMar>
        </w:tblPrEx>
        <w:trPr>
          <w:trHeight w:val="58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北京市丰台区教育委员会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北京市丰台区蒲黄榆第二幼儿园</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李颖</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87822017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项目资金</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18.2</w:t>
            </w:r>
            <w:r>
              <w:rPr>
                <w:rFonts w:hint="eastAsia" w:ascii="仿宋_GB2312" w:hAnsi="宋体" w:eastAsia="仿宋_GB2312" w:cs="宋体"/>
                <w:kern w:val="0"/>
                <w:szCs w:val="21"/>
                <w:highlight w:val="none"/>
                <w:lang w:val="en-US" w:eastAsia="zh-CN"/>
              </w:rPr>
              <w:t>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18.2</w:t>
            </w:r>
            <w:r>
              <w:rPr>
                <w:rFonts w:hint="eastAsia" w:ascii="仿宋_GB2312" w:hAnsi="宋体" w:eastAsia="仿宋_GB2312" w:cs="宋体"/>
                <w:kern w:val="0"/>
                <w:szCs w:val="21"/>
                <w:highlight w:val="none"/>
                <w:lang w:val="en-US" w:eastAsia="zh-CN"/>
              </w:rPr>
              <w:t>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18.2</w:t>
            </w:r>
            <w:r>
              <w:rPr>
                <w:rFonts w:hint="eastAsia" w:ascii="仿宋_GB2312" w:hAnsi="宋体" w:eastAsia="仿宋_GB2312" w:cs="宋体"/>
                <w:kern w:val="0"/>
                <w:szCs w:val="21"/>
                <w:highlight w:val="none"/>
                <w:lang w:val="en-US" w:eastAsia="zh-CN"/>
              </w:rPr>
              <w:t>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18.2</w:t>
            </w:r>
            <w:r>
              <w:rPr>
                <w:rFonts w:hint="eastAsia" w:ascii="仿宋_GB2312" w:hAnsi="宋体" w:eastAsia="仿宋_GB2312" w:cs="宋体"/>
                <w:kern w:val="0"/>
                <w:szCs w:val="21"/>
                <w:highlight w:val="none"/>
                <w:lang w:val="en-US" w:eastAsia="zh-CN"/>
              </w:rPr>
              <w:t>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18.2</w:t>
            </w:r>
            <w:r>
              <w:rPr>
                <w:rFonts w:hint="eastAsia" w:ascii="仿宋_GB2312" w:hAnsi="宋体" w:eastAsia="仿宋_GB2312" w:cs="宋体"/>
                <w:kern w:val="0"/>
                <w:szCs w:val="21"/>
                <w:highlight w:val="none"/>
                <w:lang w:val="en-US" w:eastAsia="zh-CN"/>
              </w:rPr>
              <w:t>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18.2</w:t>
            </w:r>
            <w:r>
              <w:rPr>
                <w:rFonts w:hint="eastAsia" w:ascii="仿宋_GB2312" w:hAnsi="宋体" w:eastAsia="仿宋_GB2312" w:cs="宋体"/>
                <w:kern w:val="0"/>
                <w:szCs w:val="21"/>
                <w:highlight w:val="none"/>
                <w:lang w:val="en-US" w:eastAsia="zh-CN"/>
              </w:rPr>
              <w:t>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 xml:space="preserve"> 通过户外草皮铺设，丰富幼儿园户外场地类型，增加幼儿肢体感知。</w:t>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通过户外草皮铺设，丰富幼儿园户外场地类型，增加幼儿肢体感知。</w:t>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绩</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安装铺设验收合格率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10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草皮质量合格率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采购操场所需面积数量草坪</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700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700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支出进度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草皮使用年限</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6</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6</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幼儿、教职工使用满意度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w:t>
            </w:r>
            <w:r>
              <w:rPr>
                <w:rFonts w:hint="eastAsia" w:ascii="仿宋_GB2312" w:hAnsi="宋体" w:eastAsia="仿宋_GB2312" w:cs="宋体"/>
                <w:kern w:val="0"/>
                <w:szCs w:val="21"/>
                <w:highlight w:val="none"/>
              </w:rPr>
              <w:t>蒲黄榆二幼更新台式计算机项目</w:t>
            </w:r>
          </w:p>
        </w:tc>
      </w:tr>
      <w:tr>
        <w:tblPrEx>
          <w:tblCellMar>
            <w:top w:w="0" w:type="dxa"/>
            <w:left w:w="108" w:type="dxa"/>
            <w:bottom w:w="0" w:type="dxa"/>
            <w:right w:w="108" w:type="dxa"/>
          </w:tblCellMar>
        </w:tblPrEx>
        <w:trPr>
          <w:trHeight w:val="58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北京市丰台区教育委员会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北京市丰台区蒲黄榆第二幼儿园</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李颖</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87822017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项目资金</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1.通过更新台式计算机，提高教师在教育活动中对于电子化应用的使用率。</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2.满足幼儿教育教学的电算化需求，提高教育过程中的电子化水平。</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1.通过更新台式计算机，提高教师在教育活动中对于电子化应用的使用率。</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2.满足幼儿教育教学的电算化需求，提高教育过程中的电子化水平</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绩</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设备质量合格率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10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支出进度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采购数量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6</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6</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经济效益指标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设备利用率</w:t>
            </w:r>
            <w:r>
              <w:rPr>
                <w:rFonts w:hint="eastAsia" w:ascii="仿宋" w:hAnsi="仿宋" w:eastAsia="仿宋" w:cs="仿宋"/>
                <w:i w:val="0"/>
                <w:iCs w:val="0"/>
                <w:color w:val="000000"/>
                <w:kern w:val="0"/>
                <w:sz w:val="20"/>
                <w:szCs w:val="20"/>
                <w:u w:val="none"/>
                <w:lang w:val="en-US" w:eastAsia="zh-CN" w:bidi="ar"/>
              </w:rPr>
              <w:tab/>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设备使用年限</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满意度</w:t>
            </w:r>
          </w:p>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使用人员满意度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蒲黄榆二幼更新便携式计算机</w:t>
            </w:r>
          </w:p>
        </w:tc>
      </w:tr>
      <w:tr>
        <w:tblPrEx>
          <w:tblCellMar>
            <w:top w:w="0" w:type="dxa"/>
            <w:left w:w="108" w:type="dxa"/>
            <w:bottom w:w="0" w:type="dxa"/>
            <w:right w:w="108" w:type="dxa"/>
          </w:tblCellMar>
        </w:tblPrEx>
        <w:trPr>
          <w:trHeight w:val="58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北京市丰台区教育委员会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北京市丰台区蒲黄榆第二幼儿园</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李颖</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87822017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项目资金</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 xml:space="preserve"> </w:t>
            </w:r>
            <w:r>
              <w:rPr>
                <w:rFonts w:hint="eastAsia" w:ascii="仿宋_GB2312" w:hAnsi="宋体" w:eastAsia="仿宋_GB2312" w:cs="宋体"/>
                <w:kern w:val="0"/>
                <w:szCs w:val="21"/>
                <w:highlight w:val="none"/>
              </w:rPr>
              <w:t>满足教育教学需求，提高教育教学电子化应用。</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 xml:space="preserve"> </w:t>
            </w:r>
            <w:r>
              <w:rPr>
                <w:rFonts w:hint="eastAsia" w:ascii="仿宋_GB2312" w:hAnsi="宋体" w:eastAsia="仿宋_GB2312" w:cs="宋体"/>
                <w:kern w:val="0"/>
                <w:szCs w:val="21"/>
                <w:highlight w:val="none"/>
              </w:rPr>
              <w:t>满足教育教学需求，提高教育教学电子化应用。</w:t>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绩</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采购数量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7</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7</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10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设备质量合格率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支出进度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设备利用率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设备使用年限</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使用人员满意度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p>
      <w:pPr>
        <w:spacing w:line="240" w:lineRule="exact"/>
        <w:rPr>
          <w:rFonts w:hint="eastAsia" w:ascii="仿宋_GB2312" w:hAnsi="宋体" w:eastAsia="仿宋_GB2312"/>
          <w:sz w:val="30"/>
          <w:szCs w:val="30"/>
          <w:highlight w:val="none"/>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r>
              <w:rPr>
                <w:rFonts w:hint="eastAsia" w:ascii="仿宋_GB2312" w:hAnsi="宋体" w:eastAsia="仿宋_GB2312" w:cs="宋体"/>
                <w:kern w:val="0"/>
                <w:szCs w:val="21"/>
                <w:highlight w:val="none"/>
              </w:rPr>
              <w:t>蒲黄榆二幼户外玩具添置</w:t>
            </w:r>
          </w:p>
        </w:tc>
      </w:tr>
      <w:tr>
        <w:tblPrEx>
          <w:tblCellMar>
            <w:top w:w="0" w:type="dxa"/>
            <w:left w:w="108" w:type="dxa"/>
            <w:bottom w:w="0" w:type="dxa"/>
            <w:right w:w="108" w:type="dxa"/>
          </w:tblCellMar>
        </w:tblPrEx>
        <w:trPr>
          <w:trHeight w:val="58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北京市丰台区教育委员会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北京市丰台区蒲黄榆第二幼儿园</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李颖</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87822017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项目资金</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 xml:space="preserve"> </w:t>
            </w:r>
            <w:r>
              <w:rPr>
                <w:rFonts w:hint="eastAsia" w:ascii="仿宋_GB2312" w:hAnsi="宋体" w:eastAsia="仿宋_GB2312" w:cs="宋体"/>
                <w:kern w:val="0"/>
                <w:szCs w:val="21"/>
                <w:highlight w:val="none"/>
              </w:rPr>
              <w:t>满足教育教学需求，提高教育教学电子化应用。</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 xml:space="preserve"> </w:t>
            </w:r>
            <w:r>
              <w:rPr>
                <w:rFonts w:hint="eastAsia" w:ascii="仿宋_GB2312" w:hAnsi="宋体" w:eastAsia="仿宋_GB2312" w:cs="宋体"/>
                <w:kern w:val="0"/>
                <w:szCs w:val="21"/>
                <w:highlight w:val="none"/>
              </w:rPr>
              <w:t>满足教育教学需求，提高教育教学电子化应用。</w:t>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绩</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设备质量合格率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10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户外组合玩具一套</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安装工程验收合格率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支出进度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玩具使用年限</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幼儿教师满意度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spacing w:line="240" w:lineRule="exact"/>
        <w:rPr>
          <w:rFonts w:hint="eastAsia" w:ascii="仿宋_GB2312" w:hAnsi="宋体" w:eastAsia="仿宋_GB2312"/>
          <w:sz w:val="30"/>
          <w:szCs w:val="30"/>
          <w:highlight w:val="none"/>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w:t>
            </w:r>
            <w:r>
              <w:rPr>
                <w:rFonts w:hint="eastAsia" w:ascii="仿宋_GB2312" w:hAnsi="宋体" w:eastAsia="仿宋_GB2312" w:cs="宋体"/>
                <w:kern w:val="0"/>
                <w:szCs w:val="21"/>
                <w:highlight w:val="none"/>
              </w:rPr>
              <w:t>蒲黄榆二幼成人厕所改造</w:t>
            </w:r>
          </w:p>
        </w:tc>
      </w:tr>
      <w:tr>
        <w:tblPrEx>
          <w:tblCellMar>
            <w:top w:w="0" w:type="dxa"/>
            <w:left w:w="108" w:type="dxa"/>
            <w:bottom w:w="0" w:type="dxa"/>
            <w:right w:w="108" w:type="dxa"/>
          </w:tblCellMar>
        </w:tblPrEx>
        <w:trPr>
          <w:trHeight w:val="58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北京市丰台区教育委员会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北京市丰台区蒲黄榆第二幼儿园</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李颖</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87822017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项目资金</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 xml:space="preserve"> </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通过卫生间改造，满足教职工使用需求。</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 xml:space="preserve"> </w:t>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通过卫生间改造，满足教职工使用需求。</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绩</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修缮卫生间2间</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10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竣工验收合格率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工程进度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支出进度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卫生间使用率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教职工满意度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spacing w:line="520" w:lineRule="exact"/>
        <w:jc w:val="left"/>
        <w:rPr>
          <w:rFonts w:hint="eastAsia" w:ascii="仿宋_GB2312" w:hAnsi="宋体" w:eastAsia="仿宋_GB2312" w:cs="宋体"/>
          <w:color w:val="000000"/>
          <w:kern w:val="0"/>
          <w:sz w:val="32"/>
          <w:szCs w:val="32"/>
          <w:highlight w:val="none"/>
        </w:rPr>
      </w:pPr>
    </w:p>
    <w:p>
      <w:pPr>
        <w:spacing w:line="240" w:lineRule="exact"/>
        <w:rPr>
          <w:rFonts w:hint="eastAsia" w:ascii="仿宋_GB2312" w:hAnsi="宋体" w:eastAsia="仿宋_GB2312"/>
          <w:sz w:val="30"/>
          <w:szCs w:val="30"/>
          <w:highlight w:val="none"/>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w:t>
            </w:r>
            <w:r>
              <w:rPr>
                <w:rFonts w:hint="eastAsia" w:ascii="仿宋_GB2312" w:hAnsi="宋体" w:eastAsia="仿宋_GB2312" w:cs="宋体"/>
                <w:kern w:val="0"/>
                <w:szCs w:val="21"/>
                <w:highlight w:val="none"/>
              </w:rPr>
              <w:t>蒲黄榆二幼更换直饮机</w:t>
            </w:r>
          </w:p>
        </w:tc>
      </w:tr>
      <w:tr>
        <w:tblPrEx>
          <w:tblCellMar>
            <w:top w:w="0" w:type="dxa"/>
            <w:left w:w="108" w:type="dxa"/>
            <w:bottom w:w="0" w:type="dxa"/>
            <w:right w:w="108" w:type="dxa"/>
          </w:tblCellMar>
        </w:tblPrEx>
        <w:trPr>
          <w:trHeight w:val="58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北京市丰台区教育委员会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北京市丰台区蒲黄榆第二幼儿园</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李颖</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87822017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项目资金</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6.38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6.38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6.38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6.38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6.38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16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 xml:space="preserve"> </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更换幼儿直饮机，保证幼儿饮水安全</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 xml:space="preserve"> </w:t>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更换幼儿直饮机，保证幼儿饮水安全</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绩</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安装设备验收合格率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15</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15</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10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支出进度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设备交付使用进度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采购数量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设备质量合格率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设备利用率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设备使用年限</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使用人员满意度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p>
    <w:p>
      <w:pPr>
        <w:spacing w:line="240" w:lineRule="exact"/>
        <w:rPr>
          <w:rFonts w:hint="eastAsia" w:ascii="仿宋_GB2312" w:hAnsi="宋体" w:eastAsia="仿宋_GB2312"/>
          <w:sz w:val="30"/>
          <w:szCs w:val="30"/>
          <w:highlight w:val="none"/>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w:t>
            </w:r>
            <w:r>
              <w:rPr>
                <w:rFonts w:hint="eastAsia" w:ascii="仿宋_GB2312" w:hAnsi="宋体" w:eastAsia="仿宋_GB2312" w:cs="宋体"/>
                <w:kern w:val="0"/>
                <w:szCs w:val="21"/>
                <w:highlight w:val="none"/>
              </w:rPr>
              <w:t>蒲黄榆二幼教育观察评价系统服务费</w:t>
            </w:r>
          </w:p>
        </w:tc>
      </w:tr>
      <w:tr>
        <w:tblPrEx>
          <w:tblCellMar>
            <w:top w:w="0" w:type="dxa"/>
            <w:left w:w="108" w:type="dxa"/>
            <w:bottom w:w="0" w:type="dxa"/>
            <w:right w:w="108" w:type="dxa"/>
          </w:tblCellMar>
        </w:tblPrEx>
        <w:trPr>
          <w:trHeight w:val="58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北京市丰台区教育委员会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北京市丰台区蒲黄榆第二幼儿园</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李颖</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87822017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项目资金</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通过使用教育观察评价系统，提高教师对幼儿观察的准确性，从而提升教育措施的有效性。</w:t>
            </w:r>
          </w:p>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lang w:val="en-US" w:eastAsia="zh-CN"/>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 xml:space="preserve"> </w:t>
            </w:r>
            <w:r>
              <w:rPr>
                <w:rFonts w:hint="eastAsia" w:ascii="仿宋_GB2312" w:hAnsi="宋体" w:eastAsia="仿宋_GB2312" w:cs="宋体"/>
                <w:kern w:val="0"/>
                <w:szCs w:val="21"/>
                <w:highlight w:val="none"/>
              </w:rPr>
              <w:t>通过使用教育观察评价系统，提高教师对幼儿观察的准确性，从而提升教育措施的有效性。</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绩</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8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教育观察服务使用幼儿408人</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支出进度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确保教育观察服务系统正常使用</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持续使用时间</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12</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12</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社会效益指标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提高教师有效观察幼儿能力</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受益对象满意度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spacing w:line="240" w:lineRule="exact"/>
        <w:rPr>
          <w:rFonts w:hint="eastAsia" w:ascii="仿宋_GB2312" w:hAnsi="宋体" w:eastAsia="仿宋_GB2312"/>
          <w:sz w:val="30"/>
          <w:szCs w:val="30"/>
          <w:highlight w:val="none"/>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w:t>
            </w:r>
            <w:r>
              <w:rPr>
                <w:rFonts w:hint="eastAsia" w:ascii="仿宋_GB2312" w:hAnsi="宋体" w:eastAsia="仿宋_GB2312" w:cs="宋体"/>
                <w:kern w:val="0"/>
                <w:szCs w:val="21"/>
                <w:highlight w:val="none"/>
              </w:rPr>
              <w:t>蒲黄榆二幼新增A3激光打印机</w:t>
            </w:r>
          </w:p>
        </w:tc>
      </w:tr>
      <w:tr>
        <w:tblPrEx>
          <w:tblCellMar>
            <w:top w:w="0" w:type="dxa"/>
            <w:left w:w="108" w:type="dxa"/>
            <w:bottom w:w="0" w:type="dxa"/>
            <w:right w:w="108" w:type="dxa"/>
          </w:tblCellMar>
        </w:tblPrEx>
        <w:trPr>
          <w:trHeight w:val="58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北京市丰台区教育委员会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北京市丰台区蒲黄榆第二幼儿园</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李颖</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87822017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项目资金</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1.59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1.59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9</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85%</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 xml:space="preserve"> </w:t>
            </w:r>
            <w:r>
              <w:rPr>
                <w:rFonts w:hint="eastAsia" w:ascii="仿宋_GB2312" w:hAnsi="宋体" w:eastAsia="仿宋_GB2312" w:cs="宋体"/>
                <w:kern w:val="0"/>
                <w:szCs w:val="21"/>
                <w:highlight w:val="none"/>
              </w:rPr>
              <w:t>1.通过添置A3激光打印机，满足幼儿教育过程中对于较大图片的需求，提高教育质量。</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2.满足对幼儿、教师以及橱窗对外宣传需求。</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1.通过添置A3激光打印机，满足幼儿教育过程中对于较大图片的需求，提高教育质量。</w:t>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2.满足对幼儿、教师以及橱窗对外宣传需求。</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绩</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采购数量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10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设备质量合格率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支出进度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设备利用率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使用年限</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使用人员满意度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spacing w:line="520" w:lineRule="exact"/>
        <w:jc w:val="left"/>
        <w:rPr>
          <w:rFonts w:hint="eastAsia" w:ascii="仿宋_GB2312" w:hAnsi="宋体" w:eastAsia="仿宋_GB2312" w:cs="宋体"/>
          <w:color w:val="000000"/>
          <w:kern w:val="0"/>
          <w:sz w:val="32"/>
          <w:szCs w:val="32"/>
          <w:highlight w:val="none"/>
        </w:rPr>
      </w:pPr>
    </w:p>
    <w:p>
      <w:pPr>
        <w:widowControl/>
        <w:spacing w:line="520" w:lineRule="exact"/>
        <w:jc w:val="left"/>
        <w:rPr>
          <w:rFonts w:hint="eastAsia" w:ascii="仿宋_GB2312" w:hAnsi="宋体" w:eastAsia="仿宋_GB2312" w:cs="宋体"/>
          <w:color w:val="000000"/>
          <w:kern w:val="0"/>
          <w:sz w:val="32"/>
          <w:szCs w:val="32"/>
          <w:highlight w:val="none"/>
        </w:rPr>
      </w:pPr>
    </w:p>
    <w:p>
      <w:pPr>
        <w:spacing w:line="240" w:lineRule="exact"/>
        <w:rPr>
          <w:rFonts w:hint="eastAsia" w:ascii="仿宋_GB2312" w:hAnsi="宋体" w:eastAsia="仿宋_GB2312"/>
          <w:sz w:val="30"/>
          <w:szCs w:val="30"/>
          <w:highlight w:val="none"/>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r>
              <w:rPr>
                <w:rFonts w:hint="eastAsia" w:ascii="仿宋_GB2312" w:hAnsi="宋体" w:eastAsia="仿宋_GB2312" w:cs="宋体"/>
                <w:kern w:val="0"/>
                <w:szCs w:val="21"/>
                <w:highlight w:val="none"/>
              </w:rPr>
              <w:t>蒲黄榆二幼玩具添置</w:t>
            </w:r>
          </w:p>
        </w:tc>
      </w:tr>
      <w:tr>
        <w:tblPrEx>
          <w:tblCellMar>
            <w:top w:w="0" w:type="dxa"/>
            <w:left w:w="108" w:type="dxa"/>
            <w:bottom w:w="0" w:type="dxa"/>
            <w:right w:w="108" w:type="dxa"/>
          </w:tblCellMar>
        </w:tblPrEx>
        <w:trPr>
          <w:trHeight w:val="58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北京市丰台区教育委员会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北京市丰台区蒲黄榆第二幼儿园</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李颖</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87822017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项目资金</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15.57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15.57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15.57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15.57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15.57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15.57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1.补充幼儿玩具，提高幼儿各方面能力发展。</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1.补充幼儿玩具，提高幼儿各方面能力发展。</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绩</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玩具质量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10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支出进度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7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采购数量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玩具使用率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Cs w:val="21"/>
                <w:highlight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Cs w:val="21"/>
                <w:highlight w:val="none"/>
              </w:rPr>
            </w:pPr>
            <w:r>
              <w:rPr>
                <w:rFonts w:hint="eastAsia" w:ascii="仿宋" w:hAnsi="仿宋" w:eastAsia="仿宋" w:cs="仿宋"/>
                <w:i w:val="0"/>
                <w:iCs w:val="0"/>
                <w:color w:val="000000"/>
                <w:kern w:val="0"/>
                <w:sz w:val="20"/>
                <w:szCs w:val="20"/>
                <w:u w:val="none"/>
                <w:lang w:val="en-US" w:eastAsia="zh-CN" w:bidi="ar"/>
              </w:rPr>
              <w:t>幼儿及教师满意度</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spacing w:line="520" w:lineRule="exact"/>
        <w:jc w:val="left"/>
        <w:rPr>
          <w:rFonts w:hint="eastAsia" w:ascii="仿宋_GB2312" w:hAnsi="宋体" w:eastAsia="仿宋_GB2312" w:cs="宋体"/>
          <w:color w:val="000000"/>
          <w:kern w:val="0"/>
          <w:sz w:val="32"/>
          <w:szCs w:val="32"/>
          <w:highlight w:val="none"/>
        </w:rPr>
      </w:pPr>
    </w:p>
    <w:p>
      <w:pPr>
        <w:numPr>
          <w:ilvl w:val="0"/>
          <w:numId w:val="0"/>
        </w:numPr>
        <w:jc w:val="both"/>
        <w:rPr>
          <w:rFonts w:hint="eastAsia" w:ascii="黑体" w:eastAsia="黑体"/>
          <w:sz w:val="32"/>
          <w:szCs w:val="32"/>
        </w:rPr>
      </w:pPr>
    </w:p>
    <w:p>
      <w:pPr>
        <w:pStyle w:val="2"/>
        <w:ind w:firstLine="420"/>
      </w:pPr>
    </w:p>
    <w:p>
      <w:pPr>
        <w:pStyle w:val="2"/>
        <w:ind w:firstLine="420"/>
      </w:pPr>
    </w:p>
    <w:p>
      <w:pPr>
        <w:pStyle w:val="2"/>
        <w:ind w:firstLine="420"/>
      </w:pPr>
    </w:p>
    <w:p>
      <w:pPr>
        <w:pStyle w:val="2"/>
        <w:ind w:firstLine="420"/>
      </w:pPr>
    </w:p>
    <w:p>
      <w:pPr>
        <w:pStyle w:val="2"/>
        <w:ind w:firstLine="420"/>
      </w:pP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填报注意事项： </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1.得分一档最高不能超过该指标分值上限。 </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 xml:space="preserve">年度指标值（A））/年度指标值（A）*100%。若计算结果在200%-300%（含200%）区间，则按照该指标分值的10%扣分；计算结果在300%-500%（含300%）区间，则按照该指标分值的20%扣分；计算结果高于500%（含500%），则按照该指标分值的30%扣分。 </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3.请在</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偏差原因分析及改进措施</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 xml:space="preserve">中说明偏离目标、不能完成目标的原因及拟采取的措施。 </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4.90（含）-100分为优、80（含）-90分为良、60（含）-80分为中、60分以下为差。  </w:t>
      </w: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DFABE"/>
    <w:multiLevelType w:val="singleLevel"/>
    <w:tmpl w:val="B14DFABE"/>
    <w:lvl w:ilvl="0" w:tentative="0">
      <w:start w:val="2"/>
      <w:numFmt w:val="decimal"/>
      <w:suff w:val="nothing"/>
      <w:lvlText w:val="%1、"/>
      <w:lvlJc w:val="left"/>
    </w:lvl>
  </w:abstractNum>
  <w:abstractNum w:abstractNumId="1">
    <w:nsid w:val="B1D2027A"/>
    <w:multiLevelType w:val="singleLevel"/>
    <w:tmpl w:val="B1D2027A"/>
    <w:lvl w:ilvl="0" w:tentative="0">
      <w:start w:val="4"/>
      <w:numFmt w:val="chineseCounting"/>
      <w:suff w:val="space"/>
      <w:lvlText w:val="第%1部分"/>
      <w:lvlJc w:val="left"/>
      <w:rPr>
        <w:rFonts w:hint="eastAsia"/>
      </w:rPr>
    </w:lvl>
  </w:abstractNum>
  <w:abstractNum w:abstractNumId="2">
    <w:nsid w:val="3203652F"/>
    <w:multiLevelType w:val="singleLevel"/>
    <w:tmpl w:val="3203652F"/>
    <w:lvl w:ilvl="0" w:tentative="0">
      <w:start w:val="6"/>
      <w:numFmt w:val="chineseCounting"/>
      <w:suff w:val="nothing"/>
      <w:lvlText w:val="%1、"/>
      <w:lvlJc w:val="left"/>
      <w:rPr>
        <w:rFonts w:hint="eastAsia"/>
      </w:rPr>
    </w:lvl>
  </w:abstractNum>
  <w:abstractNum w:abstractNumId="3">
    <w:nsid w:val="47CE6C3E"/>
    <w:multiLevelType w:val="multilevel"/>
    <w:tmpl w:val="47CE6C3E"/>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7E66B79C"/>
    <w:multiLevelType w:val="singleLevel"/>
    <w:tmpl w:val="7E66B79C"/>
    <w:lvl w:ilvl="0" w:tentative="0">
      <w:start w:val="4"/>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TJmZDFhZDVhZGUxOWUzYWM1NDUwYTZlNDU1YjMifQ=="/>
  </w:docVars>
  <w:rsids>
    <w:rsidRoot w:val="00172A27"/>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33A9"/>
    <w:rsid w:val="00077A9E"/>
    <w:rsid w:val="00077F4A"/>
    <w:rsid w:val="00077FE5"/>
    <w:rsid w:val="00080447"/>
    <w:rsid w:val="00085663"/>
    <w:rsid w:val="00095948"/>
    <w:rsid w:val="00095C26"/>
    <w:rsid w:val="00096504"/>
    <w:rsid w:val="00096B86"/>
    <w:rsid w:val="000A1770"/>
    <w:rsid w:val="000A283C"/>
    <w:rsid w:val="000B15B7"/>
    <w:rsid w:val="000B68BF"/>
    <w:rsid w:val="000B70F1"/>
    <w:rsid w:val="000C4611"/>
    <w:rsid w:val="000D6854"/>
    <w:rsid w:val="000E0B26"/>
    <w:rsid w:val="000E329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B62CC"/>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0CC7"/>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6C74"/>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B0EA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778BD"/>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247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178C7"/>
    <w:rsid w:val="009351E9"/>
    <w:rsid w:val="00937862"/>
    <w:rsid w:val="00942279"/>
    <w:rsid w:val="009524EB"/>
    <w:rsid w:val="00957C3C"/>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B6D48"/>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6D9"/>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37AA"/>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B55470"/>
    <w:rsid w:val="029A4EF2"/>
    <w:rsid w:val="044B1342"/>
    <w:rsid w:val="06CE27EA"/>
    <w:rsid w:val="08AD6946"/>
    <w:rsid w:val="0AA11BF7"/>
    <w:rsid w:val="0AF05BE0"/>
    <w:rsid w:val="0EE45912"/>
    <w:rsid w:val="1015163E"/>
    <w:rsid w:val="164E20A4"/>
    <w:rsid w:val="174516BA"/>
    <w:rsid w:val="1ADC7681"/>
    <w:rsid w:val="1B1606AA"/>
    <w:rsid w:val="1B5223B0"/>
    <w:rsid w:val="1C96CAB6"/>
    <w:rsid w:val="1D4E53DE"/>
    <w:rsid w:val="1DF3E524"/>
    <w:rsid w:val="2171385D"/>
    <w:rsid w:val="227E45E5"/>
    <w:rsid w:val="22846CE9"/>
    <w:rsid w:val="24E96F45"/>
    <w:rsid w:val="25EC2425"/>
    <w:rsid w:val="26C16531"/>
    <w:rsid w:val="27EF659B"/>
    <w:rsid w:val="2A3D3F9F"/>
    <w:rsid w:val="2A4E3146"/>
    <w:rsid w:val="2C006968"/>
    <w:rsid w:val="2E845368"/>
    <w:rsid w:val="2FD44032"/>
    <w:rsid w:val="30222E89"/>
    <w:rsid w:val="31FE3F54"/>
    <w:rsid w:val="32A059BD"/>
    <w:rsid w:val="354C2D22"/>
    <w:rsid w:val="361122FF"/>
    <w:rsid w:val="36DB4F6B"/>
    <w:rsid w:val="39761405"/>
    <w:rsid w:val="3CFFD38A"/>
    <w:rsid w:val="3DF7BC2D"/>
    <w:rsid w:val="3E845054"/>
    <w:rsid w:val="3FFD4E55"/>
    <w:rsid w:val="406B1E21"/>
    <w:rsid w:val="41DF3E38"/>
    <w:rsid w:val="434663CE"/>
    <w:rsid w:val="45AD6371"/>
    <w:rsid w:val="45B26A53"/>
    <w:rsid w:val="464872F6"/>
    <w:rsid w:val="48453965"/>
    <w:rsid w:val="49DB7AF1"/>
    <w:rsid w:val="49E36EF3"/>
    <w:rsid w:val="4A821459"/>
    <w:rsid w:val="4AAF4142"/>
    <w:rsid w:val="4BF21195"/>
    <w:rsid w:val="4C8E6E07"/>
    <w:rsid w:val="4CE278DA"/>
    <w:rsid w:val="4D3A4961"/>
    <w:rsid w:val="4E703C3C"/>
    <w:rsid w:val="4F9463A2"/>
    <w:rsid w:val="50970E75"/>
    <w:rsid w:val="54AB2D04"/>
    <w:rsid w:val="55F856ED"/>
    <w:rsid w:val="57C102F1"/>
    <w:rsid w:val="5A360254"/>
    <w:rsid w:val="5A95283C"/>
    <w:rsid w:val="5B3A080F"/>
    <w:rsid w:val="5B8D1409"/>
    <w:rsid w:val="61494D8A"/>
    <w:rsid w:val="63E45886"/>
    <w:rsid w:val="66863091"/>
    <w:rsid w:val="6A55307A"/>
    <w:rsid w:val="6BE618F4"/>
    <w:rsid w:val="6C0D7A15"/>
    <w:rsid w:val="6C1545D1"/>
    <w:rsid w:val="6CFC01E7"/>
    <w:rsid w:val="6DD51A12"/>
    <w:rsid w:val="6F20588B"/>
    <w:rsid w:val="744C2484"/>
    <w:rsid w:val="76EF6C9B"/>
    <w:rsid w:val="781C4EAD"/>
    <w:rsid w:val="7C381FC1"/>
    <w:rsid w:val="7D08410F"/>
    <w:rsid w:val="D8FF64A3"/>
    <w:rsid w:val="E9BB220B"/>
    <w:rsid w:val="EF0F2CF3"/>
    <w:rsid w:val="F7FB4260"/>
    <w:rsid w:val="FAF98CF7"/>
    <w:rsid w:val="FEFF1A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w:basedOn w:val="1"/>
    <w:uiPriority w:val="0"/>
    <w:pPr>
      <w:ind w:firstLine="645"/>
    </w:pPr>
    <w:rPr>
      <w:rFonts w:ascii="仿宋_GB2312" w:hAnsi="Calibri" w:eastAsia="仿宋_GB2312"/>
      <w:sz w:val="32"/>
      <w:szCs w:val="32"/>
    </w:rPr>
  </w:style>
  <w:style w:type="paragraph" w:styleId="4">
    <w:name w:val="Date"/>
    <w:basedOn w:val="1"/>
    <w:next w:val="1"/>
    <w:qFormat/>
    <w:uiPriority w:val="0"/>
    <w:pPr>
      <w:ind w:left="100" w:leftChars="2500"/>
    </w:pPr>
  </w:style>
  <w:style w:type="paragraph" w:styleId="5">
    <w:name w:val="Balloon Text"/>
    <w:basedOn w:val="1"/>
    <w:semiHidden/>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unhideWhenUsed/>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uiPriority w:val="0"/>
  </w:style>
  <w:style w:type="character" w:customStyle="1" w:styleId="13">
    <w:name w:val="页脚 字符"/>
    <w:link w:val="6"/>
    <w:qFormat/>
    <w:uiPriority w:val="0"/>
    <w:rPr>
      <w:rFonts w:eastAsia="宋体"/>
      <w:kern w:val="2"/>
      <w:sz w:val="18"/>
      <w:szCs w:val="18"/>
      <w:lang w:val="en-US" w:eastAsia="zh-CN" w:bidi="ar-SA"/>
    </w:rPr>
  </w:style>
  <w:style w:type="character" w:customStyle="1" w:styleId="14">
    <w:name w:val="页眉 字符"/>
    <w:link w:val="7"/>
    <w:qFormat/>
    <w:uiPriority w:val="0"/>
    <w:rPr>
      <w:rFonts w:ascii="Calibri" w:hAnsi="Calibri" w:eastAsia="宋体"/>
      <w:kern w:val="2"/>
      <w:sz w:val="18"/>
      <w:szCs w:val="18"/>
      <w:lang w:val="en-US" w:eastAsia="zh-CN" w:bidi="ar-SA"/>
    </w:rPr>
  </w:style>
  <w:style w:type="paragraph" w:customStyle="1" w:styleId="15">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16">
    <w:name w:val="Char"/>
    <w:basedOn w:val="1"/>
    <w:qFormat/>
    <w:uiPriority w:val="0"/>
    <w:rPr>
      <w:rFonts w:ascii="Tahoma" w:hAnsi="Tahoma"/>
      <w:sz w:val="24"/>
      <w:szCs w:val="20"/>
    </w:rPr>
  </w:style>
  <w:style w:type="paragraph" w:customStyle="1" w:styleId="17">
    <w:name w:val=" 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收入决算</a:t>
            </a:r>
          </a:p>
        </c:rich>
      </c:tx>
      <c:layout/>
      <c:overlay val="0"/>
      <c:spPr>
        <a:noFill/>
        <a:ln>
          <a:noFill/>
        </a:ln>
        <a:effectLst/>
      </c:spPr>
    </c:title>
    <c:autoTitleDeleted val="0"/>
    <c:plotArea>
      <c:layout>
        <c:manualLayout>
          <c:layoutTarget val="inner"/>
          <c:xMode val="edge"/>
          <c:yMode val="edge"/>
          <c:x val="0.292519954048521"/>
          <c:y val="0.170011025358324"/>
          <c:w val="0.414960091902957"/>
          <c:h val="0.700262311650128"/>
        </c:manualLayout>
      </c:layout>
      <c:pieChart>
        <c:varyColors val="1"/>
        <c:ser>
          <c:idx val="0"/>
          <c:order val="0"/>
          <c:tx>
            <c:strRef>
              <c:f>Sheet1!$B$1</c:f>
              <c:strCache>
                <c:ptCount val="1"/>
                <c:pt idx="0">
                  <c:v>收入合计</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99.06%</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0.4%</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2079.6</c:v>
                </c:pt>
                <c:pt idx="1">
                  <c:v>8.15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cap="all" spc="0" baseline="0">
                <a:solidFill>
                  <a:schemeClr val="tx1"/>
                </a:solidFill>
                <a:latin typeface="+mn-lt"/>
                <a:ea typeface="+mn-ea"/>
                <a:cs typeface="+mn-cs"/>
              </a:defRPr>
            </a:pPr>
            <a:r>
              <a:t>支出决算</a:t>
            </a:r>
          </a:p>
        </c:rich>
      </c:tx>
      <c:layout/>
      <c:overlay val="0"/>
      <c:spPr>
        <a:noFill/>
        <a:ln>
          <a:noFill/>
        </a:ln>
        <a:effectLst/>
      </c:spPr>
    </c:title>
    <c:autoTitleDeleted val="0"/>
    <c:plotArea>
      <c:layout/>
      <c:pieChart>
        <c:varyColors val="1"/>
        <c:ser>
          <c:idx val="0"/>
          <c:order val="0"/>
          <c:tx>
            <c:strRef>
              <c:f>Sheet1!$B$1</c:f>
              <c:strCache>
                <c:ptCount val="1"/>
                <c:pt idx="0">
                  <c:v>支出决算</c:v>
                </c:pt>
              </c:strCache>
            </c:strRef>
          </c:tx>
          <c:spPr>
            <a:ln>
              <a:solidFill>
                <a:schemeClr val="bg1"/>
              </a:solidFill>
            </a:ln>
          </c:spPr>
          <c:explosion val="0"/>
          <c:dPt>
            <c:idx val="0"/>
            <c:bubble3D val="0"/>
            <c:spPr>
              <a:solidFill>
                <a:schemeClr val="accent1"/>
              </a:solidFill>
              <a:ln>
                <a:solidFill>
                  <a:schemeClr val="bg1"/>
                </a:solidFill>
              </a:ln>
              <a:effectLst>
                <a:outerShdw blurRad="63500" sx="102000" sy="102000" algn="ctr" rotWithShape="0">
                  <a:prstClr val="black">
                    <a:alpha val="20000"/>
                  </a:prstClr>
                </a:outerShdw>
              </a:effectLst>
            </c:spPr>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dPt>
          <c:dLbls>
            <c:dLbl>
              <c:idx val="0"/>
              <c:layout/>
              <c:tx>
                <c:rich>
                  <a:bodyPr rot="0" spcFirstLastPara="0" vertOverflow="clip" horzOverflow="clip" vert="horz" wrap="square" lIns="36576" tIns="18288" rIns="36576" bIns="18288" anchor="ctr" anchorCtr="1" forceAA="0">
                    <a:spAutoFit/>
                  </a:bodyPr>
                  <a:lstStyle/>
                  <a:p>
                    <a:pPr defTabSz="914400">
                      <a:defRPr lang="zh-CN" sz="900" b="1" i="0" u="none" strike="noStrike" kern="1200" baseline="0">
                        <a:solidFill>
                          <a:schemeClr val="accent1"/>
                        </a:solidFill>
                        <a:latin typeface="+mn-lt"/>
                        <a:ea typeface="+mn-ea"/>
                        <a:cs typeface="+mn-cs"/>
                      </a:defRPr>
                    </a:pPr>
                    <a:r>
                      <a:t>基本支出</a:t>
                    </a:r>
                  </a:p>
                  <a:p>
                    <a:pPr defTabSz="914400">
                      <a:defRPr lang="zh-CN" sz="900" b="1" i="0" u="none" strike="noStrike" kern="1200" baseline="0">
                        <a:solidFill>
                          <a:schemeClr val="accent1"/>
                        </a:solidFill>
                        <a:latin typeface="+mn-lt"/>
                        <a:ea typeface="+mn-ea"/>
                        <a:cs typeface="+mn-cs"/>
                      </a:defRPr>
                    </a:pPr>
                    <a:r>
                      <a:rPr lang="en-US" altLang="zh-CN"/>
                      <a:t>92.35</a:t>
                    </a:r>
                    <a:r>
                      <a:t>%</a:t>
                    </a:r>
                  </a:p>
                </c:rich>
              </c:tx>
              <c:numFmt formatCode="General" sourceLinked="1"/>
              <c:spPr>
                <a:solidFill>
                  <a:schemeClr val="lt1"/>
                </a:solidFill>
                <a:ln>
                  <a:solidFill>
                    <a:schemeClr val="accent1"/>
                  </a:solidFill>
                </a:ln>
                <a:effectLst>
                  <a:outerShdw blurRad="50800" dist="25400" dir="2700000" algn="tl" rotWithShape="0">
                    <a:schemeClr val="accent1">
                      <a:lumMod val="50000"/>
                      <a:alpha val="40000"/>
                    </a:schemeClr>
                  </a:outerShdw>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clip" horzOverflow="clip" vert="horz" wrap="square" lIns="36576" tIns="18288" rIns="36576" bIns="18288" anchor="ctr" anchorCtr="1" forceAA="0">
                    <a:spAutoFit/>
                  </a:bodyPr>
                  <a:lstStyle/>
                  <a:p>
                    <a:pPr defTabSz="914400">
                      <a:defRPr lang="zh-CN" sz="900" b="1" i="0" u="none" strike="noStrike" kern="1200" baseline="0">
                        <a:solidFill>
                          <a:schemeClr val="accent2"/>
                        </a:solidFill>
                        <a:latin typeface="+mn-lt"/>
                        <a:ea typeface="+mn-ea"/>
                        <a:cs typeface="+mn-cs"/>
                      </a:defRPr>
                    </a:pPr>
                    <a:r>
                      <a:t>项目支出</a:t>
                    </a:r>
                  </a:p>
                  <a:p>
                    <a:pPr defTabSz="914400">
                      <a:defRPr lang="zh-CN" sz="900" b="1" i="0" u="none" strike="noStrike" kern="1200" baseline="0">
                        <a:solidFill>
                          <a:schemeClr val="accent2"/>
                        </a:solidFill>
                        <a:latin typeface="+mn-lt"/>
                        <a:ea typeface="+mn-ea"/>
                        <a:cs typeface="+mn-cs"/>
                      </a:defRPr>
                    </a:pPr>
                    <a:r>
                      <a:rPr lang="en-US" altLang="zh-CN"/>
                      <a:t>7.65</a:t>
                    </a:r>
                    <a:r>
                      <a:t>%</a:t>
                    </a:r>
                  </a:p>
                </c:rich>
              </c:tx>
              <c:numFmt formatCode="General" sourceLinked="1"/>
              <c:spPr>
                <a:solidFill>
                  <a:schemeClr val="lt1"/>
                </a:solidFill>
                <a:ln>
                  <a:solidFill>
                    <a:schemeClr val="accent2"/>
                  </a:solidFill>
                </a:ln>
                <a:effectLst>
                  <a:outerShdw blurRad="50800" dist="25400" dir="2700000" algn="tl" rotWithShape="0">
                    <a:schemeClr val="accent2">
                      <a:lumMod val="50000"/>
                      <a:alpha val="40000"/>
                    </a:schemeClr>
                  </a:outerShdw>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a:outerShdw blurRad="50800" dist="25400" dir="2700000" algn="tl" rotWithShape="0">
                  <a:prstClr val="black">
                    <a:alpha val="40000"/>
                  </a:prstClr>
                </a:outerShdw>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1953.95</c:v>
                </c:pt>
                <c:pt idx="1">
                  <c:v>161.95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0.01">
    <a:dk1>
      <a:srgbClr val="000000"/>
    </a:dk1>
    <a:lt1>
      <a:srgbClr val="FFFFFF"/>
    </a:lt1>
    <a:dk2>
      <a:srgbClr val="D4EBFB"/>
    </a:dk2>
    <a:lt2>
      <a:srgbClr val="93D9FA"/>
    </a:lt2>
    <a:accent1>
      <a:srgbClr val="3CB8EC"/>
    </a:accent1>
    <a:accent2>
      <a:srgbClr val="77D1E8"/>
    </a:accent2>
    <a:accent3>
      <a:srgbClr val="FAC114"/>
    </a:accent3>
    <a:accent4>
      <a:srgbClr val="FE961C"/>
    </a:accent4>
    <a:accent5>
      <a:srgbClr val="E15441"/>
    </a:accent5>
    <a:accent6>
      <a:srgbClr val="D73129"/>
    </a:accent6>
    <a:hlink>
      <a:srgbClr val="3C72AD"/>
    </a:hlink>
    <a:folHlink>
      <a:srgbClr val="E0631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6774</Words>
  <Characters>7880</Characters>
  <Lines>31</Lines>
  <Paragraphs>8</Paragraphs>
  <TotalTime>1</TotalTime>
  <ScaleCrop>false</ScaleCrop>
  <LinksUpToDate>false</LinksUpToDate>
  <CharactersWithSpaces>19107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2017-07-09T07:16:00Z</dcterms:created>
  <dc:creator>Administrator</dc:creator>
  <cp:lastModifiedBy>user</cp:lastModifiedBy>
  <cp:lastPrinted>2022-05-26T18:27:00Z</cp:lastPrinted>
  <dcterms:modified xsi:type="dcterms:W3CDTF">2023-08-04T03:17:22Z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92D7A766EAAB40DEA9811251590199A4_13</vt:lpwstr>
  </property>
</Properties>
</file>