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pStyle w:val="2"/>
        <w:ind w:firstLine="420"/>
      </w:pPr>
    </w:p>
    <w:p>
      <w:pPr>
        <w:jc w:val="center"/>
        <w:rPr>
          <w:rFonts w:ascii="黑体" w:eastAsia="黑体"/>
          <w:sz w:val="72"/>
          <w:szCs w:val="72"/>
        </w:rPr>
      </w:pPr>
    </w:p>
    <w:p>
      <w:pPr>
        <w:jc w:val="center"/>
        <w:rPr>
          <w:rFonts w:ascii="黑体" w:eastAsia="黑体"/>
          <w:sz w:val="72"/>
          <w:szCs w:val="72"/>
        </w:rPr>
      </w:pPr>
    </w:p>
    <w:p>
      <w:pPr>
        <w:jc w:val="center"/>
        <w:rPr>
          <w:rFonts w:ascii="黑体" w:eastAsia="黑体"/>
          <w:color w:val="FF0000"/>
          <w:sz w:val="72"/>
          <w:szCs w:val="72"/>
        </w:rPr>
      </w:pPr>
      <w:r>
        <w:rPr>
          <w:rFonts w:hint="eastAsia" w:ascii="黑体" w:eastAsia="黑体"/>
          <w:sz w:val="72"/>
          <w:szCs w:val="72"/>
        </w:rPr>
        <w:t>北京市丰台区方庄第一幼儿园</w:t>
      </w:r>
    </w:p>
    <w:p>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ind w:firstLine="1040"/>
        <w:rPr>
          <w:rFonts w:ascii="黑体" w:eastAsia="黑体"/>
          <w:sz w:val="52"/>
          <w:szCs w:val="52"/>
        </w:rPr>
      </w:pPr>
    </w:p>
    <w:p>
      <w:pPr>
        <w:pStyle w:val="2"/>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ascii="仿宋_GB2312" w:hAnsi="宋体" w:eastAsia="仿宋_GB2312" w:cs="宋体"/>
          <w:bCs/>
          <w:spacing w:val="40"/>
          <w:kern w:val="0"/>
          <w:sz w:val="32"/>
          <w:szCs w:val="32"/>
        </w:rPr>
      </w:pPr>
      <w:bookmarkStart w:id="0" w:name="_GoBack"/>
      <w:r>
        <w:rPr>
          <w:rFonts w:hint="eastAsia" w:ascii="仿宋_GB2312" w:eastAsia="仿宋_GB2312"/>
          <w:kern w:val="0"/>
          <w:sz w:val="28"/>
          <w:szCs w:val="28"/>
        </w:rPr>
        <w:t>北京市丰台区方庄第一幼儿园</w:t>
      </w:r>
      <w:bookmarkEnd w:id="0"/>
      <w:r>
        <w:rPr>
          <w:rFonts w:hint="eastAsia" w:ascii="仿宋_GB2312" w:eastAsia="仿宋_GB2312"/>
          <w:kern w:val="0"/>
          <w:sz w:val="28"/>
          <w:szCs w:val="28"/>
        </w:rPr>
        <w:t>2022年度部门决算报表详见附件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本单位为北京市丰台区教育委员会所属二级预算单位，单位性质为全额拨款事业单位，内设机构数量1所，当年无变动情况。主要职责为：实行保教结合的原则，培养幼儿德、智、体、美全面发展。科室数量5个，分别为园长室、保教主任室、后勤主任室、保健室、财务室。</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事业编制45人，实有人数42人。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2022年度收入总计1558.5867万元，</w:t>
      </w:r>
      <w:r>
        <w:rPr>
          <w:rFonts w:ascii="仿宋_GB2312" w:eastAsia="仿宋_GB2312"/>
          <w:sz w:val="28"/>
          <w:szCs w:val="28"/>
        </w:rPr>
        <w:t>比上年增加</w:t>
      </w:r>
      <w:r>
        <w:rPr>
          <w:rFonts w:hint="eastAsia" w:ascii="仿宋_GB2312" w:eastAsia="仿宋_GB2312"/>
          <w:sz w:val="28"/>
          <w:szCs w:val="28"/>
        </w:rPr>
        <w:t>30.0184万元，增长1.93%。</w:t>
      </w:r>
    </w:p>
    <w:p>
      <w:pPr>
        <w:tabs>
          <w:tab w:val="center" w:pos="6979"/>
        </w:tabs>
        <w:spacing w:line="580" w:lineRule="exact"/>
        <w:ind w:firstLine="570"/>
        <w:rPr>
          <w:rFonts w:ascii="仿宋_GB2312" w:eastAsia="仿宋_GB2312"/>
          <w:color w:val="FF0000"/>
          <w:sz w:val="28"/>
          <w:szCs w:val="28"/>
        </w:rPr>
      </w:pPr>
      <w:r>
        <w:rPr>
          <w:rFonts w:hint="eastAsia" w:ascii="仿宋_GB2312" w:eastAsia="仿宋_GB2312"/>
          <w:sz w:val="28"/>
          <w:szCs w:val="28"/>
        </w:rPr>
        <w:t>2022年度支出总计1558.5867万元，比上年增加44.0990万元，增长2.83%。</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2022年度本年收入合计1558.5867万元，</w:t>
      </w:r>
      <w:r>
        <w:rPr>
          <w:rFonts w:ascii="仿宋_GB2312" w:eastAsia="仿宋_GB2312"/>
          <w:sz w:val="28"/>
          <w:szCs w:val="28"/>
        </w:rPr>
        <w:t>比上年增加</w:t>
      </w:r>
      <w:r>
        <w:rPr>
          <w:rFonts w:hint="eastAsia" w:ascii="仿宋_GB2312" w:eastAsia="仿宋_GB2312"/>
          <w:sz w:val="28"/>
          <w:szCs w:val="28"/>
        </w:rPr>
        <w:t>30.0184万元，增长1.93%，其中：财政拨款收入1558.4367万元，占收入合计的99.99%；上级补助收入0万元，占收入合计的0%；事业收入0万元，占收入合计的0%；经营收入0万元，占收入合计的0%；附属单位上缴收入0万元，占收入合计的0%；其他收入0.15万元，占收入合计的0.01%。</w:t>
      </w:r>
    </w:p>
    <w:p>
      <w:pPr>
        <w:pStyle w:val="2"/>
        <w:ind w:firstLine="640"/>
        <w:jc w:val="center"/>
        <w:rPr>
          <w:rFonts w:ascii="仿宋" w:hAnsi="仿宋" w:eastAsia="仿宋"/>
          <w:color w:val="000000"/>
          <w:sz w:val="32"/>
        </w:rPr>
      </w:pPr>
      <w:r>
        <w:rPr>
          <w:rFonts w:hint="eastAsia" w:ascii="仿宋" w:hAnsi="仿宋" w:eastAsia="仿宋"/>
          <w:color w:val="000000"/>
          <w:sz w:val="32"/>
        </w:rPr>
        <w:t xml:space="preserve">图1：收入预算 </w:t>
      </w:r>
    </w:p>
    <w:p>
      <w:pPr>
        <w:pStyle w:val="2"/>
        <w:ind w:firstLine="420"/>
        <w:jc w:val="center"/>
      </w:pPr>
      <w:r>
        <w:drawing>
          <wp:inline distT="0" distB="0" distL="0" distR="0">
            <wp:extent cx="5486400" cy="32004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420"/>
        <w:jc w:val="center"/>
      </w:pPr>
    </w:p>
    <w:p>
      <w:pPr>
        <w:pStyle w:val="2"/>
        <w:ind w:firstLine="420"/>
        <w:jc w:val="center"/>
      </w:pP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2022年度本年支出合计1558.5867万元，</w:t>
      </w:r>
      <w:r>
        <w:rPr>
          <w:rFonts w:ascii="仿宋_GB2312" w:eastAsia="仿宋_GB2312"/>
          <w:sz w:val="28"/>
          <w:szCs w:val="28"/>
        </w:rPr>
        <w:t>比上年增加</w:t>
      </w:r>
      <w:r>
        <w:rPr>
          <w:rFonts w:hint="eastAsia" w:ascii="仿宋_GB2312" w:eastAsia="仿宋_GB2312"/>
          <w:sz w:val="28"/>
          <w:szCs w:val="28"/>
        </w:rPr>
        <w:t>44.0990万元，增长2.83%，其中：基本支出1472.0022万元，占支出合计的94.44%；项目支出86.5845万元，占支出合计的5.56%;上缴上级支出0万元，占支出合计的0%；经营支出0万元，占支出合计的0%；对附属单位补助支出0万元，占支出合计的0%。</w:t>
      </w:r>
    </w:p>
    <w:p>
      <w:pPr>
        <w:tabs>
          <w:tab w:val="center" w:pos="6979"/>
        </w:tabs>
        <w:spacing w:line="580" w:lineRule="exact"/>
        <w:rPr>
          <w:rFonts w:ascii="仿宋" w:hAnsi="仿宋" w:eastAsia="仿宋"/>
          <w:color w:val="000000"/>
          <w:sz w:val="32"/>
        </w:rPr>
      </w:pPr>
    </w:p>
    <w:p>
      <w:pPr>
        <w:tabs>
          <w:tab w:val="center" w:pos="6979"/>
        </w:tabs>
        <w:spacing w:line="580" w:lineRule="exact"/>
        <w:ind w:firstLine="570"/>
        <w:jc w:val="center"/>
      </w:pPr>
      <w:r>
        <w:rPr>
          <w:rFonts w:hint="eastAsia" w:ascii="仿宋" w:hAnsi="仿宋" w:eastAsia="仿宋"/>
          <w:color w:val="000000"/>
          <w:sz w:val="32"/>
        </w:rPr>
        <w:t>图2：基本支出和项目支出情况</w:t>
      </w: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r>
        <w:rPr>
          <w:rFonts w:hint="eastAsia" w:ascii="仿宋" w:hAnsi="仿宋" w:eastAsia="仿宋"/>
          <w:color w:val="000000"/>
          <w:sz w:val="32"/>
        </w:rPr>
        <w:drawing>
          <wp:anchor distT="0" distB="0" distL="114300" distR="114300" simplePos="0" relativeHeight="251660288" behindDoc="0" locked="0" layoutInCell="1" allowOverlap="1">
            <wp:simplePos x="0" y="0"/>
            <wp:positionH relativeFrom="column">
              <wp:posOffset>2061210</wp:posOffset>
            </wp:positionH>
            <wp:positionV relativeFrom="paragraph">
              <wp:posOffset>-2901315</wp:posOffset>
            </wp:positionV>
            <wp:extent cx="5486400" cy="3200400"/>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2022年度收入总计1558.5867万元，</w:t>
      </w:r>
      <w:r>
        <w:rPr>
          <w:rFonts w:ascii="仿宋_GB2312" w:eastAsia="仿宋_GB2312"/>
          <w:sz w:val="28"/>
          <w:szCs w:val="28"/>
        </w:rPr>
        <w:t>比上年增加</w:t>
      </w:r>
      <w:r>
        <w:rPr>
          <w:rFonts w:hint="eastAsia" w:ascii="仿宋_GB2312" w:eastAsia="仿宋_GB2312"/>
          <w:sz w:val="28"/>
          <w:szCs w:val="28"/>
        </w:rPr>
        <w:t>30.0184万元，增长1.93%。</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2022年度支出总计1558.5867万元，比上年增加44.0990万元，增长2.83%。</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主要原因：我单位本年度人员变动：新参统3人，辞职1人，调出外区1人；财政拨款人员经费，以及事业单位基本岗位编外人员补贴支出与上年相比有所增加。</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一般公共预算财政拨款支出1558.5867万元，主要用于以下方面（按大类）：一般公共服务支出0.15万元，占本年财政拨款支出0.01%；教育支出1188.0789万元，占本年财政拨款支出76.23%；社会保障和就业支出179.5569万元，占本年财政拨款支出11.52%；住房保障支出190.8008占本年财政拨款支出12.24%。</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、“教育支出”(类)2022年度决算1188.0789万元，比2022年度年初预算减少64.70万元，下降5.45%。主要原因：我单位本年度人员变动：新参统3人，辞职1人，调出外区1人，其他社会保障缴费相应减少。</w:t>
      </w:r>
    </w:p>
    <w:p>
      <w:pPr>
        <w:spacing w:line="580" w:lineRule="exact"/>
        <w:ind w:firstLine="560" w:firstLineChars="200"/>
        <w:rPr>
          <w:rFonts w:ascii="仿宋_GB2312" w:eastAsia="仿宋_GB2312"/>
          <w:color w:val="FF0000"/>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社会保障和就业支出”（款）2022年度决算179.5569万元，比2022年度年初预算减少0.21万元，下降0.12%。主要原因：我单位本年度人员变动：新参统3人，辞职1人，调出外区1人，事业单位养老保险缴费与职业年金缴费相应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、“住房保障支出”（款）2022年度决算190.8008万元，比2022年度年初预算增加（减少）0万元，增长（下降）0%。主要原因：我单位本年度人员变动：新参统3人，辞职1人，调出外区1人，住房公积金基数调整。</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numPr>
          <w:ilvl w:val="0"/>
          <w:numId w:val="1"/>
        </w:numPr>
        <w:spacing w:line="580" w:lineRule="exact"/>
        <w:ind w:firstLine="548" w:firstLineChars="196"/>
        <w:rPr>
          <w:rFonts w:ascii="黑体" w:eastAsia="黑体"/>
          <w:b/>
          <w:sz w:val="28"/>
          <w:szCs w:val="28"/>
        </w:rPr>
      </w:pPr>
      <w:r>
        <w:rPr>
          <w:rFonts w:hint="eastAsia" w:ascii="黑体" w:eastAsia="黑体"/>
          <w:b/>
          <w:sz w:val="28"/>
          <w:szCs w:val="28"/>
        </w:rPr>
        <w:t>国有资本经营预算财政拨款收支情况</w:t>
      </w:r>
    </w:p>
    <w:p>
      <w:pPr>
        <w:spacing w:line="560" w:lineRule="exact"/>
        <w:ind w:firstLine="420" w:firstLineChars="150"/>
        <w:rPr>
          <w:rFonts w:ascii="黑体" w:eastAsia="黑体"/>
          <w:b/>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宋体" w:hAnsi="宋体"/>
          <w:b/>
          <w:spacing w:val="40"/>
          <w:sz w:val="32"/>
          <w:szCs w:val="32"/>
        </w:rPr>
      </w:pPr>
      <w:r>
        <w:rPr>
          <w:rFonts w:hint="eastAsia" w:ascii="仿宋_GB2312" w:eastAsia="仿宋_GB2312"/>
          <w:sz w:val="28"/>
          <w:szCs w:val="28"/>
        </w:rPr>
        <w:t>2022年使用一般公共预算财政拨款安排基本支出1558.4367万元，使用政府性基金财政拨款安排基本支出0万元，其中：（1）工资福利支出包括基本工资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“三公”经费包括本单位所属</w:t>
      </w:r>
      <w:r>
        <w:rPr>
          <w:rFonts w:hint="eastAsia" w:ascii="仿宋_GB2312" w:eastAsia="仿宋_GB2312"/>
          <w:bCs/>
          <w:sz w:val="28"/>
          <w:szCs w:val="28"/>
        </w:rPr>
        <w:t>1个</w:t>
      </w:r>
      <w:r>
        <w:rPr>
          <w:rFonts w:hint="eastAsia" w:ascii="仿宋_GB2312" w:eastAsia="仿宋_GB2312"/>
          <w:sz w:val="28"/>
          <w:szCs w:val="28"/>
        </w:rPr>
        <w:t>事业单位。2022年“三公”经费财政拨款决算数0.7185万元，比2022年“三公”经费财政拨款年初预算1.8万元减少1.0815万元。其中：</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因公出国（境）费用。</w:t>
      </w:r>
    </w:p>
    <w:p>
      <w:pPr>
        <w:spacing w:line="560" w:lineRule="exact"/>
        <w:ind w:left="600"/>
        <w:rPr>
          <w:rFonts w:ascii="仿宋_GB2312" w:eastAsia="仿宋_GB2312"/>
          <w:sz w:val="28"/>
          <w:szCs w:val="28"/>
        </w:rPr>
      </w:pPr>
      <w:r>
        <w:rPr>
          <w:rFonts w:hint="eastAsia" w:ascii="仿宋_GB2312" w:eastAsia="仿宋_GB2312"/>
          <w:sz w:val="28"/>
          <w:szCs w:val="28"/>
        </w:rPr>
        <w:t>2022年本单位无因公出国（境）费用。本年度无此项支出</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公务接待费。本年度无此项支出</w:t>
      </w:r>
    </w:p>
    <w:p>
      <w:pPr>
        <w:spacing w:line="560" w:lineRule="exact"/>
        <w:ind w:left="600"/>
        <w:rPr>
          <w:rFonts w:ascii="仿宋_GB2312" w:eastAsia="仿宋_GB2312"/>
          <w:sz w:val="28"/>
          <w:szCs w:val="28"/>
        </w:rPr>
      </w:pPr>
      <w:r>
        <w:rPr>
          <w:rFonts w:hint="eastAsia" w:ascii="仿宋_GB2312" w:eastAsia="仿宋_GB2312"/>
          <w:sz w:val="28"/>
          <w:szCs w:val="28"/>
        </w:rPr>
        <w:t>2022年本单位无公务接待费。本年度无此项支出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2022年决算数0.7185万元，比2022年年初预算数1.8万元减少1.0815万元。其中，公务用车购置费2022年决算数0万元，比2022年年初预算数0万元增加（减少）0万元。2022年购置（更新）0辆，车均购置费0万元。公务用车运行维护费2022年决算数0.7185万元，比2022年年初预算数1.8万元减少1.0815万元，主要原因：因疫情居家办公，公务车燃油费用减少。2022年公务用车运行维护费中，公务用车加油0.15万元，公务用车维修0.089万元，公务用车保险0.1769万元，公务用车其他支出0.3026万元。2022年公务用车保有量1辆，车均运行维护费0.7185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不属于机关运行经费统计范围</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2022年政府采购支出总额33.9470万元，其中：政府采购货物支出12.7890万元，政府采购工程支出0万元，政府采购服务支出21.1580万元。授予中小企业合同金额33.9470万元，占政府采购支出总额的100%，其中：授予小微企业合同金额33.9470万元，占政府采购支出总额的100%。</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28"/>
          <w:szCs w:val="28"/>
        </w:rPr>
      </w:pPr>
      <w:r>
        <w:rPr>
          <w:rFonts w:hint="eastAsia" w:ascii="仿宋_GB2312" w:eastAsia="仿宋_GB2312"/>
          <w:sz w:val="28"/>
          <w:szCs w:val="28"/>
        </w:rPr>
        <w:t>2022年车辆1台，14.3824万元；单位价值100万元（含）以上的设备0台（套）。</w:t>
      </w:r>
    </w:p>
    <w:p>
      <w:pPr>
        <w:ind w:firstLine="560" w:firstLineChars="200"/>
        <w:jc w:val="left"/>
        <w:rPr>
          <w:rFonts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6.</w:t>
      </w:r>
      <w:r>
        <w:rPr>
          <w:rFonts w:hint="eastAsia" w:ascii="仿宋_GB2312" w:hAnsi="宋体" w:eastAsia="仿宋_GB2312" w:cs="Times New Roman"/>
          <w:sz w:val="28"/>
          <w:szCs w:val="28"/>
        </w:rPr>
        <w:t xml:space="preserve">教育支出（类）普通支出（款）学前教育（项）：反映各部门举办的学前教育支出。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7.</w:t>
      </w:r>
      <w:r>
        <w:rPr>
          <w:rFonts w:hint="eastAsia" w:ascii="仿宋_GB2312" w:hAnsi="宋体" w:eastAsia="仿宋_GB2312" w:cs="Times New Roman"/>
          <w:sz w:val="28"/>
          <w:szCs w:val="28"/>
        </w:rPr>
        <w:t xml:space="preserve">教育支出（类）进修及培训（款）培训支出（项）：反映各部门安排的用于培训的支出。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8.</w:t>
      </w:r>
      <w:r>
        <w:rPr>
          <w:rFonts w:hint="eastAsia" w:ascii="仿宋_GB2312" w:hAnsi="宋体" w:eastAsia="仿宋_GB2312" w:cs="Times New Roman"/>
          <w:sz w:val="28"/>
          <w:szCs w:val="28"/>
        </w:rPr>
        <w:t xml:space="preserve">教育支出（类）教育费附加安排的支出（款）其他教育费附加安排的支出（项）：反映除农村中小学校舍建设、农村中小学教学设施、城市中小学校舍建设、城市中小学教学设施、中等职业学校教学设施以外的教育费附加支出。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9.</w:t>
      </w:r>
      <w:r>
        <w:rPr>
          <w:rFonts w:hint="eastAsia" w:ascii="仿宋_GB2312" w:hAnsi="宋体" w:eastAsia="仿宋_GB2312" w:cs="Times New Roman"/>
          <w:sz w:val="28"/>
          <w:szCs w:val="28"/>
        </w:rPr>
        <w:t>社会保障和就业支出（类）行政事业单位养老支出（款）事业单位离退休（项）：反映事业单位开支的离退休经费。</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10.</w:t>
      </w:r>
      <w:r>
        <w:rPr>
          <w:rFonts w:hint="eastAsia" w:ascii="仿宋_GB2312" w:hAnsi="宋体" w:eastAsia="仿宋_GB2312" w:cs="Times New Roman"/>
          <w:sz w:val="28"/>
          <w:szCs w:val="28"/>
        </w:rPr>
        <w:t xml:space="preserve">社会保障和就业支出（类）行政事业单位养老支出（款）机关事业单位基本养老保险缴费支出（项）：反映机关事业单位实施养老保险制度由单位缴纳的基本养老保险费支出。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11.</w:t>
      </w:r>
      <w:r>
        <w:rPr>
          <w:rFonts w:hint="eastAsia" w:ascii="仿宋_GB2312" w:hAnsi="宋体" w:eastAsia="仿宋_GB2312" w:cs="Times New Roman"/>
          <w:sz w:val="28"/>
          <w:szCs w:val="28"/>
        </w:rPr>
        <w:t xml:space="preserve">社会保障和就业支出（类）行政事业单位养老支出（款）机关事业单位职业年金缴费支出（项）：反映机关事业单位实施养老保险制度由单位缴纳的职业年金支出。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12.</w:t>
      </w:r>
      <w:r>
        <w:rPr>
          <w:rFonts w:hint="eastAsia" w:ascii="仿宋_GB2312" w:hAnsi="宋体" w:eastAsia="仿宋_GB2312" w:cs="Times New Roman"/>
          <w:sz w:val="28"/>
          <w:szCs w:val="28"/>
        </w:rPr>
        <w:t xml:space="preserve">住房保障支出（类）住房改革支出（款）住房公积金（项）：反映行政事业单位按人力资源和社会保障部、财政部规定的基本工资和津贴补贴以及规定比例为职工缴纳的住房公积金。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13.</w:t>
      </w:r>
      <w:r>
        <w:rPr>
          <w:rFonts w:hint="eastAsia" w:ascii="仿宋_GB2312" w:hAnsi="宋体" w:eastAsia="仿宋_GB2312" w:cs="Times New Roman"/>
          <w:sz w:val="28"/>
          <w:szCs w:val="28"/>
        </w:rPr>
        <w:t>住房保障支出（类）住房改革支出（款）购房补贴（项）：反映按房改政策规定，行政事业单位向符合条件职工（含离退休人员）、军队（含武警）向转役复员离退休人员发放的用于购买住房的补贴。</w:t>
      </w:r>
      <w:r>
        <w:rPr>
          <w:rFonts w:hint="default" w:ascii="仿宋_GB2312" w:hAnsi="宋体" w:eastAsia="仿宋_GB2312" w:cs="Times New Roman"/>
          <w:sz w:val="28"/>
          <w:szCs w:val="28"/>
          <w:lang w:val="en-US" w:eastAsia="zh-CN"/>
        </w:rPr>
        <w:fldChar w:fldCharType="begin"/>
      </w:r>
      <w:r>
        <w:rPr>
          <w:rFonts w:hint="default" w:ascii="仿宋_GB2312" w:hAnsi="宋体" w:eastAsia="仿宋_GB2312" w:cs="Times New Roman"/>
          <w:sz w:val="28"/>
          <w:szCs w:val="28"/>
          <w:lang w:val="en-US" w:eastAsia="zh-CN"/>
        </w:rPr>
        <w:instrText xml:space="preserve">INCLUDEPICTURE \d "https://wx.qq.com/cgi-bin/mmwebwx-bin/webwxgeticon?seq=2016314182&amp;username=@8b6e0eeaaaa2e496703e0b8230039233d53e156b276e64dfe6d400536ac81ea3&amp;skey=@crypt_dd8f2ad3_f230389b460dc1b2ccf82425588fe79d" \* MERGEFORMATINET </w:instrText>
      </w:r>
      <w:r>
        <w:rPr>
          <w:rFonts w:hint="default" w:ascii="仿宋_GB2312" w:hAnsi="宋体" w:eastAsia="仿宋_GB2312" w:cs="Times New Roman"/>
          <w:sz w:val="28"/>
          <w:szCs w:val="28"/>
          <w:lang w:val="en-US" w:eastAsia="zh-CN"/>
        </w:rPr>
        <w:fldChar w:fldCharType="separate"/>
      </w:r>
      <w:r>
        <w:rPr>
          <w:rFonts w:hint="default" w:ascii="仿宋_GB2312" w:hAnsi="宋体" w:eastAsia="仿宋_GB2312" w:cs="Times New Roman"/>
          <w:sz w:val="28"/>
          <w:szCs w:val="28"/>
          <w:lang w:val="en-US" w:eastAsia="zh-CN"/>
        </w:rPr>
        <mc:AlternateContent>
          <mc:Choice Requires="wps">
            <w:drawing>
              <wp:inline distT="0" distB="0" distL="114300" distR="114300">
                <wp:extent cx="304800" cy="30480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HzJZ00gAAAAMBAAAP&#10;AAAAAAAAAAEAIAAAACIAAABkcnMvZG93bnJldi54bWxQSwECFAAUAAAACACHTuJAU9hx2awBAABh&#10;AwAADgAAAAAAAAABACAAAAAhAQAAZHJzL2Uyb0RvYy54bWxQSwUGAAAAAAYABgBZAQAAPwUAAAAA&#10;">
                <v:fill on="f" focussize="0,0"/>
                <v:stroke on="f"/>
                <v:imagedata o:title=""/>
                <o:lock v:ext="edit" aspectratio="t"/>
                <w10:wrap type="none"/>
                <w10:anchorlock/>
              </v:rect>
            </w:pict>
          </mc:Fallback>
        </mc:AlternateContent>
      </w:r>
      <w:r>
        <w:rPr>
          <w:rFonts w:hint="default" w:ascii="仿宋_GB2312" w:hAnsi="宋体" w:eastAsia="仿宋_GB2312" w:cs="Times New Roman"/>
          <w:sz w:val="28"/>
          <w:szCs w:val="28"/>
          <w:lang w:val="en-US" w:eastAsia="zh-CN"/>
        </w:rPr>
        <w:fldChar w:fldCharType="end"/>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640" w:firstLineChars="200"/>
        <w:jc w:val="center"/>
        <w:rPr>
          <w:rFonts w:ascii="仿宋_GB2312" w:eastAsia="仿宋_GB2312"/>
          <w:sz w:val="28"/>
          <w:szCs w:val="28"/>
        </w:rPr>
      </w:pPr>
      <w:r>
        <w:rPr>
          <w:rFonts w:hint="eastAsia" w:ascii="黑体" w:eastAsia="黑体"/>
          <w:sz w:val="32"/>
          <w:szCs w:val="32"/>
        </w:rPr>
        <w:t>第四部分  2022年度部门绩效评价情况</w:t>
      </w:r>
    </w:p>
    <w:tbl>
      <w:tblPr>
        <w:tblStyle w:val="9"/>
        <w:tblW w:w="0" w:type="auto"/>
        <w:tblInd w:w="93" w:type="dxa"/>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（2022年度）</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额度内-地面基础修缮改造</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1"/>
              </w:rPr>
              <w:t>北京市丰台区教育委员会</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Cs w:val="21"/>
              </w:rPr>
              <w:t>北京市丰台区方庄第一幼儿园</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 w:val="22"/>
                <w:szCs w:val="22"/>
              </w:rPr>
              <w:t>67699664</w:t>
            </w:r>
          </w:p>
        </w:tc>
      </w:tr>
      <w:tr>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118640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74619.91</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74619.91</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2"/>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118640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74619.91</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74619.91</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2"/>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年初设定目标: </w:t>
            </w:r>
          </w:p>
          <w:p>
            <w:pPr>
              <w:widowControl/>
              <w:numPr>
                <w:ilvl w:val="0"/>
                <w:numId w:val="3"/>
              </w:numPr>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积极构建德智体美劳全面培养的教育体系，扩大学前教育优质资源供给。改善园所办学条件。改善幼儿园基础设施条件，保证基础设施符合园所功能需求，并按建设项目规划及时竣工并投入使用，促进园所安全规范化管理，构建</w:t>
            </w:r>
          </w:p>
          <w:p>
            <w:pPr>
              <w:widowControl/>
              <w:spacing w:line="240" w:lineRule="exac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安全平整的操场环境。</w:t>
            </w:r>
          </w:p>
          <w:p>
            <w:pPr>
              <w:numPr>
                <w:ilvl w:val="0"/>
                <w:numId w:val="3"/>
              </w:numPr>
              <w:jc w:val="center"/>
              <w:rPr>
                <w:rFonts w:ascii="仿宋_GB2312" w:eastAsia="仿宋_GB2312"/>
                <w:sz w:val="22"/>
                <w:szCs w:val="22"/>
              </w:rPr>
            </w:pPr>
            <w:r>
              <w:rPr>
                <w:rFonts w:hint="eastAsia" w:ascii="仿宋_GB2312" w:hAnsi="宋体" w:eastAsia="仿宋_GB2312" w:cs="宋体"/>
                <w:color w:val="000000"/>
                <w:kern w:val="0"/>
                <w:sz w:val="22"/>
                <w:szCs w:val="22"/>
              </w:rPr>
              <w:t>有效改善幼儿及教师户外活动环境，满足园所发展</w:t>
            </w:r>
            <w:r>
              <w:rPr>
                <w:rFonts w:hint="eastAsia" w:ascii="仿宋_GB2312" w:eastAsia="仿宋_GB2312"/>
                <w:sz w:val="22"/>
                <w:szCs w:val="22"/>
              </w:rPr>
              <w:t>需要，促进幼儿园教学</w:t>
            </w:r>
          </w:p>
          <w:p>
            <w:pPr>
              <w:rPr>
                <w:rFonts w:ascii="仿宋_GB2312" w:hAnsi="宋体" w:eastAsia="仿宋_GB2312" w:cs="仿宋_GB2312"/>
                <w:color w:val="000000"/>
                <w:szCs w:val="21"/>
              </w:rPr>
            </w:pPr>
            <w:r>
              <w:rPr>
                <w:rFonts w:hint="eastAsia" w:ascii="仿宋_GB2312" w:eastAsia="仿宋_GB2312"/>
                <w:sz w:val="22"/>
                <w:szCs w:val="22"/>
              </w:rPr>
              <w:t>秩序平稳有序。</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年度总体目标完成情况综述：</w:t>
            </w:r>
          </w:p>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1、完善了幼儿园基础设施建设项目，为园内设施功能运行价值最大化提供了有力保障。</w:t>
            </w:r>
          </w:p>
          <w:p>
            <w:pPr>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2、改善了幼儿园校园文化建设氛围，促进幼儿身心和</w:t>
            </w:r>
          </w:p>
          <w:p>
            <w:pPr>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谐发展的教育环境，促进了幼儿园的可持续发展。</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宋体"/>
                <w:color w:val="000000"/>
                <w:kern w:val="0"/>
                <w:sz w:val="22"/>
                <w:szCs w:val="21"/>
              </w:rPr>
              <w:t>指标：幼儿操场地面</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指标1：</w:t>
            </w:r>
            <w:r>
              <w:rPr>
                <w:rFonts w:hint="eastAsia" w:ascii="仿宋_GB2312" w:hAnsi="宋体" w:eastAsia="仿宋_GB2312" w:cs="宋体"/>
                <w:color w:val="000000"/>
                <w:kern w:val="0"/>
                <w:sz w:val="22"/>
                <w:szCs w:val="22"/>
              </w:rPr>
              <w:t>符合幼儿园办学需求。</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指标2：</w:t>
            </w:r>
            <w:r>
              <w:rPr>
                <w:rFonts w:hint="eastAsia" w:ascii="仿宋_GB2312" w:hAnsi="宋体" w:eastAsia="仿宋_GB2312" w:cs="宋体"/>
                <w:color w:val="000000"/>
                <w:kern w:val="0"/>
                <w:sz w:val="22"/>
                <w:szCs w:val="22"/>
              </w:rPr>
              <w:t>符合工程质量标准。</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62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指标：按规定时间完工，保障幼儿园正常户外活动使用。</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指标：按照预设成本进行投入，使资金使用在可控范围内。</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129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指标：项目实施完善了基础设施，有效促进生源增加。</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指标：增强园所文化氛围，提高园所社会影响力。</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vMerge w:val="restart"/>
            <w:tcBorders>
              <w:top w:val="single" w:color="000000" w:sz="4" w:space="0"/>
              <w:left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指标：满足幼儿及教师使用需要，达到环境美观与实用于一体。</w:t>
            </w:r>
          </w:p>
        </w:tc>
        <w:tc>
          <w:tcPr>
            <w:tcW w:w="1290"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vMerge w:val="restart"/>
            <w:tcBorders>
              <w:top w:val="single" w:color="000000" w:sz="4" w:space="0"/>
              <w:left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指标：延长园所基础设施的使用年限，发挥基础设施功能价值最大化。</w:t>
            </w:r>
          </w:p>
        </w:tc>
        <w:tc>
          <w:tcPr>
            <w:tcW w:w="1290" w:type="dxa"/>
            <w:vMerge w:val="restart"/>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946"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指标：项目实施保证适用人群利益。</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仿宋_GB2312" w:hAnsi="宋体" w:eastAsia="仿宋_GB2312" w:cs="仿宋_GB2312"/>
                <w:color w:val="000000"/>
                <w:szCs w:val="21"/>
              </w:rPr>
              <w:t>无</w:t>
            </w:r>
          </w:p>
        </w:tc>
      </w:tr>
    </w:tbl>
    <w:p>
      <w:pPr>
        <w:pStyle w:val="2"/>
        <w:ind w:firstLine="420"/>
      </w:pPr>
    </w:p>
    <w:p>
      <w:pPr>
        <w:rPr>
          <w:rFonts w:ascii="仿宋_GB2312" w:eastAsia="仿宋_GB2312"/>
          <w:vanish/>
          <w:sz w:val="32"/>
          <w:szCs w:val="32"/>
        </w:rPr>
      </w:pPr>
    </w:p>
    <w:p/>
    <w:p>
      <w:pPr>
        <w:spacing w:line="580" w:lineRule="exact"/>
        <w:ind w:firstLine="560" w:firstLineChars="200"/>
        <w:rPr>
          <w:rFonts w:ascii="仿宋_GB2312" w:hAnsi="仿宋_GB2312" w:eastAsia="仿宋_GB2312" w:cs="仿宋_GB2312"/>
          <w:color w:val="000000"/>
          <w:kern w:val="0"/>
          <w:sz w:val="28"/>
          <w:szCs w:val="28"/>
        </w:rPr>
      </w:pPr>
    </w:p>
    <w:tbl>
      <w:tblPr>
        <w:tblStyle w:val="9"/>
        <w:tblW w:w="0" w:type="auto"/>
        <w:tblInd w:w="93" w:type="dxa"/>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 2022年度）</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额度内-购置办公电脑</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北京市丰台区教育委员会</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Cs w:val="21"/>
              </w:rPr>
              <w:t>北京市丰台区方庄第一幼儿园</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钟琦</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6</w:t>
            </w:r>
            <w:r>
              <w:rPr>
                <w:rFonts w:ascii="仿宋_GB2312" w:hAnsi="宋体" w:eastAsia="仿宋_GB2312" w:cs="宋体"/>
                <w:kern w:val="0"/>
                <w:szCs w:val="21"/>
              </w:rPr>
              <w:t>7699664</w:t>
            </w:r>
          </w:p>
        </w:tc>
      </w:tr>
      <w:tr>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112580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112580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112580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112580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112580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112580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年初设定目标: </w:t>
            </w:r>
          </w:p>
          <w:p>
            <w:pPr>
              <w:widowControl/>
              <w:numPr>
                <w:ilvl w:val="0"/>
                <w:numId w:val="4"/>
              </w:numPr>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改善园所办学条件，保证基础办公设备，符合园所功能需求。</w:t>
            </w:r>
          </w:p>
          <w:p>
            <w:pPr>
              <w:widowControl/>
              <w:numPr>
                <w:ilvl w:val="0"/>
                <w:numId w:val="4"/>
              </w:numPr>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有效改善教师办公环境，满足园所发展需要，提高办园硬件设备质量。</w:t>
            </w:r>
          </w:p>
          <w:p>
            <w:pPr>
              <w:widowControl/>
              <w:spacing w:line="240" w:lineRule="exact"/>
              <w:jc w:val="center"/>
              <w:rPr>
                <w:rFonts w:ascii="仿宋_GB2312" w:hAnsi="宋体" w:eastAsia="仿宋_GB2312" w:cs="宋体"/>
                <w:kern w:val="0"/>
                <w:szCs w:val="21"/>
              </w:rPr>
            </w:pP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年度总体目标完成情况综述：</w:t>
            </w:r>
          </w:p>
          <w:p>
            <w:pPr>
              <w:widowControl/>
              <w:numPr>
                <w:ilvl w:val="0"/>
                <w:numId w:val="5"/>
              </w:numPr>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改善教师办公设备，为教师高效办公提供便利与支</w:t>
            </w:r>
          </w:p>
          <w:p>
            <w:pPr>
              <w:widowControl/>
              <w:spacing w:line="24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持。</w:t>
            </w:r>
          </w:p>
          <w:p>
            <w:pPr>
              <w:numPr>
                <w:ilvl w:val="0"/>
                <w:numId w:val="5"/>
              </w:numPr>
              <w:jc w:val="center"/>
              <w:rPr>
                <w:rFonts w:ascii="仿宋_GB2312" w:hAnsi="宋体" w:eastAsia="仿宋_GB2312" w:cs="仿宋_GB2312"/>
                <w:color w:val="000000"/>
                <w:szCs w:val="21"/>
              </w:rPr>
            </w:pPr>
            <w:r>
              <w:rPr>
                <w:rFonts w:hint="eastAsia" w:ascii="仿宋_GB2312" w:hAnsi="宋体" w:eastAsia="仿宋_GB2312" w:cs="宋体"/>
                <w:kern w:val="0"/>
                <w:szCs w:val="21"/>
              </w:rPr>
              <w:t>促进教师日常教学中现代化技术的运用，促进教学质</w:t>
            </w:r>
          </w:p>
          <w:p>
            <w:pPr>
              <w:rPr>
                <w:rFonts w:ascii="仿宋_GB2312" w:hAnsi="宋体" w:eastAsia="仿宋_GB2312" w:cs="仿宋_GB2312"/>
                <w:color w:val="000000"/>
                <w:szCs w:val="21"/>
              </w:rPr>
            </w:pPr>
            <w:r>
              <w:rPr>
                <w:rFonts w:hint="eastAsia" w:ascii="仿宋_GB2312" w:hAnsi="宋体" w:eastAsia="仿宋_GB2312" w:cs="宋体"/>
                <w:kern w:val="0"/>
                <w:szCs w:val="21"/>
              </w:rPr>
              <w:t>量提升。</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指标1：一体机电脑2</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台</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指标2：硬盘升级2</w:t>
            </w:r>
            <w:r>
              <w:rPr>
                <w:rFonts w:ascii="仿宋_GB2312" w:hAnsi="宋体" w:eastAsia="仿宋_GB2312" w:cs="宋体"/>
                <w:color w:val="000000"/>
                <w:kern w:val="0"/>
                <w:szCs w:val="21"/>
              </w:rPr>
              <w:t>0</w:t>
            </w:r>
            <w:r>
              <w:rPr>
                <w:rFonts w:hint="eastAsia" w:ascii="仿宋_GB2312" w:hAnsi="宋体" w:eastAsia="仿宋_GB2312" w:cs="宋体"/>
                <w:color w:val="000000"/>
                <w:kern w:val="0"/>
                <w:szCs w:val="21"/>
              </w:rPr>
              <w:t>块</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指标：具有产品出厂检验合格证明；五年质保。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r>
              <w:rPr>
                <w:rFonts w:ascii="仿宋_GB2312" w:hAnsi="宋体" w:eastAsia="仿宋_GB2312" w:cs="宋体"/>
                <w:color w:val="000000"/>
                <w:kern w:val="0"/>
                <w:szCs w:val="21"/>
              </w:rPr>
              <w:t>022</w:t>
            </w:r>
            <w:r>
              <w:rPr>
                <w:rFonts w:hint="eastAsia" w:ascii="仿宋_GB2312" w:hAnsi="宋体" w:eastAsia="仿宋_GB2312" w:cs="宋体"/>
                <w:color w:val="000000"/>
                <w:kern w:val="0"/>
                <w:szCs w:val="21"/>
              </w:rPr>
              <w:t>年0</w:t>
            </w:r>
            <w:r>
              <w:rPr>
                <w:rFonts w:ascii="仿宋_GB2312" w:hAnsi="宋体" w:eastAsia="仿宋_GB2312" w:cs="宋体"/>
                <w:color w:val="000000"/>
                <w:kern w:val="0"/>
                <w:szCs w:val="21"/>
              </w:rPr>
              <w:t>3</w:t>
            </w:r>
            <w:r>
              <w:rPr>
                <w:rFonts w:hint="eastAsia" w:ascii="仿宋_GB2312" w:hAnsi="宋体" w:eastAsia="仿宋_GB2312" w:cs="宋体"/>
                <w:color w:val="000000"/>
                <w:kern w:val="0"/>
                <w:szCs w:val="21"/>
              </w:rPr>
              <w:t>月完成购置</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指标：电脑单价5</w:t>
            </w:r>
            <w:r>
              <w:rPr>
                <w:rFonts w:ascii="仿宋_GB2312" w:hAnsi="宋体" w:eastAsia="仿宋_GB2312" w:cs="宋体"/>
                <w:color w:val="000000"/>
                <w:kern w:val="0"/>
                <w:szCs w:val="21"/>
              </w:rPr>
              <w:t>049</w:t>
            </w:r>
            <w:r>
              <w:rPr>
                <w:rFonts w:hint="eastAsia" w:ascii="仿宋_GB2312" w:hAnsi="宋体" w:eastAsia="仿宋_GB2312" w:cs="宋体"/>
                <w:color w:val="000000"/>
                <w:kern w:val="0"/>
                <w:szCs w:val="21"/>
              </w:rPr>
              <w:t>元*</w:t>
            </w:r>
            <w:r>
              <w:rPr>
                <w:rFonts w:ascii="仿宋_GB2312" w:hAnsi="宋体" w:eastAsia="仿宋_GB2312" w:cs="宋体"/>
                <w:color w:val="000000"/>
                <w:kern w:val="0"/>
                <w:szCs w:val="21"/>
              </w:rPr>
              <w:t>20</w:t>
            </w:r>
            <w:r>
              <w:rPr>
                <w:rFonts w:hint="eastAsia" w:ascii="仿宋_GB2312" w:hAnsi="宋体" w:eastAsia="仿宋_GB2312" w:cs="宋体"/>
                <w:color w:val="000000"/>
                <w:kern w:val="0"/>
                <w:szCs w:val="21"/>
              </w:rPr>
              <w:t>台=</w:t>
            </w:r>
            <w:r>
              <w:rPr>
                <w:rFonts w:ascii="仿宋_GB2312" w:hAnsi="宋体" w:eastAsia="仿宋_GB2312" w:cs="宋体"/>
                <w:color w:val="000000"/>
                <w:kern w:val="0"/>
                <w:szCs w:val="21"/>
              </w:rPr>
              <w:t>100980</w:t>
            </w:r>
            <w:r>
              <w:rPr>
                <w:rFonts w:hint="eastAsia" w:ascii="仿宋_GB2312" w:hAnsi="宋体" w:eastAsia="仿宋_GB2312" w:cs="宋体"/>
                <w:color w:val="000000"/>
                <w:kern w:val="0"/>
                <w:szCs w:val="21"/>
              </w:rPr>
              <w:t>元；硬盘升级单价5</w:t>
            </w:r>
            <w:r>
              <w:rPr>
                <w:rFonts w:ascii="仿宋_GB2312" w:hAnsi="宋体" w:eastAsia="仿宋_GB2312" w:cs="宋体"/>
                <w:color w:val="000000"/>
                <w:kern w:val="0"/>
                <w:szCs w:val="21"/>
              </w:rPr>
              <w:t>80</w:t>
            </w:r>
            <w:r>
              <w:rPr>
                <w:rFonts w:hint="eastAsia" w:ascii="仿宋_GB2312" w:hAnsi="宋体" w:eastAsia="仿宋_GB2312" w:cs="宋体"/>
                <w:color w:val="000000"/>
                <w:kern w:val="0"/>
                <w:szCs w:val="21"/>
              </w:rPr>
              <w:t>元*</w:t>
            </w:r>
            <w:r>
              <w:rPr>
                <w:rFonts w:ascii="仿宋_GB2312" w:hAnsi="宋体" w:eastAsia="仿宋_GB2312" w:cs="宋体"/>
                <w:color w:val="000000"/>
                <w:kern w:val="0"/>
                <w:szCs w:val="21"/>
              </w:rPr>
              <w:t>20</w:t>
            </w:r>
            <w:r>
              <w:rPr>
                <w:rFonts w:hint="eastAsia" w:ascii="仿宋_GB2312" w:hAnsi="宋体" w:eastAsia="仿宋_GB2312" w:cs="宋体"/>
                <w:color w:val="000000"/>
                <w:kern w:val="0"/>
                <w:szCs w:val="21"/>
              </w:rPr>
              <w:t>块=</w:t>
            </w:r>
            <w:r>
              <w:rPr>
                <w:rFonts w:ascii="仿宋_GB2312" w:hAnsi="宋体" w:eastAsia="仿宋_GB2312" w:cs="宋体"/>
                <w:color w:val="000000"/>
                <w:kern w:val="0"/>
                <w:szCs w:val="21"/>
              </w:rPr>
              <w:t>11600</w:t>
            </w:r>
            <w:r>
              <w:rPr>
                <w:rFonts w:hint="eastAsia" w:ascii="仿宋_GB2312" w:hAnsi="宋体" w:eastAsia="仿宋_GB2312" w:cs="宋体"/>
                <w:color w:val="000000"/>
                <w:kern w:val="0"/>
                <w:szCs w:val="21"/>
              </w:rPr>
              <w:t>元</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指标：项目购置完善基础办公设施，有效提高办公条件。</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Cs w:val="21"/>
              </w:rPr>
              <w:t>指标：增强园所硬件设施，提升办公条件。</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Cs w:val="21"/>
              </w:rPr>
              <w:t>指标：满足教师日常办公需求，提高工作效率。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指标：延长园所基础设施的使用年限，发挥基础办公设施功能价值最大化。</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 w:val="22"/>
                <w:szCs w:val="22"/>
              </w:rPr>
              <w:t>指标：项目实施保证适用人群利益。</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仿宋_GB2312"/>
                <w:color w:val="000000"/>
                <w:szCs w:val="21"/>
              </w:rPr>
            </w:pPr>
            <w:r>
              <w:rPr>
                <w:rFonts w:hint="eastAsia" w:ascii="仿宋_GB2312" w:hAnsi="宋体" w:eastAsia="仿宋_GB2312" w:cs="宋体"/>
                <w:color w:val="000000"/>
                <w:kern w:val="0"/>
                <w:szCs w:val="21"/>
              </w:rPr>
              <w:t>指标：增强园所硬件设施，提升办公条件。</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仿宋_GB2312"/>
                <w:color w:val="00000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仿宋_GB2312" w:hAnsi="宋体" w:eastAsia="仿宋_GB2312" w:cs="宋体"/>
                <w:kern w:val="0"/>
                <w:szCs w:val="21"/>
              </w:rPr>
              <w:t>无</w:t>
            </w:r>
          </w:p>
        </w:tc>
      </w:tr>
    </w:tbl>
    <w:p>
      <w:pPr>
        <w:spacing w:line="580" w:lineRule="exact"/>
        <w:ind w:firstLine="560" w:firstLineChars="200"/>
        <w:rPr>
          <w:rFonts w:ascii="仿宋_GB2312" w:hAnsi="仿宋_GB2312" w:eastAsia="仿宋_GB2312" w:cs="仿宋_GB2312"/>
          <w:color w:val="000000"/>
          <w:kern w:val="0"/>
          <w:sz w:val="28"/>
          <w:szCs w:val="28"/>
        </w:rPr>
      </w:pPr>
    </w:p>
    <w:tbl>
      <w:tblPr>
        <w:tblStyle w:val="9"/>
        <w:tblW w:w="0" w:type="auto"/>
        <w:tblInd w:w="93" w:type="dxa"/>
        <w:tblLayout w:type="fixed"/>
        <w:tblCellMar>
          <w:top w:w="0" w:type="dxa"/>
          <w:left w:w="108" w:type="dxa"/>
          <w:bottom w:w="0" w:type="dxa"/>
          <w:right w:w="108" w:type="dxa"/>
        </w:tblCellMar>
      </w:tblPr>
      <w:tblGrid>
        <w:gridCol w:w="1455"/>
        <w:gridCol w:w="1088"/>
        <w:gridCol w:w="1515"/>
        <w:gridCol w:w="1147"/>
        <w:gridCol w:w="1290"/>
        <w:gridCol w:w="1290"/>
        <w:gridCol w:w="1290"/>
        <w:gridCol w:w="1290"/>
        <w:gridCol w:w="390"/>
        <w:gridCol w:w="390"/>
        <w:gridCol w:w="390"/>
        <w:gridCol w:w="390"/>
        <w:gridCol w:w="1290"/>
        <w:gridCol w:w="1290"/>
      </w:tblGrid>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 2022年度）</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196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额度内-购置室内全彩L</w:t>
            </w:r>
            <w:r>
              <w:rPr>
                <w:rFonts w:ascii="仿宋_GB2312" w:hAnsi="宋体" w:eastAsia="仿宋_GB2312" w:cs="宋体"/>
                <w:kern w:val="0"/>
                <w:szCs w:val="21"/>
              </w:rPr>
              <w:t>ED</w:t>
            </w:r>
            <w:r>
              <w:rPr>
                <w:rFonts w:hint="eastAsia" w:ascii="仿宋_GB2312" w:hAnsi="宋体" w:eastAsia="仿宋_GB2312" w:cs="宋体"/>
                <w:kern w:val="0"/>
                <w:szCs w:val="21"/>
              </w:rPr>
              <w:t>显示屏</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北京市丰台区教育委员会</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Cs w:val="21"/>
              </w:rPr>
              <w:t>北京市丰台区方庄第一幼儿园</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项目负责人</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钟琦</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6</w:t>
            </w:r>
            <w:r>
              <w:rPr>
                <w:rFonts w:ascii="仿宋_GB2312" w:hAnsi="宋体" w:eastAsia="仿宋_GB2312" w:cs="宋体"/>
                <w:kern w:val="0"/>
                <w:szCs w:val="21"/>
              </w:rPr>
              <w:t>7699664</w:t>
            </w:r>
          </w:p>
        </w:tc>
      </w:tr>
      <w:tr>
        <w:tblPrEx>
          <w:tblCellMar>
            <w:top w:w="0" w:type="dxa"/>
            <w:left w:w="108" w:type="dxa"/>
            <w:bottom w:w="0" w:type="dxa"/>
            <w:right w:w="108" w:type="dxa"/>
          </w:tblCellMar>
        </w:tblPrEx>
        <w:trPr>
          <w:trHeight w:val="220" w:hRule="atLeast"/>
        </w:trPr>
        <w:tc>
          <w:tcPr>
            <w:tcW w:w="254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109200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09200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09200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109200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109200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109200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年初设定目标：</w:t>
            </w:r>
          </w:p>
          <w:p>
            <w:pPr>
              <w:widowControl/>
              <w:numPr>
                <w:ilvl w:val="0"/>
                <w:numId w:val="6"/>
              </w:numPr>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完善幼儿园基础设施建设，符合相关要求，保证幼儿园基础设施功能正常</w:t>
            </w:r>
          </w:p>
          <w:p>
            <w:pPr>
              <w:widowControl/>
              <w:spacing w:line="24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运行。</w:t>
            </w:r>
          </w:p>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 w:val="22"/>
                <w:szCs w:val="22"/>
              </w:rPr>
              <w:t>2.有效改善办公环境，满足园所发展需要，促进幼儿园教学多元化、现代化发展。</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年度总体目标完成情况综述：</w:t>
            </w:r>
          </w:p>
          <w:p>
            <w:pPr>
              <w:widowControl/>
              <w:spacing w:line="240" w:lineRule="exact"/>
              <w:rPr>
                <w:rFonts w:ascii="仿宋_GB2312" w:hAnsi="宋体" w:eastAsia="仿宋_GB2312" w:cs="宋体"/>
                <w:kern w:val="0"/>
                <w:sz w:val="22"/>
                <w:szCs w:val="22"/>
              </w:rPr>
            </w:pPr>
            <w:r>
              <w:rPr>
                <w:rFonts w:ascii="仿宋_GB2312" w:hAnsi="宋体" w:eastAsia="仿宋_GB2312" w:cs="宋体"/>
                <w:kern w:val="0"/>
                <w:sz w:val="22"/>
                <w:szCs w:val="22"/>
              </w:rPr>
              <w:t>1.</w:t>
            </w:r>
            <w:r>
              <w:rPr>
                <w:rFonts w:hint="eastAsia" w:ascii="仿宋_GB2312" w:hAnsi="宋体" w:eastAsia="仿宋_GB2312" w:cs="宋体"/>
                <w:kern w:val="0"/>
                <w:sz w:val="22"/>
                <w:szCs w:val="22"/>
              </w:rPr>
              <w:t xml:space="preserve"> 完善了幼儿园基础设施建设项目，为园内设施功能运行价值最大化提供了有力保障。</w:t>
            </w:r>
          </w:p>
          <w:p>
            <w:pPr>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2、改善了幼儿园校园文化建设氛围，促进幼儿身心和</w:t>
            </w:r>
          </w:p>
          <w:p>
            <w:pPr>
              <w:rPr>
                <w:rFonts w:ascii="仿宋_GB2312" w:hAnsi="宋体" w:eastAsia="仿宋_GB2312" w:cs="仿宋_GB2312"/>
                <w:color w:val="000000"/>
                <w:szCs w:val="21"/>
              </w:rPr>
            </w:pPr>
            <w:r>
              <w:rPr>
                <w:rFonts w:hint="eastAsia" w:ascii="仿宋_GB2312" w:hAnsi="宋体" w:eastAsia="仿宋_GB2312" w:cs="宋体"/>
                <w:kern w:val="0"/>
                <w:sz w:val="22"/>
                <w:szCs w:val="22"/>
              </w:rPr>
              <w:t>谐发展的教育环境，促进了幼儿园的可持续发展。</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指标：强力巨彩室内壁挂钢结构，数量9平方米</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指标1：符合园所教学需要，满足政府采购要求。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指标2：符合质量标准</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指标：在合同预期内完成安装并使用。</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指标：在预设成本总量控制范围内，符合政府采购标准。</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指标：在预设实施禅城经济价值，促进行业经济增长。</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指标：项目实施对园所人文产生积极影响。</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指标：无资源浪费及设备闲置等。</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指标：确保五年内正常使用。</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指标：教师使用满意度大于9</w:t>
            </w:r>
            <w:r>
              <w:rPr>
                <w:rFonts w:ascii="仿宋_GB2312" w:hAnsi="宋体" w:eastAsia="仿宋_GB2312" w:cs="宋体"/>
                <w:color w:val="000000"/>
                <w:kern w:val="0"/>
                <w:szCs w:val="21"/>
              </w:rPr>
              <w:t>5%</w:t>
            </w:r>
            <w:r>
              <w:rPr>
                <w:rFonts w:hint="eastAsia" w:ascii="仿宋_GB2312" w:hAnsi="宋体" w:eastAsia="仿宋_GB2312" w:cs="宋体"/>
                <w:color w:val="000000"/>
                <w:kern w:val="0"/>
                <w:szCs w:val="21"/>
              </w:rPr>
              <w:t>；</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（2022年度）</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196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额度内-购置悬浮地板（材料费）</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1"/>
              </w:rPr>
              <w:t>北京市丰台区教育委员会</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Cs w:val="21"/>
              </w:rPr>
              <w:t>北京市丰台区方庄第一幼儿园</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项目负责人</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2"/>
              </w:rPr>
              <w:t>钟琦</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6</w:t>
            </w:r>
            <w:r>
              <w:rPr>
                <w:rFonts w:ascii="仿宋_GB2312" w:hAnsi="宋体" w:eastAsia="仿宋_GB2312" w:cs="宋体"/>
                <w:kern w:val="0"/>
                <w:szCs w:val="21"/>
              </w:rPr>
              <w:t>7699664</w:t>
            </w:r>
          </w:p>
        </w:tc>
      </w:tr>
      <w:tr>
        <w:tblPrEx>
          <w:tblCellMar>
            <w:top w:w="0" w:type="dxa"/>
            <w:left w:w="108" w:type="dxa"/>
            <w:bottom w:w="0" w:type="dxa"/>
            <w:right w:w="108" w:type="dxa"/>
          </w:tblCellMar>
        </w:tblPrEx>
        <w:trPr>
          <w:trHeight w:val="220" w:hRule="atLeast"/>
        </w:trPr>
        <w:tc>
          <w:tcPr>
            <w:tcW w:w="254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137572</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137572</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137572</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1"/>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1"/>
              </w:rPr>
              <w:t>10</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137572</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137572</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ascii="仿宋_GB2312" w:hAnsi="宋体" w:eastAsia="仿宋_GB2312" w:cs="宋体"/>
                <w:kern w:val="0"/>
                <w:szCs w:val="21"/>
              </w:rPr>
              <w:t>137572</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2"/>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年初设定目标: </w:t>
            </w:r>
          </w:p>
          <w:p>
            <w:pPr>
              <w:widowControl/>
              <w:numPr>
                <w:ilvl w:val="0"/>
                <w:numId w:val="7"/>
              </w:numPr>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积极构建德智体美劳全面培养的教育体系，扩大学前教育优质资源供给。改善园所办学条件。改善幼儿园基础设施条件，保证基础设施符合园所功能需求，并按建设项目规划及时竣工并投入使用，促进园所安全规范化管理，构建</w:t>
            </w:r>
          </w:p>
          <w:p>
            <w:pPr>
              <w:widowControl/>
              <w:spacing w:line="240" w:lineRule="exac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安全平整的操场环境。</w:t>
            </w:r>
          </w:p>
          <w:p>
            <w:pPr>
              <w:widowControl/>
              <w:numPr>
                <w:ilvl w:val="0"/>
                <w:numId w:val="7"/>
              </w:numPr>
              <w:spacing w:line="240" w:lineRule="exact"/>
              <w:jc w:val="center"/>
              <w:rPr>
                <w:rFonts w:ascii="仿宋_GB2312" w:eastAsia="仿宋_GB2312"/>
                <w:sz w:val="22"/>
                <w:szCs w:val="22"/>
              </w:rPr>
            </w:pPr>
            <w:r>
              <w:rPr>
                <w:rFonts w:hint="eastAsia" w:ascii="仿宋_GB2312" w:hAnsi="宋体" w:eastAsia="仿宋_GB2312" w:cs="宋体"/>
                <w:color w:val="000000"/>
                <w:kern w:val="0"/>
                <w:sz w:val="22"/>
                <w:szCs w:val="22"/>
              </w:rPr>
              <w:t>有效改善幼儿及教师户外活动环境，满足园所发展</w:t>
            </w:r>
            <w:r>
              <w:rPr>
                <w:rFonts w:hint="eastAsia" w:ascii="仿宋_GB2312" w:eastAsia="仿宋_GB2312"/>
                <w:sz w:val="22"/>
                <w:szCs w:val="22"/>
              </w:rPr>
              <w:t>需要，促进幼儿园教学</w:t>
            </w:r>
          </w:p>
          <w:p>
            <w:pPr>
              <w:widowControl/>
              <w:spacing w:line="240" w:lineRule="exact"/>
              <w:rPr>
                <w:rFonts w:ascii="仿宋_GB2312" w:hAnsi="宋体" w:eastAsia="仿宋_GB2312" w:cs="宋体"/>
                <w:kern w:val="0"/>
                <w:szCs w:val="21"/>
              </w:rPr>
            </w:pPr>
            <w:r>
              <w:rPr>
                <w:rFonts w:hint="eastAsia" w:ascii="仿宋_GB2312" w:eastAsia="仿宋_GB2312"/>
                <w:sz w:val="22"/>
                <w:szCs w:val="22"/>
              </w:rPr>
              <w:t>秩序平稳有序。</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年度总体目标完成情况综述：</w:t>
            </w:r>
          </w:p>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1、完善了幼儿园基础设施建设项目，为园内设施功能运行价值最大化提供了有力保障。</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 w:val="22"/>
                <w:szCs w:val="22"/>
              </w:rPr>
              <w:t>2、改善了幼儿园校园文化建设氛围，促进幼儿身心和谐发展的教育环境，促进了幼儿园的可持续发展。</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指标：幼儿操场地面</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rPr>
              <w:t>指标1：符合幼儿园户外活动安全需求。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指标2：符合工程质量标准，色彩鲜艳美观环保。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指标：按规定时间完工，保障幼儿园正常户外活动使用。</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指标：按照预设成本进行投入，使资金使用在可控范围内。</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指标：项目实施完善了基础设施，有效促进生源增加。</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指标：增强园所文化氛围，提高园所社会影响力。</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指标：满足幼儿及教师使用需要，达到环境美观与实用于一体。</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指标：延长园所基础设施的使用年限，发挥基础设施功能价值最大化。</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指标：项目实施保证适用人群利益。</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无</w:t>
            </w: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无</w:t>
            </w:r>
          </w:p>
        </w:tc>
      </w:tr>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（2022年度）</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196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专项下达—事业单位基本岗位编外人员补贴</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1"/>
              </w:rPr>
              <w:t>北京市丰台区教育委员会</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仿宋_GB2312" w:hAnsi="宋体" w:eastAsia="仿宋_GB2312" w:cs="仿宋_GB2312"/>
                <w:color w:val="000000"/>
                <w:szCs w:val="21"/>
              </w:rPr>
            </w:pPr>
            <w:r>
              <w:rPr>
                <w:rFonts w:hint="eastAsia" w:ascii="仿宋_GB2312" w:hAnsi="宋体" w:eastAsia="仿宋_GB2312" w:cs="宋体"/>
                <w:kern w:val="0"/>
                <w:szCs w:val="21"/>
              </w:rPr>
              <w:t>北京市丰台区方庄第一幼儿园</w:t>
            </w:r>
          </w:p>
        </w:tc>
      </w:tr>
      <w:tr>
        <w:tblPrEx>
          <w:tblCellMar>
            <w:top w:w="0" w:type="dxa"/>
            <w:left w:w="108" w:type="dxa"/>
            <w:bottom w:w="0" w:type="dxa"/>
            <w:right w:w="108" w:type="dxa"/>
          </w:tblCellMar>
        </w:tblPrEx>
        <w:trPr>
          <w:trHeight w:val="220" w:hRule="atLeast"/>
        </w:trPr>
        <w:tc>
          <w:tcPr>
            <w:tcW w:w="2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项目负责人</w:t>
            </w:r>
          </w:p>
        </w:tc>
        <w:tc>
          <w:tcPr>
            <w:tcW w:w="6532"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 w:val="22"/>
                <w:szCs w:val="22"/>
              </w:rPr>
              <w:t>钟琦</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6</w:t>
            </w:r>
            <w:r>
              <w:rPr>
                <w:rFonts w:ascii="仿宋_GB2312" w:hAnsi="宋体" w:eastAsia="仿宋_GB2312" w:cs="宋体"/>
                <w:kern w:val="0"/>
                <w:szCs w:val="21"/>
              </w:rPr>
              <w:t>7699664</w:t>
            </w:r>
          </w:p>
        </w:tc>
      </w:tr>
      <w:tr>
        <w:tblPrEx>
          <w:tblCellMar>
            <w:top w:w="0" w:type="dxa"/>
            <w:left w:w="108" w:type="dxa"/>
            <w:bottom w:w="0" w:type="dxa"/>
            <w:right w:w="108" w:type="dxa"/>
          </w:tblCellMar>
        </w:tblPrEx>
        <w:trPr>
          <w:trHeight w:val="220" w:hRule="atLeast"/>
        </w:trPr>
        <w:tc>
          <w:tcPr>
            <w:tcW w:w="254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项目资金</w:t>
            </w:r>
          </w:p>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（万元）</w:t>
            </w: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748800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430373.18</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430373.18</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748800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430373.18</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430373.18</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宋体"/>
                <w:kern w:val="0"/>
                <w:szCs w:val="21"/>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254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66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达到园内编外人员规范管理目标，充分发挥编外人员社会价值，提高幼儿园各项工作效率，出色完成幼儿园各项保教工作，为办园质量提高提供有力保障。</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结合园所实际和岗位需要，安排有能力、有资历、有责任的人员从事相应岗位工作，有效地保证了园所各项工作任务的顺利进行。</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指标1：按照园内编外人员岗位设置，安排满足上岗条件的人员。 </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指标2：遵照编外人员管理办法，提供足额岗位，满足园内合理需求。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指标：按照《劳动法》及编外人员管理办法，安排有资质、够条件的人员，并能够胜任本岗位工作。</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指标：按时、保质保量完成本职工作。</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指标：严格执行编外人员补贴项目标准。</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指标：确保幼儿园工作能顺利完成。</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指标：确保园所产能最大化，提高园所工作效率。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宋体"/>
                <w:color w:val="000000"/>
                <w:kern w:val="0"/>
                <w:sz w:val="22"/>
                <w:szCs w:val="22"/>
              </w:rPr>
            </w:pPr>
            <w:r>
              <w:rPr>
                <w:rFonts w:hint="eastAsia" w:ascii="仿宋_GB2312" w:eastAsia="仿宋_GB2312"/>
                <w:color w:val="000000"/>
                <w:szCs w:val="21"/>
              </w:rPr>
              <w:t>指标：为园所常规工作有序开展奠定基。础。</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指标：保持幼儿园教师队伍建设的稳定性。</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72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指标：工作完成质量高，岗位、待遇等设置满足人员需求。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w:t>
            </w: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sz w:val="24"/>
              </w:rPr>
              <w:t>无</w:t>
            </w:r>
          </w:p>
        </w:tc>
      </w:tr>
    </w:tbl>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填报注意事项： </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1.得分一档最高不能超过该指标分值上限。 </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年度指标值（A））/年度指标值（A）*100%。若计算结果在200%-300%（含200%）区间，则按照该指标分值的10%扣分；计算结果在300%-500%（含300%）区间，则按照该指标分值的20%扣分；计算结果高于500%（含500%），则按照该指标分值的30%扣分。 </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3.请在</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偏差原因分析及改进措施</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中说明偏离目标、不能完成目标的原因及拟采取的措施。 </w:t>
      </w: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4.90（含）-100分为优、80（含）-90分为良、60（含）-80分为中、60分以下为差。  </w:t>
      </w:r>
    </w:p>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799F4"/>
    <w:multiLevelType w:val="singleLevel"/>
    <w:tmpl w:val="C45799F4"/>
    <w:lvl w:ilvl="0" w:tentative="0">
      <w:start w:val="1"/>
      <w:numFmt w:val="decimal"/>
      <w:suff w:val="nothing"/>
      <w:lvlText w:val="%1、"/>
      <w:lvlJc w:val="left"/>
    </w:lvl>
  </w:abstractNum>
  <w:abstractNum w:abstractNumId="1">
    <w:nsid w:val="057BA28C"/>
    <w:multiLevelType w:val="singleLevel"/>
    <w:tmpl w:val="057BA28C"/>
    <w:lvl w:ilvl="0" w:tentative="0">
      <w:start w:val="1"/>
      <w:numFmt w:val="decimal"/>
      <w:suff w:val="nothing"/>
      <w:lvlText w:val="%1、"/>
      <w:lvlJc w:val="left"/>
    </w:lvl>
  </w:abstractNum>
  <w:abstractNum w:abstractNumId="2">
    <w:nsid w:val="24842301"/>
    <w:multiLevelType w:val="multilevel"/>
    <w:tmpl w:val="248423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03652F"/>
    <w:multiLevelType w:val="singleLevel"/>
    <w:tmpl w:val="3203652F"/>
    <w:lvl w:ilvl="0" w:tentative="0">
      <w:start w:val="6"/>
      <w:numFmt w:val="chineseCounting"/>
      <w:suff w:val="nothing"/>
      <w:lvlText w:val="%1、"/>
      <w:lvlJc w:val="left"/>
      <w:rPr>
        <w:rFonts w:hint="eastAsia"/>
      </w:rPr>
    </w:lvl>
  </w:abstractNum>
  <w:abstractNum w:abstractNumId="4">
    <w:nsid w:val="47CE6C3E"/>
    <w:multiLevelType w:val="multilevel"/>
    <w:tmpl w:val="47CE6C3E"/>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48BA449B"/>
    <w:multiLevelType w:val="multilevel"/>
    <w:tmpl w:val="48BA44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EA3363"/>
    <w:multiLevelType w:val="multilevel"/>
    <w:tmpl w:val="55EA33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OTAyYTFkMmFlM2JiNTg4OTJjNjc4Nzc2NjUyNjgifQ=="/>
  </w:docVars>
  <w:rsids>
    <w:rsidRoot w:val="00BF2547"/>
    <w:rsid w:val="003C6D04"/>
    <w:rsid w:val="00416E43"/>
    <w:rsid w:val="00500D58"/>
    <w:rsid w:val="005F6EDE"/>
    <w:rsid w:val="00831DD5"/>
    <w:rsid w:val="00BF2547"/>
    <w:rsid w:val="00CA6572"/>
    <w:rsid w:val="00F86A70"/>
    <w:rsid w:val="00FD5798"/>
    <w:rsid w:val="05AF4585"/>
    <w:rsid w:val="0C362EEF"/>
    <w:rsid w:val="1CE455EF"/>
    <w:rsid w:val="25601AB0"/>
    <w:rsid w:val="26513A8A"/>
    <w:rsid w:val="37440EBB"/>
    <w:rsid w:val="5E450A42"/>
    <w:rsid w:val="6BD5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link w:val="15"/>
    <w:qFormat/>
    <w:uiPriority w:val="0"/>
    <w:pPr>
      <w:ind w:firstLine="645"/>
    </w:pPr>
    <w:rPr>
      <w:rFonts w:ascii="仿宋_GB2312" w:hAnsi="Calibri" w:eastAsia="仿宋_GB2312"/>
      <w:sz w:val="32"/>
      <w:szCs w:val="32"/>
    </w:rPr>
  </w:style>
  <w:style w:type="paragraph" w:styleId="4">
    <w:name w:val="Date"/>
    <w:basedOn w:val="1"/>
    <w:next w:val="1"/>
    <w:link w:val="16"/>
    <w:qFormat/>
    <w:uiPriority w:val="0"/>
    <w:pPr>
      <w:ind w:left="100" w:leftChars="2500"/>
    </w:pPr>
  </w:style>
  <w:style w:type="paragraph" w:styleId="5">
    <w:name w:val="Balloon Text"/>
    <w:basedOn w:val="1"/>
    <w:link w:val="17"/>
    <w:semiHidden/>
    <w:qFormat/>
    <w:uiPriority w:val="0"/>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眉 Char"/>
    <w:basedOn w:val="10"/>
    <w:link w:val="7"/>
    <w:qFormat/>
    <w:uiPriority w:val="0"/>
    <w:rPr>
      <w:sz w:val="18"/>
      <w:szCs w:val="18"/>
    </w:rPr>
  </w:style>
  <w:style w:type="character" w:customStyle="1" w:styleId="14">
    <w:name w:val="页脚 Char"/>
    <w:basedOn w:val="10"/>
    <w:link w:val="6"/>
    <w:qFormat/>
    <w:uiPriority w:val="0"/>
    <w:rPr>
      <w:sz w:val="18"/>
      <w:szCs w:val="18"/>
    </w:rPr>
  </w:style>
  <w:style w:type="character" w:customStyle="1" w:styleId="15">
    <w:name w:val="正文文本缩进 Char"/>
    <w:basedOn w:val="10"/>
    <w:link w:val="3"/>
    <w:qFormat/>
    <w:uiPriority w:val="0"/>
    <w:rPr>
      <w:rFonts w:ascii="仿宋_GB2312" w:hAnsi="Calibri" w:eastAsia="仿宋_GB2312" w:cs="Times New Roman"/>
      <w:sz w:val="32"/>
      <w:szCs w:val="32"/>
    </w:rPr>
  </w:style>
  <w:style w:type="character" w:customStyle="1" w:styleId="16">
    <w:name w:val="日期 Char"/>
    <w:basedOn w:val="10"/>
    <w:link w:val="4"/>
    <w:qFormat/>
    <w:uiPriority w:val="0"/>
    <w:rPr>
      <w:rFonts w:ascii="Times New Roman" w:hAnsi="Times New Roman" w:eastAsia="宋体" w:cs="Times New Roman"/>
      <w:szCs w:val="24"/>
    </w:rPr>
  </w:style>
  <w:style w:type="character" w:customStyle="1" w:styleId="17">
    <w:name w:val="批注框文本 Char"/>
    <w:basedOn w:val="10"/>
    <w:link w:val="5"/>
    <w:semiHidden/>
    <w:qFormat/>
    <w:uiPriority w:val="0"/>
    <w:rPr>
      <w:rFonts w:ascii="Times New Roman" w:hAnsi="Times New Roman" w:eastAsia="宋体" w:cs="Times New Roman"/>
      <w:sz w:val="18"/>
      <w:szCs w:val="18"/>
    </w:rPr>
  </w:style>
  <w:style w:type="paragraph" w:customStyle="1" w:styleId="18">
    <w:name w:val="Default"/>
    <w:unhideWhenUsed/>
    <w:qFormat/>
    <w:uiPriority w:val="99"/>
    <w:pPr>
      <w:widowControl w:val="0"/>
      <w:autoSpaceDE w:val="0"/>
      <w:autoSpaceDN w:val="0"/>
      <w:adjustRightInd w:val="0"/>
    </w:pPr>
    <w:rPr>
      <w:rFonts w:hint="eastAsia" w:ascii="仿宋" w:hAnsi="仿宋" w:eastAsia="仿宋" w:cs="Times New Roman"/>
      <w:color w:val="000000"/>
      <w:kern w:val="0"/>
      <w:sz w:val="24"/>
      <w:szCs w:val="20"/>
      <w:lang w:val="en-US" w:eastAsia="zh-CN" w:bidi="ar-SA"/>
    </w:rPr>
  </w:style>
  <w:style w:type="paragraph" w:customStyle="1" w:styleId="19">
    <w:name w:val="Char"/>
    <w:basedOn w:val="1"/>
    <w:qFormat/>
    <w:uiPriority w:val="0"/>
    <w:rPr>
      <w:rFonts w:ascii="Tahoma" w:hAnsi="Tahoma"/>
      <w:sz w:val="24"/>
      <w:szCs w:val="20"/>
    </w:rPr>
  </w:style>
  <w:style w:type="paragraph" w:customStyle="1" w:styleId="20">
    <w:name w:val="Char Char Char Char Char Char Char"/>
    <w:basedOn w:val="1"/>
    <w:qFormat/>
    <w:uiPriority w:val="0"/>
    <w:rPr>
      <w:rFonts w:ascii="Tahoma" w:hAnsi="Tahoma"/>
      <w:sz w:val="24"/>
      <w:szCs w:val="20"/>
    </w:rPr>
  </w:style>
  <w:style w:type="paragraph" w:customStyle="1" w:styleId="21">
    <w:name w:val="Char1 Char Char Char"/>
    <w:basedOn w:val="1"/>
    <w:qFormat/>
    <w:uiPriority w:val="0"/>
    <w:pPr>
      <w:widowControl/>
      <w:spacing w:after="160" w:line="240" w:lineRule="exact"/>
      <w:jc w:val="left"/>
    </w:pPr>
    <w:rPr>
      <w:szCs w:val="20"/>
    </w:rPr>
  </w:style>
  <w:style w:type="paragraph" w:customStyle="1" w:styleId="22">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r>
              <a:t>收入决算</a:t>
            </a:r>
          </a:p>
        </c:rich>
      </c:tx>
      <c:layout/>
      <c:overlay val="0"/>
      <c:spPr>
        <a:noFill/>
        <a:ln>
          <a:noFill/>
        </a:ln>
        <a:effectLst/>
      </c:spPr>
    </c:title>
    <c:autoTitleDeleted val="0"/>
    <c:plotArea>
      <c:layout/>
      <c:pieChart>
        <c:varyColors val="1"/>
        <c:ser>
          <c:idx val="0"/>
          <c:order val="0"/>
          <c:tx>
            <c:strRef>
              <c:f>Sheet1!$B$1</c:f>
              <c:strCache>
                <c:ptCount val="1"/>
                <c:pt idx="0">
                  <c:v>收入决算（万元）</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t>99.99%</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r>
                      <a:t>0.01%</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财政拨款</c:v>
                </c:pt>
                <c:pt idx="1">
                  <c:v>其他收入</c:v>
                </c:pt>
              </c:strCache>
            </c:strRef>
          </c:cat>
          <c:val>
            <c:numRef>
              <c:f>Sheet1!$B$2:$B$3</c:f>
              <c:numCache>
                <c:formatCode>General</c:formatCode>
                <c:ptCount val="2"/>
                <c:pt idx="0">
                  <c:v>1558.4367</c:v>
                </c:pt>
                <c:pt idx="1">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94.44%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5.56%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1472.0022</c:v>
                </c:pt>
                <c:pt idx="1">
                  <c:v>86.5845</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73405894575678"/>
          <c:y val="0.475098737657793"/>
          <c:w val="0.120107720909886"/>
          <c:h val="0.1339295088113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DDC01-BCC6-4C2A-B7CC-0BDD38CA96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7014</Words>
  <Characters>8097</Characters>
  <Lines>65</Lines>
  <Paragraphs>18</Paragraphs>
  <TotalTime>0</TotalTime>
  <ScaleCrop>false</ScaleCrop>
  <LinksUpToDate>false</LinksUpToDate>
  <CharactersWithSpaces>8178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2023-07-03T04:55:00Z</dcterms:created>
  <dc:creator>Administrator</dc:creator>
  <cp:lastModifiedBy>Ftjw Workflow</cp:lastModifiedBy>
  <dcterms:modified xsi:type="dcterms:W3CDTF">2024-12-19T06:32:42Z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FE9CE6F21EC546C79A8B3B9D2DF68F83_12</vt:lpwstr>
  </property>
</Properties>
</file>