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仿宋_GB2312" w:eastAsia="仿宋_GB2312" w:hint="eastAsia"/>
          <w:b/>
          <w:bCs/>
          <w:sz w:val="32"/>
          <w:szCs w:val="32"/>
          <w:bdr w:val="none" w:sz="0" w:space="0" w:color="auto" w:frame="1"/>
        </w:rPr>
        <w:br/>
      </w:r>
      <w:bookmarkStart w:id="0" w:name="_GoBack"/>
      <w:r w:rsidRPr="0085755C">
        <w:rPr>
          <w:rFonts w:ascii="方正小标宋简体" w:eastAsia="方正小标宋简体" w:hint="eastAsia"/>
          <w:bCs/>
          <w:sz w:val="40"/>
          <w:szCs w:val="32"/>
          <w:bdr w:val="none" w:sz="0" w:space="0" w:color="auto" w:frame="1"/>
        </w:rPr>
        <w:t>北京市丰台区水政监察大队</w:t>
      </w:r>
    </w:p>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85755C" w:rsidRDefault="0085755C" w:rsidP="006E157B">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85755C">
        <w:rPr>
          <w:rFonts w:ascii="仿宋_GB2312" w:eastAsia="仿宋_GB2312" w:hint="eastAsia"/>
          <w:sz w:val="32"/>
          <w:szCs w:val="32"/>
        </w:rPr>
        <w:t> </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一、北京市丰台区水政大队的基本情况</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水政监察大队职能和业务范围主要为：负责全区内河道、水资源、水土保持、水利设施保护等水行政执法；负责全区水库移民补助人数的统计和资金发放具体工作。</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截至2020年底，共有参公事业编制31人，实际在职人员26人；离退休人员8人。</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二、2021年收入及支出总体情况</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2021年水政监察大队收入预算972.27万元，同比2020年增加93.79万元，增长10.68%，全部为财政拨款。</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2021年水政监察大队支出预算972.27万元，比2020年增加93.79万元，增长10.68%，全部为财政经费支出。其中基本支出预算869.56万元，项目支出预算102.70万元（含政府性基金支出23.7万元）。按支出功能分类：教育支出1.73万元，其中进修及培训支出——培训支出1.73万元；社会保障和就业支出116.89万元，其中行政事业单位养老支出93.19万元（行政单位离退休9.06万元，事业单位离退休0.40万元，机关事业单位基本养老保险缴费支出55.82万元，机关事业单位职业年金缴费支出27.91万元），大中型水库移民后期扶持基金支出——移民补助</w:t>
      </w:r>
      <w:r w:rsidRPr="0085755C">
        <w:rPr>
          <w:rFonts w:ascii="仿宋_GB2312" w:eastAsia="仿宋_GB2312" w:hint="eastAsia"/>
          <w:sz w:val="32"/>
          <w:szCs w:val="32"/>
          <w:bdr w:val="none" w:sz="0" w:space="0" w:color="auto" w:frame="1"/>
        </w:rPr>
        <w:lastRenderedPageBreak/>
        <w:t>23.7万元；农林水支出733.89万元，其中水利支出733.89万元（行政运行654.89万元，水利执法监督57.56万元，大中型水库移民后期扶持专项支出21.45万元）；住房保障支出119.76万元，其中住房改革支出119.76万元（住房公积金64.76万元，购房补贴55.00万元）。</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三、主要支出内容</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上述支出中，主要用于以下内容：</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1、行政机关、</w:t>
      </w:r>
      <w:proofErr w:type="gramStart"/>
      <w:r w:rsidRPr="0085755C">
        <w:rPr>
          <w:rFonts w:ascii="仿宋_GB2312" w:eastAsia="仿宋_GB2312" w:hint="eastAsia"/>
          <w:sz w:val="32"/>
          <w:szCs w:val="32"/>
          <w:bdr w:val="none" w:sz="0" w:space="0" w:color="auto" w:frame="1"/>
        </w:rPr>
        <w:t>参公事业单位</w:t>
      </w:r>
      <w:proofErr w:type="gramEnd"/>
      <w:r w:rsidRPr="0085755C">
        <w:rPr>
          <w:rFonts w:ascii="仿宋_GB2312" w:eastAsia="仿宋_GB2312" w:hint="eastAsia"/>
          <w:sz w:val="32"/>
          <w:szCs w:val="32"/>
          <w:bdr w:val="none" w:sz="0" w:space="0" w:color="auto" w:frame="1"/>
        </w:rPr>
        <w:t>人员工资及日常运转经费；</w:t>
      </w:r>
      <w:r w:rsidRPr="0085755C">
        <w:rPr>
          <w:rFonts w:ascii="仿宋_GB2312" w:eastAsia="仿宋_GB2312" w:hint="eastAsia"/>
          <w:sz w:val="32"/>
          <w:szCs w:val="32"/>
          <w:bdr w:val="none" w:sz="0" w:space="0" w:color="auto" w:frame="1"/>
        </w:rPr>
        <w:t> </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2、为保障单位职能正常运转的项目经费</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3、发放水库移民补助的政府性基金</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四、政府采购情况说明</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2021年政府采购预算总额为5.80万元，其中：政府采购工程预算0万元，政府采购服务预算5.796万元。政府采购货物预算0万元。</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五、机关运行经费财政拨款预算安排说明</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2021年本部门（单位）行政单位（含参照公务员法管理事业单位）履行一般行政管理职能、维持机关运行，用财政拨款安排的基本支出中的日常公用经费合计68.5851万元，主要用于：办公费，印刷费，邮电费，水电费，维修维护费，福利费，工会经费等的支出费用。</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t>六、行政事业性收费重点项目信息说明</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本单位不涉及行政事业性收费。</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85755C">
        <w:rPr>
          <w:rFonts w:ascii="黑体" w:eastAsia="黑体" w:hAnsi="黑体" w:hint="eastAsia"/>
          <w:bCs/>
          <w:sz w:val="32"/>
          <w:szCs w:val="32"/>
          <w:bdr w:val="none" w:sz="0" w:space="0" w:color="auto" w:frame="1"/>
        </w:rPr>
        <w:lastRenderedPageBreak/>
        <w:t>七、固定资产占有使用情况说明</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sz w:val="32"/>
          <w:szCs w:val="32"/>
          <w:bdr w:val="none" w:sz="0" w:space="0" w:color="auto" w:frame="1"/>
        </w:rPr>
        <w:t>截止2020年底，本部门固定资产总额61.90万元（原值），没有公务车辆；没有单位价值50万元以上的通用设备，没有单位价值100万元以上的专用设备。</w:t>
      </w:r>
    </w:p>
    <w:p w:rsidR="00E23842" w:rsidRDefault="0085755C" w:rsidP="006E157B">
      <w:pPr>
        <w:pStyle w:val="a3"/>
        <w:shd w:val="clear" w:color="auto" w:fill="FFFFFF"/>
        <w:spacing w:before="0" w:beforeAutospacing="0" w:after="0" w:afterAutospacing="0" w:line="600" w:lineRule="exact"/>
        <w:ind w:firstLine="480"/>
        <w:textAlignment w:val="baseline"/>
        <w:rPr>
          <w:rFonts w:ascii="黑体" w:eastAsia="黑体" w:hAnsi="黑体"/>
          <w:bCs/>
          <w:sz w:val="32"/>
          <w:szCs w:val="32"/>
          <w:bdr w:val="none" w:sz="0" w:space="0" w:color="auto" w:frame="1"/>
        </w:rPr>
      </w:pPr>
      <w:r w:rsidRPr="0085755C">
        <w:rPr>
          <w:rFonts w:ascii="黑体" w:eastAsia="黑体" w:hAnsi="黑体" w:hint="eastAsia"/>
          <w:bCs/>
          <w:sz w:val="32"/>
          <w:szCs w:val="32"/>
          <w:bdr w:val="none" w:sz="0" w:space="0" w:color="auto" w:frame="1"/>
        </w:rPr>
        <w:t>八、</w:t>
      </w:r>
      <w:bookmarkStart w:id="1" w:name="OLE_LINK1"/>
      <w:r w:rsidR="00E23842" w:rsidRPr="00E23842">
        <w:rPr>
          <w:rFonts w:ascii="黑体" w:eastAsia="黑体" w:hAnsi="黑体" w:hint="eastAsia"/>
          <w:bCs/>
          <w:sz w:val="32"/>
          <w:szCs w:val="32"/>
          <w:bdr w:val="none" w:sz="0" w:space="0" w:color="auto" w:frame="1"/>
        </w:rPr>
        <w:t>预算绩效管理情况说明</w:t>
      </w:r>
      <w:bookmarkEnd w:id="1"/>
    </w:p>
    <w:p w:rsidR="00E23842" w:rsidRPr="00E23842" w:rsidRDefault="001E71D4" w:rsidP="006E157B">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bdr w:val="none" w:sz="0" w:space="0" w:color="auto" w:frame="1"/>
        </w:rPr>
      </w:pPr>
      <w:r w:rsidRPr="001E71D4">
        <w:rPr>
          <w:rFonts w:ascii="仿宋_GB2312" w:eastAsia="仿宋_GB2312" w:hint="eastAsia"/>
          <w:sz w:val="32"/>
          <w:szCs w:val="32"/>
          <w:bdr w:val="none" w:sz="0" w:space="0" w:color="auto" w:frame="1"/>
        </w:rPr>
        <w:t>2021年，北京市丰台区水政监察大队填报绩效目标的预算项目7个，占本部门全部预算项目7个的100%。填报绩效目标的项目支出预算102.7044万元，占本部门全部项目支出预算的100%。</w:t>
      </w:r>
    </w:p>
    <w:p w:rsidR="0085755C" w:rsidRPr="00E23842" w:rsidRDefault="00E23842"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bdr w:val="none" w:sz="0" w:space="0" w:color="auto" w:frame="1"/>
        </w:rPr>
      </w:pPr>
      <w:r w:rsidRPr="00E23842">
        <w:rPr>
          <w:rFonts w:ascii="黑体" w:eastAsia="黑体" w:hAnsi="黑体" w:hint="eastAsia"/>
          <w:sz w:val="32"/>
          <w:szCs w:val="32"/>
          <w:bdr w:val="none" w:sz="0" w:space="0" w:color="auto" w:frame="1"/>
        </w:rPr>
        <w:t>九、</w:t>
      </w:r>
      <w:r w:rsidR="0085755C" w:rsidRPr="00E23842">
        <w:rPr>
          <w:rFonts w:ascii="黑体" w:eastAsia="黑体" w:hAnsi="黑体" w:hint="eastAsia"/>
          <w:sz w:val="32"/>
          <w:szCs w:val="32"/>
          <w:bdr w:val="none" w:sz="0" w:space="0" w:color="auto" w:frame="1"/>
        </w:rPr>
        <w:t>其他事项说明</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Cs/>
          <w:sz w:val="32"/>
          <w:szCs w:val="32"/>
          <w:bdr w:val="none" w:sz="0" w:space="0" w:color="auto" w:frame="1"/>
        </w:rPr>
        <w:t>无</w:t>
      </w:r>
    </w:p>
    <w:p w:rsidR="0085755C" w:rsidRPr="006E157B" w:rsidRDefault="006E157B" w:rsidP="006E157B">
      <w:pPr>
        <w:pStyle w:val="a3"/>
        <w:shd w:val="clear" w:color="auto" w:fill="FFFFFF"/>
        <w:spacing w:before="0" w:beforeAutospacing="0" w:after="0" w:afterAutospacing="0" w:line="600" w:lineRule="exact"/>
        <w:ind w:firstLine="480"/>
        <w:textAlignment w:val="baseline"/>
        <w:rPr>
          <w:rFonts w:ascii="黑体" w:eastAsia="黑体" w:hAnsi="黑体"/>
          <w:sz w:val="32"/>
          <w:szCs w:val="32"/>
        </w:rPr>
      </w:pPr>
      <w:r w:rsidRPr="006E157B">
        <w:rPr>
          <w:rFonts w:ascii="黑体" w:eastAsia="黑体" w:hAnsi="黑体" w:hint="eastAsia"/>
          <w:bCs/>
          <w:sz w:val="32"/>
          <w:szCs w:val="32"/>
          <w:bdr w:val="none" w:sz="0" w:space="0" w:color="auto" w:frame="1"/>
        </w:rPr>
        <w:t>十、</w:t>
      </w:r>
      <w:r w:rsidR="0085755C" w:rsidRPr="006E157B">
        <w:rPr>
          <w:rFonts w:ascii="黑体" w:eastAsia="黑体" w:hAnsi="黑体" w:hint="eastAsia"/>
          <w:bCs/>
          <w:sz w:val="32"/>
          <w:szCs w:val="32"/>
          <w:bdr w:val="none" w:sz="0" w:space="0" w:color="auto" w:frame="1"/>
        </w:rPr>
        <w:t>专业名词解释</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一般公共预算</w:t>
      </w:r>
      <w:r w:rsidRPr="0085755C">
        <w:rPr>
          <w:rFonts w:ascii="仿宋_GB2312" w:eastAsia="仿宋_GB2312" w:hint="eastAsia"/>
          <w:sz w:val="32"/>
          <w:szCs w:val="32"/>
          <w:bdr w:val="none" w:sz="0" w:space="0" w:color="auto" w:frame="1"/>
        </w:rPr>
        <w:t>：对以税收为主体的财政收入，安排用于保障和改善民生、推动经济社会发展、维护国家安全、维持国家机构正常运转等方面的收支预算。</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政府性基金预算</w:t>
      </w:r>
      <w:r w:rsidRPr="0085755C">
        <w:rPr>
          <w:rFonts w:ascii="仿宋_GB2312" w:eastAsia="仿宋_GB2312" w:hint="eastAsia"/>
          <w:sz w:val="32"/>
          <w:szCs w:val="32"/>
          <w:bdr w:val="none" w:sz="0" w:space="0" w:color="auto" w:frame="1"/>
        </w:rPr>
        <w:t>：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一般性转移支付</w:t>
      </w:r>
      <w:r w:rsidRPr="0085755C">
        <w:rPr>
          <w:rFonts w:ascii="仿宋_GB2312" w:eastAsia="仿宋_GB2312" w:hint="eastAsia"/>
          <w:sz w:val="32"/>
          <w:szCs w:val="32"/>
          <w:bdr w:val="none" w:sz="0" w:space="0" w:color="auto" w:frame="1"/>
        </w:rPr>
        <w:t>：指上级政府为均衡地区间基本财力，根据下级政府在组织财政收入能力、必要支出需求、各地自然经济和社会条件差异等因素，按照基本标准和计算方</w:t>
      </w:r>
      <w:r w:rsidRPr="0085755C">
        <w:rPr>
          <w:rFonts w:ascii="仿宋_GB2312" w:eastAsia="仿宋_GB2312" w:hint="eastAsia"/>
          <w:sz w:val="32"/>
          <w:szCs w:val="32"/>
          <w:bdr w:val="none" w:sz="0" w:space="0" w:color="auto" w:frame="1"/>
        </w:rPr>
        <w:lastRenderedPageBreak/>
        <w:t>法测算，将其无偿转作下级政府收入来源，并由下级政府统筹安排使用的转移支付。</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专项转移支付</w:t>
      </w:r>
      <w:r w:rsidRPr="0085755C">
        <w:rPr>
          <w:rFonts w:ascii="仿宋_GB2312" w:eastAsia="仿宋_GB2312" w:hint="eastAsia"/>
          <w:sz w:val="32"/>
          <w:szCs w:val="32"/>
          <w:bdr w:val="none" w:sz="0" w:space="0" w:color="auto" w:frame="1"/>
        </w:rPr>
        <w:t>：指上级政府对承担委托事务、共同事务的下级政府，给予的用于办理特定事项的转移支付。</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部门预算</w:t>
      </w:r>
      <w:r w:rsidRPr="0085755C">
        <w:rPr>
          <w:rFonts w:ascii="仿宋_GB2312" w:eastAsia="仿宋_GB2312" w:hint="eastAsia"/>
          <w:sz w:val="32"/>
          <w:szCs w:val="32"/>
          <w:bdr w:val="none" w:sz="0" w:space="0" w:color="auto" w:frame="1"/>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“三公”经费</w:t>
      </w:r>
      <w:r w:rsidRPr="0085755C">
        <w:rPr>
          <w:rFonts w:ascii="仿宋_GB2312" w:eastAsia="仿宋_GB2312" w:hint="eastAsia"/>
          <w:sz w:val="32"/>
          <w:szCs w:val="32"/>
          <w:bdr w:val="none" w:sz="0" w:space="0" w:color="auto" w:frame="1"/>
        </w:rPr>
        <w:t>：指因公出国（境）费、公务用车购置及运行维护费和公务接待费。其中，因公出国（境）</w:t>
      </w:r>
      <w:proofErr w:type="gramStart"/>
      <w:r w:rsidRPr="0085755C">
        <w:rPr>
          <w:rFonts w:ascii="仿宋_GB2312" w:eastAsia="仿宋_GB2312" w:hint="eastAsia"/>
          <w:sz w:val="32"/>
          <w:szCs w:val="32"/>
          <w:bdr w:val="none" w:sz="0" w:space="0" w:color="auto" w:frame="1"/>
        </w:rPr>
        <w:t>费反映</w:t>
      </w:r>
      <w:proofErr w:type="gramEnd"/>
      <w:r w:rsidRPr="0085755C">
        <w:rPr>
          <w:rFonts w:ascii="仿宋_GB2312" w:eastAsia="仿宋_GB2312" w:hint="eastAsia"/>
          <w:sz w:val="32"/>
          <w:szCs w:val="32"/>
          <w:bdr w:val="none" w:sz="0" w:space="0" w:color="auto" w:frame="1"/>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85755C">
        <w:rPr>
          <w:rFonts w:ascii="仿宋_GB2312" w:eastAsia="仿宋_GB2312" w:hint="eastAsia"/>
          <w:sz w:val="32"/>
          <w:szCs w:val="32"/>
          <w:bdr w:val="none" w:sz="0" w:space="0" w:color="auto" w:frame="1"/>
        </w:rPr>
        <w:t>费反映</w:t>
      </w:r>
      <w:proofErr w:type="gramEnd"/>
      <w:r w:rsidRPr="0085755C">
        <w:rPr>
          <w:rFonts w:ascii="仿宋_GB2312" w:eastAsia="仿宋_GB2312" w:hint="eastAsia"/>
          <w:sz w:val="32"/>
          <w:szCs w:val="32"/>
          <w:bdr w:val="none" w:sz="0" w:space="0" w:color="auto" w:frame="1"/>
        </w:rPr>
        <w:t>单位按规定开支的各类公务接待（含外宾接待）支出。</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政府采购</w:t>
      </w:r>
      <w:r w:rsidRPr="0085755C">
        <w:rPr>
          <w:rFonts w:ascii="仿宋_GB2312" w:eastAsia="仿宋_GB2312" w:hint="eastAsia"/>
          <w:sz w:val="32"/>
          <w:szCs w:val="32"/>
          <w:bdr w:val="none" w:sz="0" w:space="0" w:color="auto" w:frame="1"/>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bdr w:val="none" w:sz="0" w:space="0" w:color="auto" w:frame="1"/>
        </w:rPr>
        <w:t>行政事业性收费</w:t>
      </w:r>
      <w:r w:rsidRPr="0085755C">
        <w:rPr>
          <w:rFonts w:ascii="仿宋_GB2312" w:eastAsia="仿宋_GB2312" w:hint="eastAsia"/>
          <w:sz w:val="32"/>
          <w:szCs w:val="32"/>
          <w:bdr w:val="none" w:sz="0" w:space="0" w:color="auto" w:frame="1"/>
        </w:rPr>
        <w:t>:是指国家机关、事业单位、代行政府职能的社会团体及其他组织根据法律、行政法规、地方性</w:t>
      </w:r>
      <w:r w:rsidRPr="0085755C">
        <w:rPr>
          <w:rFonts w:ascii="仿宋_GB2312" w:eastAsia="仿宋_GB2312" w:hint="eastAsia"/>
          <w:sz w:val="32"/>
          <w:szCs w:val="32"/>
          <w:bdr w:val="none" w:sz="0" w:space="0" w:color="auto" w:frame="1"/>
        </w:rPr>
        <w:lastRenderedPageBreak/>
        <w:t>法规等有关规定，依照国务院规定程序批准，在向公民、法人提供特定服务的过程中，按照成本补偿和非盈利原则向特定服务对象收取的费用。</w:t>
      </w:r>
    </w:p>
    <w:bookmarkEnd w:id="0"/>
    <w:p w:rsidR="0085755C" w:rsidRPr="0085755C" w:rsidRDefault="0085755C" w:rsidP="006E157B">
      <w:pPr>
        <w:pStyle w:val="a3"/>
        <w:shd w:val="clear" w:color="auto" w:fill="FFFFFF"/>
        <w:spacing w:before="0" w:beforeAutospacing="0" w:after="0" w:afterAutospacing="0" w:line="600" w:lineRule="exact"/>
        <w:ind w:firstLine="480"/>
        <w:textAlignment w:val="baseline"/>
        <w:rPr>
          <w:rFonts w:ascii="仿宋_GB2312" w:eastAsia="仿宋_GB2312"/>
          <w:sz w:val="32"/>
          <w:szCs w:val="32"/>
        </w:rPr>
      </w:pPr>
      <w:r w:rsidRPr="0085755C">
        <w:rPr>
          <w:rFonts w:ascii="仿宋_GB2312" w:eastAsia="仿宋_GB2312" w:hint="eastAsia"/>
          <w:b/>
          <w:bCs/>
          <w:sz w:val="32"/>
          <w:szCs w:val="32"/>
        </w:rPr>
        <w:t> </w:t>
      </w:r>
    </w:p>
    <w:p w:rsidR="002A3B2A" w:rsidRPr="0085755C" w:rsidRDefault="006E157B" w:rsidP="006E157B">
      <w:pPr>
        <w:spacing w:line="600" w:lineRule="exact"/>
        <w:rPr>
          <w:rFonts w:ascii="仿宋_GB2312" w:eastAsia="仿宋_GB2312"/>
          <w:sz w:val="32"/>
          <w:szCs w:val="32"/>
        </w:rPr>
      </w:pPr>
    </w:p>
    <w:sectPr w:rsidR="002A3B2A" w:rsidRPr="00857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1E71D4"/>
    <w:rsid w:val="00512C13"/>
    <w:rsid w:val="006E157B"/>
    <w:rsid w:val="0085755C"/>
    <w:rsid w:val="00A34F7D"/>
    <w:rsid w:val="00E2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7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1035</Words>
  <Characters>1035</Characters>
  <Application>Microsoft Office Word</Application>
  <DocSecurity>0</DocSecurity>
  <Lines>103</Lines>
  <Paragraphs>188</Paragraphs>
  <ScaleCrop>false</ScaleCrop>
  <Company>Home</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2022-09-09T06:39:00Z</dcterms:created>
  <dcterms:modified xsi:type="dcterms:W3CDTF">2022-09-09T07:08:00Z</dcterms:modified>
</cp:coreProperties>
</file>