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 w:hint="eastAsia"/>
          <w:color w:val="000000"/>
          <w:sz w:val="44"/>
          <w:szCs w:val="32"/>
        </w:rPr>
      </w:pPr>
      <w:r w:rsidRPr="004F4CFD">
        <w:rPr>
          <w:rFonts w:ascii="方正小标宋简体" w:eastAsia="方正小标宋简体" w:hint="eastAsia"/>
          <w:bCs/>
          <w:color w:val="000000"/>
          <w:sz w:val="44"/>
          <w:szCs w:val="32"/>
        </w:rPr>
        <w:t>北京市丰台区永定河管理所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 w:hint="eastAsia"/>
          <w:color w:val="000000"/>
          <w:sz w:val="44"/>
          <w:szCs w:val="32"/>
        </w:rPr>
      </w:pPr>
      <w:r w:rsidRPr="004F4CFD">
        <w:rPr>
          <w:rFonts w:ascii="方正小标宋简体" w:eastAsia="方正小标宋简体" w:hint="eastAsia"/>
          <w:bCs/>
          <w:color w:val="000000"/>
          <w:sz w:val="44"/>
          <w:szCs w:val="32"/>
        </w:rPr>
        <w:t>2021年部门预算编制说明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一、北京市丰台区永定河管理所基本情况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北京市丰台区永定河管理所职能主要为：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1、负责永定河丰台段日常维护管理相关工作，保护永定河防汛工程设施安全运行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2、负责做好永定河防汛工作，保障永定河安全度汛；管理永定河河道打击盗采砂石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3、负责永定河宛平湖、晓月湖、园博湖及</w:t>
      </w:r>
      <w:proofErr w:type="gramStart"/>
      <w:r w:rsidRPr="004F4CFD">
        <w:rPr>
          <w:rFonts w:ascii="仿宋_GB2312" w:eastAsia="仿宋_GB2312" w:hint="eastAsia"/>
          <w:color w:val="000000"/>
          <w:sz w:val="32"/>
          <w:szCs w:val="32"/>
        </w:rPr>
        <w:t>园博功能</w:t>
      </w:r>
      <w:proofErr w:type="gramEnd"/>
      <w:r w:rsidRPr="004F4CFD">
        <w:rPr>
          <w:rFonts w:ascii="仿宋_GB2312" w:eastAsia="仿宋_GB2312" w:hint="eastAsia"/>
          <w:color w:val="000000"/>
          <w:sz w:val="32"/>
          <w:szCs w:val="32"/>
        </w:rPr>
        <w:t>湿地的维护管理工作。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共包含行政单位0个（</w:t>
      </w:r>
      <w:proofErr w:type="gramStart"/>
      <w:r w:rsidRPr="004F4CFD">
        <w:rPr>
          <w:rFonts w:ascii="仿宋_GB2312" w:eastAsia="仿宋_GB2312" w:hint="eastAsia"/>
          <w:color w:val="000000"/>
          <w:sz w:val="32"/>
          <w:szCs w:val="32"/>
        </w:rPr>
        <w:t>含行政</w:t>
      </w:r>
      <w:proofErr w:type="gramEnd"/>
      <w:r w:rsidRPr="004F4CFD">
        <w:rPr>
          <w:rFonts w:ascii="仿宋_GB2312" w:eastAsia="仿宋_GB2312" w:hint="eastAsia"/>
          <w:color w:val="000000"/>
          <w:sz w:val="32"/>
          <w:szCs w:val="32"/>
        </w:rPr>
        <w:t>执法机构0个），事业单位1个。截至2020年底，共有行政编制0人，实际0人；事业编制35人，实际30人；离退休人员38人。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二、2021年收入及支出总体情况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2021年单位收入预算2332.63万元，同比2020年减少202.10万元，减少7.97%，其中：财政拨款1596.63万元，上级补助收入0万元，事业收入0万元，经营收入0万元，附属单位缴款0万元，其他收入0万元，用事业基金弥补收支差额0万元，上年结转和结余736.00万元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2021年单位支出预算2332.63万元，比2020年减少202.10万元，减少7.97%，其中:基本支出预算1021.61万元，项目支出预算1311.02万元。按支出功能分类，一般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lastRenderedPageBreak/>
        <w:t>公共服务支出0万元,教育支出1.40万元,其中进修及培训-培训支出1.40万元;社会保障和就业支出163.57万元,其中行政事业单位养老支出163.57万元(事业单位离退休67.31万元,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 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机关事业单位职业年金缴费支出64.17万元,机关事业单位职业年金缴费支出32.09万元);节能环保支出450.00万元,其中污染防治-大气450.00万元,农林水支出1589.56万元,其中水利1589.56万元(水资源节约管理与保护1579.56万元,防汛10.00万元),住房保障支出128.10万元,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 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其中住房改革支出128.10万元（住房公积金77.31万元,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 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购房补贴50.79万元）。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三、主要支出内容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上述支出中，主要用于以下内容：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1、事业单位人员工资及日常运转经费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2、永定河宛平湖、晓月湖、园博湖及</w:t>
      </w:r>
      <w:proofErr w:type="gramStart"/>
      <w:r w:rsidRPr="004F4CFD">
        <w:rPr>
          <w:rFonts w:ascii="仿宋_GB2312" w:eastAsia="仿宋_GB2312" w:hint="eastAsia"/>
          <w:color w:val="000000"/>
          <w:sz w:val="32"/>
          <w:szCs w:val="32"/>
        </w:rPr>
        <w:t>园博功能</w:t>
      </w:r>
      <w:proofErr w:type="gramEnd"/>
      <w:r w:rsidRPr="004F4CFD">
        <w:rPr>
          <w:rFonts w:ascii="仿宋_GB2312" w:eastAsia="仿宋_GB2312" w:hint="eastAsia"/>
          <w:color w:val="000000"/>
          <w:sz w:val="32"/>
          <w:szCs w:val="32"/>
        </w:rPr>
        <w:t>湿地的维护管理、污染防治及水质净化经费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3、永定河丰台段防汛，河道维护管理经费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四、政府采购情况说明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2021年政府采购预算总额为864.00万元，其中：政府采购货物预算0万元，政府采购工程预算0万元，政府采购服务预算864.00万元。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color w:val="000000"/>
          <w:sz w:val="32"/>
          <w:szCs w:val="32"/>
        </w:rPr>
        <w:t>五、机关运行经费财政拨款预算安排说明</w:t>
      </w:r>
      <w:r w:rsidRPr="004F4CFD">
        <w:rPr>
          <w:rFonts w:ascii="黑体" w:eastAsia="黑体" w:hAnsi="黑体" w:hint="eastAsia"/>
          <w:color w:val="000000"/>
          <w:sz w:val="32"/>
          <w:szCs w:val="32"/>
        </w:rPr>
        <w:t> </w:t>
      </w:r>
      <w:r w:rsidRPr="004F4CFD">
        <w:rPr>
          <w:rFonts w:ascii="黑体" w:eastAsia="黑体" w:hAnsi="黑体" w:hint="eastAsia"/>
          <w:color w:val="000000"/>
          <w:sz w:val="32"/>
          <w:szCs w:val="32"/>
        </w:rPr>
        <w:t>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本单位不涉及机关运行经费财政拨款。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color w:val="000000"/>
          <w:sz w:val="32"/>
          <w:szCs w:val="32"/>
        </w:rPr>
        <w:t>六、行政事业性收费重点项目信息说明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lastRenderedPageBreak/>
        <w:t>本单位不涉及行政事业性收费。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color w:val="000000"/>
          <w:sz w:val="32"/>
          <w:szCs w:val="32"/>
        </w:rPr>
        <w:t>七、固定资产占有使用情况说明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截止2020年底，本部门（包括各下属单位）固定资产总额35728.03万元，其中：车辆7台，102.33万元；单位价值50万元以上的通用设备0台（套）、0万元，单位价值100万元以上的专用设备0台（套）、0万元。</w:t>
      </w:r>
    </w:p>
    <w:p w:rsid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/>
          <w:bCs/>
          <w:color w:val="000000"/>
          <w:sz w:val="32"/>
          <w:szCs w:val="32"/>
        </w:rPr>
      </w:pP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八、</w:t>
      </w: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预算绩效管理情况说明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2021年，北京市</w:t>
      </w:r>
      <w:r>
        <w:rPr>
          <w:rFonts w:ascii="仿宋_GB2312" w:eastAsia="仿宋_GB2312" w:hint="eastAsia"/>
          <w:color w:val="000000"/>
          <w:sz w:val="32"/>
          <w:szCs w:val="32"/>
        </w:rPr>
        <w:t>丰台区永定河管理所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填报绩效目标的预算项目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7个，占本部门全部预算项目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t>7个的100%。填报绩效目标的项目支出预算</w:t>
      </w:r>
      <w:r>
        <w:rPr>
          <w:rFonts w:ascii="仿宋_GB2312" w:eastAsia="仿宋_GB2312"/>
          <w:color w:val="000000"/>
          <w:sz w:val="32"/>
          <w:szCs w:val="32"/>
        </w:rPr>
        <w:t>1311.0184</w:t>
      </w:r>
      <w:bookmarkStart w:id="0" w:name="_GoBack"/>
      <w:bookmarkEnd w:id="0"/>
      <w:r w:rsidRPr="004F4CFD">
        <w:rPr>
          <w:rFonts w:ascii="仿宋_GB2312" w:eastAsia="仿宋_GB2312" w:hint="eastAsia"/>
          <w:color w:val="000000"/>
          <w:sz w:val="32"/>
          <w:szCs w:val="32"/>
        </w:rPr>
        <w:t>万元，占本部门全部项目支出预算的100%。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/>
          <w:color w:val="000000"/>
          <w:sz w:val="32"/>
          <w:szCs w:val="32"/>
        </w:rPr>
        <w:t>九</w:t>
      </w:r>
      <w:r w:rsidRPr="004F4CFD">
        <w:rPr>
          <w:rFonts w:ascii="黑体" w:eastAsia="黑体" w:hAnsi="黑体"/>
          <w:bCs/>
          <w:color w:val="000000"/>
          <w:sz w:val="32"/>
          <w:szCs w:val="32"/>
        </w:rPr>
        <w:t>、</w:t>
      </w: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其他事项说明</w:t>
      </w:r>
      <w:r w:rsidRPr="004F4CFD">
        <w:rPr>
          <w:rFonts w:ascii="黑体" w:eastAsia="黑体" w:hAnsi="黑体" w:hint="eastAsia"/>
          <w:color w:val="000000"/>
          <w:sz w:val="32"/>
          <w:szCs w:val="32"/>
        </w:rPr>
        <w:t> </w:t>
      </w:r>
      <w:r w:rsidRPr="004F4CFD">
        <w:rPr>
          <w:rFonts w:ascii="黑体" w:eastAsia="黑体" w:hAnsi="黑体" w:hint="eastAsia"/>
          <w:color w:val="000000"/>
          <w:sz w:val="32"/>
          <w:szCs w:val="32"/>
        </w:rPr>
        <w:t> </w:t>
      </w:r>
    </w:p>
    <w:p w:rsid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无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黑体" w:eastAsia="黑体" w:hAnsi="黑体" w:hint="eastAsia"/>
          <w:color w:val="000000"/>
          <w:sz w:val="32"/>
          <w:szCs w:val="32"/>
        </w:rPr>
      </w:pPr>
      <w:r w:rsidRPr="004F4CFD">
        <w:rPr>
          <w:rFonts w:ascii="黑体" w:eastAsia="黑体" w:hAnsi="黑体"/>
          <w:color w:val="000000"/>
          <w:sz w:val="32"/>
          <w:szCs w:val="32"/>
        </w:rPr>
        <w:t>十、</w:t>
      </w:r>
      <w:r w:rsidRPr="004F4CFD">
        <w:rPr>
          <w:rFonts w:ascii="黑体" w:eastAsia="黑体" w:hAnsi="黑体" w:hint="eastAsia"/>
          <w:bCs/>
          <w:color w:val="000000"/>
          <w:sz w:val="32"/>
          <w:szCs w:val="32"/>
        </w:rPr>
        <w:t>专业名词解释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一般公共预算：对以税收为主体的财政收入，安排用于保障和改善民生、推动经济社会发展、维护国家安全、维持国家机构正常运转等方面的收支预算。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政府性基金预算：对依照法律、行政法规的规定在一定期限内向特定对象征收、收取或者以其他方式筹集的资金，专项用于特定公共事业发展的收支预算。政府性基金预算应当根据基金项目收入情况和实际支出需要，按基金项目编制，做到以收定支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lastRenderedPageBreak/>
        <w:t>一般性转移支付：指上级政府为均衡地区间基本财力，根据下级政府在组织财政收入能力、必要支出需求、各地自然经济和社会条件差异等因素，按照基本标准和计算方法测算，将其无偿转作下级政府收入来源，并由下级政府统筹安排使用的转移支付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专项转移支付：指上级政府对承担委托事务、共同事务的下级政府，给予的用于办理特定事项的转移支付。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部门预算:指与财政部门直接发生预算缴、拨款关系的国家机关、社会团体和其他单位，依据国家有关法律、法规规定及其履行职能的需要编制的本部门年度收支计划。部门预算的实施，严格了预算管理，增加了政府工作的透明度，是防止腐败的重要手段和预防措施之一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“三公”经费：指因公出国（境）费、公务用车购置及运行维护费和公务接待费。其中，因公出国（境）</w:t>
      </w:r>
      <w:proofErr w:type="gramStart"/>
      <w:r w:rsidRPr="004F4CFD">
        <w:rPr>
          <w:rFonts w:ascii="仿宋_GB2312" w:eastAsia="仿宋_GB2312" w:hint="eastAsia"/>
          <w:color w:val="000000"/>
          <w:sz w:val="32"/>
          <w:szCs w:val="32"/>
        </w:rPr>
        <w:t>费反映</w:t>
      </w:r>
      <w:proofErr w:type="gramEnd"/>
      <w:r w:rsidRPr="004F4CFD">
        <w:rPr>
          <w:rFonts w:ascii="仿宋_GB2312" w:eastAsia="仿宋_GB2312" w:hint="eastAsia"/>
          <w:color w:val="000000"/>
          <w:sz w:val="32"/>
          <w:szCs w:val="32"/>
        </w:rPr>
        <w:t>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</w:t>
      </w:r>
      <w:proofErr w:type="gramStart"/>
      <w:r w:rsidRPr="004F4CFD">
        <w:rPr>
          <w:rFonts w:ascii="仿宋_GB2312" w:eastAsia="仿宋_GB2312" w:hint="eastAsia"/>
          <w:color w:val="000000"/>
          <w:sz w:val="32"/>
          <w:szCs w:val="32"/>
        </w:rPr>
        <w:t>费反映</w:t>
      </w:r>
      <w:proofErr w:type="gramEnd"/>
      <w:r w:rsidRPr="004F4CFD">
        <w:rPr>
          <w:rFonts w:ascii="仿宋_GB2312" w:eastAsia="仿宋_GB2312" w:hint="eastAsia"/>
          <w:color w:val="000000"/>
          <w:sz w:val="32"/>
          <w:szCs w:val="32"/>
        </w:rPr>
        <w:t>单位按规定开支的各类公务接待（含外宾接待）支出。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政府采购:指各级国家机关、事业单位和团体组织，使用财政性资金采购依法制定的集中采购目录以内的或者采</w:t>
      </w:r>
      <w:r w:rsidRPr="004F4CFD">
        <w:rPr>
          <w:rFonts w:ascii="仿宋_GB2312" w:eastAsia="仿宋_GB2312" w:hint="eastAsia"/>
          <w:color w:val="000000"/>
          <w:sz w:val="32"/>
          <w:szCs w:val="32"/>
        </w:rPr>
        <w:lastRenderedPageBreak/>
        <w:t>购限额标准以上的货物、工程和服务的行为。政府采购是规范财政支出管理和强化预算约束的有效措施。</w:t>
      </w:r>
    </w:p>
    <w:p w:rsidR="004F4CFD" w:rsidRPr="004F4CFD" w:rsidRDefault="004F4CFD" w:rsidP="004F4CFD">
      <w:pPr>
        <w:pStyle w:val="a3"/>
        <w:spacing w:before="0" w:beforeAutospacing="0" w:after="0" w:afterAutospacing="0" w:line="600" w:lineRule="exact"/>
        <w:ind w:firstLine="480"/>
        <w:rPr>
          <w:rFonts w:ascii="仿宋_GB2312" w:eastAsia="仿宋_GB2312" w:hint="eastAsia"/>
          <w:color w:val="000000"/>
          <w:sz w:val="32"/>
          <w:szCs w:val="32"/>
        </w:rPr>
      </w:pPr>
      <w:r w:rsidRPr="004F4CFD">
        <w:rPr>
          <w:rFonts w:ascii="仿宋_GB2312" w:eastAsia="仿宋_GB2312" w:hint="eastAsia"/>
          <w:color w:val="000000"/>
          <w:sz w:val="32"/>
          <w:szCs w:val="32"/>
        </w:rPr>
        <w:t>行政事业性收费:是指国家机关、事业单位、代行政府职能的社会团体及其他组织根据法律、行政法规、地方性法规等有关规定，依照国务院规定程序批准，在向公民、法人提供特定服务的过程中，按照成本补偿和非盈利原则向特定服务对象收取的费用。</w:t>
      </w:r>
    </w:p>
    <w:p w:rsidR="002A3B2A" w:rsidRPr="004F4CFD" w:rsidRDefault="004F4CFD" w:rsidP="004F4CFD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4F4CFD" w:rsidRPr="004F4CFD" w:rsidRDefault="004F4CFD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4F4CFD" w:rsidRPr="004F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41"/>
    <w:rsid w:val="00041AA0"/>
    <w:rsid w:val="004F4CFD"/>
    <w:rsid w:val="00512C13"/>
    <w:rsid w:val="00E9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1AAD8-684D-44AE-8FDF-DF1119A3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321</Words>
  <Characters>1830</Characters>
  <Application>Microsoft Office Word</Application>
  <DocSecurity>0</DocSecurity>
  <Lines>15</Lines>
  <Paragraphs>4</Paragraphs>
  <ScaleCrop>false</ScaleCrop>
  <Company>Home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2022-09-09T07:22:00Z</dcterms:created>
  <dcterms:modified xsi:type="dcterms:W3CDTF">2022-09-09T07:26:00Z</dcterms:modified>
</cp:coreProperties>
</file>