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北京市丰台区商务局</w:t>
      </w:r>
    </w:p>
    <w:p>
      <w:pPr>
        <w:jc w:val="center"/>
        <w:rPr>
          <w:rFonts w:ascii="黑体" w:eastAsia="黑体"/>
          <w:sz w:val="72"/>
          <w:szCs w:val="72"/>
        </w:rPr>
      </w:pPr>
      <w:r>
        <w:rPr>
          <w:rFonts w:hint="eastAsia" w:ascii="黑体" w:eastAsia="黑体"/>
          <w:sz w:val="72"/>
          <w:szCs w:val="72"/>
        </w:rPr>
        <w:t>2020年度部门决算（草案</w:t>
      </w:r>
      <w:bookmarkStart w:id="0" w:name="_GoBack"/>
      <w:bookmarkEnd w:id="0"/>
      <w:r>
        <w:rPr>
          <w:rFonts w:hint="eastAsia" w:ascii="黑体" w:eastAsia="黑体"/>
          <w:sz w:val="72"/>
          <w:szCs w:val="72"/>
        </w:rPr>
        <w:t>）说明</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44"/>
          <w:szCs w:val="36"/>
        </w:rPr>
      </w:pPr>
      <w:r>
        <w:rPr>
          <w:rFonts w:hint="eastAsia" w:ascii="宋体" w:hAnsi="宋体" w:cs="宋体"/>
          <w:b/>
          <w:bCs/>
          <w:kern w:val="0"/>
          <w:sz w:val="44"/>
          <w:szCs w:val="36"/>
        </w:rPr>
        <w:t>目    录</w:t>
      </w:r>
    </w:p>
    <w:p>
      <w:pPr>
        <w:pStyle w:val="2"/>
      </w:pPr>
    </w:p>
    <w:p>
      <w:pPr>
        <w:tabs>
          <w:tab w:val="center" w:pos="6979"/>
        </w:tabs>
        <w:spacing w:beforeLines="50"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w:t>
      </w:r>
      <w:r>
        <w:rPr>
          <w:rFonts w:hint="eastAsia" w:ascii="宋体" w:hAnsi="宋体" w:cs="宋体"/>
          <w:bCs/>
          <w:spacing w:val="40"/>
          <w:kern w:val="0"/>
          <w:sz w:val="32"/>
          <w:szCs w:val="32"/>
          <w:lang w:eastAsia="zh-CN"/>
        </w:rPr>
        <w:t>一</w:t>
      </w:r>
      <w:r>
        <w:rPr>
          <w:rFonts w:hint="eastAsia" w:ascii="宋体" w:hAnsi="宋体" w:cs="宋体"/>
          <w:bCs/>
          <w:spacing w:val="40"/>
          <w:kern w:val="0"/>
          <w:sz w:val="32"/>
          <w:szCs w:val="32"/>
        </w:rPr>
        <w:t xml:space="preserve">部分 </w:t>
      </w:r>
      <w:r>
        <w:rPr>
          <w:rFonts w:hint="eastAsia" w:ascii="宋体" w:hAnsi="宋体"/>
          <w:spacing w:val="40"/>
          <w:sz w:val="32"/>
          <w:szCs w:val="32"/>
        </w:rPr>
        <w:t>2020年度部门决算说明</w:t>
      </w:r>
    </w:p>
    <w:p>
      <w:pPr>
        <w:tabs>
          <w:tab w:val="center" w:pos="6979"/>
        </w:tabs>
        <w:spacing w:beforeLines="50"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第</w:t>
      </w:r>
      <w:r>
        <w:rPr>
          <w:rFonts w:hint="eastAsia" w:ascii="宋体" w:hAnsi="宋体" w:cs="宋体"/>
          <w:bCs/>
          <w:spacing w:val="40"/>
          <w:kern w:val="0"/>
          <w:sz w:val="32"/>
          <w:szCs w:val="32"/>
          <w:lang w:eastAsia="zh-CN"/>
        </w:rPr>
        <w:t>二</w:t>
      </w:r>
      <w:r>
        <w:rPr>
          <w:rFonts w:hint="eastAsia" w:ascii="宋体" w:hAnsi="宋体" w:cs="宋体"/>
          <w:bCs/>
          <w:spacing w:val="40"/>
          <w:kern w:val="0"/>
          <w:sz w:val="32"/>
          <w:szCs w:val="32"/>
        </w:rPr>
        <w:t xml:space="preserve">部分 </w:t>
      </w:r>
      <w:r>
        <w:rPr>
          <w:rFonts w:hint="eastAsia" w:ascii="宋体" w:hAnsi="宋体"/>
          <w:spacing w:val="40"/>
          <w:sz w:val="32"/>
          <w:szCs w:val="32"/>
        </w:rPr>
        <w:t>2020年度</w:t>
      </w:r>
      <w:r>
        <w:rPr>
          <w:rFonts w:hint="eastAsia" w:ascii="宋体" w:hAnsi="宋体" w:cs="宋体"/>
          <w:spacing w:val="40"/>
          <w:kern w:val="0"/>
          <w:sz w:val="32"/>
          <w:szCs w:val="32"/>
        </w:rPr>
        <w:t>其他重要事项的情况说明</w:t>
      </w:r>
    </w:p>
    <w:p>
      <w:pPr>
        <w:tabs>
          <w:tab w:val="center" w:pos="6979"/>
        </w:tabs>
        <w:spacing w:beforeLines="50"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spacing w:val="40"/>
          <w:kern w:val="0"/>
          <w:sz w:val="32"/>
          <w:szCs w:val="32"/>
        </w:rPr>
        <w:t>第</w:t>
      </w:r>
      <w:r>
        <w:rPr>
          <w:rFonts w:hint="eastAsia" w:ascii="宋体" w:hAnsi="宋体" w:cs="宋体"/>
          <w:spacing w:val="40"/>
          <w:kern w:val="0"/>
          <w:sz w:val="32"/>
          <w:szCs w:val="32"/>
          <w:lang w:eastAsia="zh-CN"/>
        </w:rPr>
        <w:t>三</w:t>
      </w:r>
      <w:r>
        <w:rPr>
          <w:rFonts w:hint="eastAsia" w:ascii="宋体" w:hAnsi="宋体" w:cs="宋体"/>
          <w:spacing w:val="40"/>
          <w:kern w:val="0"/>
          <w:sz w:val="32"/>
          <w:szCs w:val="32"/>
        </w:rPr>
        <w:t>部分 2020年度部门绩效评价情况</w:t>
      </w:r>
    </w:p>
    <w:p>
      <w:pPr>
        <w:pStyle w:val="2"/>
      </w:pPr>
    </w:p>
    <w:p>
      <w:pPr>
        <w:tabs>
          <w:tab w:val="center" w:pos="6979"/>
        </w:tabs>
        <w:spacing w:beforeLines="50"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w:t>
      </w:r>
      <w:r>
        <w:rPr>
          <w:rFonts w:hint="eastAsia" w:ascii="宋体" w:hAnsi="宋体" w:cs="宋体"/>
          <w:b/>
          <w:bCs/>
          <w:spacing w:val="40"/>
          <w:kern w:val="0"/>
          <w:sz w:val="32"/>
          <w:szCs w:val="32"/>
          <w:lang w:eastAsia="zh-CN"/>
        </w:rPr>
        <w:t>一</w:t>
      </w:r>
      <w:r>
        <w:rPr>
          <w:rFonts w:hint="eastAsia" w:ascii="宋体" w:hAnsi="宋体" w:cs="宋体"/>
          <w:b/>
          <w:bCs/>
          <w:spacing w:val="40"/>
          <w:kern w:val="0"/>
          <w:sz w:val="32"/>
          <w:szCs w:val="32"/>
        </w:rPr>
        <w:t>部分 2020年度部门决算说明</w:t>
      </w:r>
    </w:p>
    <w:p>
      <w:pPr>
        <w:tabs>
          <w:tab w:val="center" w:pos="6979"/>
        </w:tabs>
        <w:spacing w:line="580" w:lineRule="exact"/>
        <w:ind w:firstLine="560" w:firstLineChars="200"/>
        <w:rPr>
          <w:rFonts w:ascii="黑体" w:eastAsia="黑体"/>
          <w:b/>
          <w:sz w:val="28"/>
          <w:szCs w:val="28"/>
        </w:rPr>
      </w:pPr>
      <w:r>
        <w:rPr>
          <w:rFonts w:hint="eastAsia" w:ascii="黑体" w:eastAsia="黑体"/>
          <w:sz w:val="28"/>
          <w:szCs w:val="28"/>
        </w:rPr>
        <w:t>一、部门基本情况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北京市丰台区商务局</w:t>
      </w:r>
      <w:r>
        <w:rPr>
          <w:rFonts w:hint="eastAsia" w:ascii="仿宋_GB2312" w:hAnsi="仿宋" w:eastAsia="仿宋_GB2312"/>
          <w:sz w:val="28"/>
          <w:szCs w:val="28"/>
          <w:lang w:eastAsia="zh-CN"/>
        </w:rPr>
        <w:t>是丰台区政府所属的经济部门</w:t>
      </w:r>
      <w:r>
        <w:rPr>
          <w:rFonts w:hint="eastAsia" w:ascii="仿宋_GB2312" w:hAnsi="仿宋" w:eastAsia="仿宋_GB2312"/>
          <w:sz w:val="28"/>
          <w:szCs w:val="28"/>
        </w:rPr>
        <w:t>，</w:t>
      </w:r>
      <w:r>
        <w:rPr>
          <w:rFonts w:hint="eastAsia" w:ascii="仿宋_GB2312" w:hAnsi="仿宋" w:eastAsia="仿宋_GB2312"/>
          <w:sz w:val="28"/>
          <w:szCs w:val="28"/>
          <w:lang w:eastAsia="zh-CN"/>
        </w:rPr>
        <w:t>行政单位</w:t>
      </w:r>
      <w:r>
        <w:rPr>
          <w:rFonts w:hint="eastAsia" w:ascii="仿宋_GB2312" w:hAnsi="仿宋" w:eastAsia="仿宋_GB2312"/>
          <w:sz w:val="28"/>
          <w:szCs w:val="28"/>
          <w:lang w:val="en-US" w:eastAsia="zh-CN"/>
        </w:rPr>
        <w:t>1个，</w:t>
      </w:r>
      <w:r>
        <w:rPr>
          <w:rFonts w:hint="eastAsia" w:ascii="仿宋_GB2312" w:hAnsi="仿宋" w:eastAsia="仿宋_GB2312"/>
          <w:sz w:val="28"/>
          <w:szCs w:val="28"/>
        </w:rPr>
        <w:t>内设</w:t>
      </w:r>
      <w:r>
        <w:rPr>
          <w:rFonts w:hint="eastAsia" w:ascii="仿宋_GB2312" w:hAnsi="仿宋" w:eastAsia="仿宋_GB2312"/>
          <w:sz w:val="28"/>
          <w:szCs w:val="28"/>
          <w:lang w:val="en-US" w:eastAsia="zh-CN"/>
        </w:rPr>
        <w:t>8个科室</w:t>
      </w:r>
      <w:r>
        <w:rPr>
          <w:rFonts w:hint="eastAsia" w:ascii="仿宋_GB2312" w:hAnsi="仿宋" w:eastAsia="仿宋_GB2312"/>
          <w:sz w:val="28"/>
          <w:szCs w:val="28"/>
        </w:rPr>
        <w:t>，</w:t>
      </w:r>
      <w:r>
        <w:rPr>
          <w:rFonts w:hint="eastAsia" w:ascii="仿宋_GB2312" w:hAnsi="仿宋" w:eastAsia="仿宋_GB2312"/>
          <w:sz w:val="28"/>
          <w:szCs w:val="28"/>
          <w:lang w:eastAsia="zh-CN"/>
        </w:rPr>
        <w:t>为</w:t>
      </w:r>
      <w:r>
        <w:rPr>
          <w:rFonts w:hint="eastAsia" w:ascii="仿宋_GB2312" w:hAnsi="仿宋" w:eastAsia="仿宋_GB2312"/>
          <w:sz w:val="28"/>
          <w:szCs w:val="28"/>
        </w:rPr>
        <w:t>办公室、综合发展科、商业服务科、流通发展科、流通管理科、外经外贸科、政务服务管理科、安</w:t>
      </w:r>
      <w:r>
        <w:rPr>
          <w:rFonts w:hint="eastAsia" w:ascii="仿宋_GB2312" w:hAnsi="仿宋" w:eastAsia="仿宋_GB2312"/>
          <w:sz w:val="28"/>
          <w:szCs w:val="28"/>
          <w:lang w:eastAsia="zh-CN"/>
        </w:rPr>
        <w:t>全</w:t>
      </w:r>
      <w:r>
        <w:rPr>
          <w:rFonts w:hint="eastAsia" w:ascii="仿宋_GB2312" w:hAnsi="仿宋" w:eastAsia="仿宋_GB2312"/>
          <w:sz w:val="28"/>
          <w:szCs w:val="28"/>
        </w:rPr>
        <w:t>管理科</w:t>
      </w:r>
      <w:r>
        <w:rPr>
          <w:rFonts w:hint="eastAsia" w:ascii="仿宋_GB2312" w:hAnsi="仿宋" w:eastAsia="仿宋_GB2312"/>
          <w:sz w:val="28"/>
          <w:szCs w:val="28"/>
          <w:lang w:eastAsia="zh-CN"/>
        </w:rPr>
        <w:t>。下设</w:t>
      </w:r>
      <w:r>
        <w:rPr>
          <w:rFonts w:hint="eastAsia" w:ascii="仿宋_GB2312" w:hAnsi="仿宋" w:eastAsia="仿宋_GB2312"/>
          <w:sz w:val="28"/>
          <w:szCs w:val="28"/>
          <w:lang w:val="en-US" w:eastAsia="zh-CN"/>
        </w:rPr>
        <w:t>1个正科级公益一类事业单位</w:t>
      </w:r>
      <w:r>
        <w:rPr>
          <w:rFonts w:hint="eastAsia" w:ascii="仿宋_GB2312" w:hAnsi="仿宋" w:eastAsia="仿宋_GB2312"/>
          <w:sz w:val="28"/>
          <w:szCs w:val="28"/>
        </w:rPr>
        <w:t>北京市丰台区粮食管理服务中心。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lang w:eastAsia="zh-CN"/>
        </w:rPr>
        <w:t>职责主要为</w:t>
      </w:r>
      <w:r>
        <w:rPr>
          <w:rFonts w:hint="eastAsia" w:ascii="仿宋_GB2312" w:hAnsi="仿宋" w:eastAsia="仿宋_GB2312"/>
          <w:sz w:val="28"/>
          <w:szCs w:val="28"/>
        </w:rPr>
        <w:t>：</w:t>
      </w:r>
      <w:r>
        <w:rPr>
          <w:rFonts w:hint="eastAsia" w:ascii="仿宋_GB2312" w:hAnsi="Arial" w:eastAsia="仿宋_GB2312" w:cs="Arial"/>
          <w:spacing w:val="-6"/>
          <w:sz w:val="28"/>
          <w:szCs w:val="28"/>
        </w:rPr>
        <w:t>1、贯彻落实国家有关法律、法规、规章、政策及北京市的有关规定，</w:t>
      </w:r>
      <w:r>
        <w:rPr>
          <w:rFonts w:ascii="仿宋_GB2312" w:hAnsi="Arial" w:eastAsia="仿宋_GB2312" w:cs="Arial"/>
          <w:spacing w:val="-6"/>
          <w:sz w:val="28"/>
          <w:szCs w:val="28"/>
        </w:rPr>
        <w:t>研究本区内外贸易和对外经济合作的</w:t>
      </w:r>
      <w:r>
        <w:rPr>
          <w:rFonts w:hint="eastAsia" w:ascii="仿宋_GB2312" w:hAnsi="Arial" w:eastAsia="仿宋_GB2312" w:cs="Arial"/>
          <w:spacing w:val="-6"/>
          <w:sz w:val="28"/>
          <w:szCs w:val="28"/>
        </w:rPr>
        <w:t>发展</w:t>
      </w:r>
      <w:r>
        <w:rPr>
          <w:rFonts w:ascii="仿宋_GB2312" w:hAnsi="Arial" w:eastAsia="仿宋_GB2312" w:cs="Arial"/>
          <w:spacing w:val="-6"/>
          <w:sz w:val="28"/>
          <w:szCs w:val="28"/>
        </w:rPr>
        <w:t>战略，提出中长期发展规划</w:t>
      </w:r>
      <w:r>
        <w:rPr>
          <w:rFonts w:hint="eastAsia" w:ascii="仿宋_GB2312" w:hAnsi="Arial" w:eastAsia="仿宋_GB2312" w:cs="Arial"/>
          <w:spacing w:val="-6"/>
          <w:sz w:val="28"/>
          <w:szCs w:val="28"/>
        </w:rPr>
        <w:t>及</w:t>
      </w:r>
      <w:r>
        <w:rPr>
          <w:rFonts w:ascii="仿宋_GB2312" w:hAnsi="Arial" w:eastAsia="仿宋_GB2312" w:cs="Arial"/>
          <w:spacing w:val="-6"/>
          <w:sz w:val="28"/>
          <w:szCs w:val="28"/>
        </w:rPr>
        <w:t>年度计划并组织实施。</w:t>
      </w:r>
      <w:r>
        <w:rPr>
          <w:rFonts w:hint="eastAsia" w:ascii="仿宋_GB2312" w:hAnsi="Arial" w:eastAsia="仿宋_GB2312" w:cs="Arial"/>
          <w:spacing w:val="-6"/>
          <w:sz w:val="28"/>
          <w:szCs w:val="28"/>
        </w:rPr>
        <w:t>2、负责</w:t>
      </w:r>
      <w:r>
        <w:rPr>
          <w:rFonts w:ascii="仿宋_GB2312" w:hAnsi="Arial" w:eastAsia="仿宋_GB2312" w:cs="Arial"/>
          <w:spacing w:val="-6"/>
          <w:sz w:val="28"/>
          <w:szCs w:val="28"/>
        </w:rPr>
        <w:t>推进本区流通产业结构调整，</w:t>
      </w:r>
      <w:r>
        <w:rPr>
          <w:rFonts w:hint="eastAsia" w:ascii="仿宋_GB2312" w:hAnsi="Arial" w:eastAsia="仿宋_GB2312" w:cs="Arial"/>
          <w:spacing w:val="-6"/>
          <w:sz w:val="28"/>
          <w:szCs w:val="28"/>
        </w:rPr>
        <w:t>促进</w:t>
      </w:r>
      <w:r>
        <w:rPr>
          <w:rFonts w:ascii="仿宋_GB2312" w:hAnsi="Arial" w:eastAsia="仿宋_GB2312" w:cs="Arial"/>
          <w:spacing w:val="-6"/>
          <w:sz w:val="28"/>
          <w:szCs w:val="28"/>
        </w:rPr>
        <w:t>商贸服务业和社区商业发展，</w:t>
      </w:r>
      <w:r>
        <w:rPr>
          <w:rFonts w:hint="eastAsia" w:ascii="仿宋_GB2312" w:hAnsi="Arial" w:eastAsia="仿宋_GB2312" w:cs="Arial"/>
          <w:spacing w:val="-6"/>
          <w:sz w:val="28"/>
          <w:szCs w:val="28"/>
        </w:rPr>
        <w:t>推动</w:t>
      </w:r>
      <w:r>
        <w:rPr>
          <w:rFonts w:ascii="仿宋_GB2312" w:hAnsi="Arial" w:eastAsia="仿宋_GB2312" w:cs="Arial"/>
          <w:spacing w:val="-6"/>
          <w:sz w:val="28"/>
          <w:szCs w:val="28"/>
        </w:rPr>
        <w:t>流通标准化和</w:t>
      </w:r>
      <w:r>
        <w:rPr>
          <w:rFonts w:hint="eastAsia" w:ascii="仿宋_GB2312" w:hAnsi="Arial" w:eastAsia="仿宋_GB2312" w:cs="Arial"/>
          <w:spacing w:val="-6"/>
          <w:sz w:val="28"/>
          <w:szCs w:val="28"/>
        </w:rPr>
        <w:t>连锁</w:t>
      </w:r>
      <w:r>
        <w:rPr>
          <w:rFonts w:ascii="仿宋_GB2312" w:hAnsi="Arial" w:eastAsia="仿宋_GB2312" w:cs="Arial"/>
          <w:spacing w:val="-6"/>
          <w:sz w:val="28"/>
          <w:szCs w:val="28"/>
        </w:rPr>
        <w:t>经营、物流配送</w:t>
      </w:r>
      <w:r>
        <w:rPr>
          <w:rFonts w:hint="eastAsia" w:ascii="仿宋_GB2312" w:hAnsi="Arial" w:eastAsia="仿宋_GB2312" w:cs="Arial"/>
          <w:spacing w:val="-6"/>
          <w:sz w:val="28"/>
          <w:szCs w:val="28"/>
        </w:rPr>
        <w:t>、</w:t>
      </w:r>
      <w:r>
        <w:rPr>
          <w:rFonts w:ascii="仿宋_GB2312" w:hAnsi="Arial" w:eastAsia="仿宋_GB2312" w:cs="Arial"/>
          <w:spacing w:val="-6"/>
          <w:sz w:val="28"/>
          <w:szCs w:val="28"/>
        </w:rPr>
        <w:t>电子商务等现代流通方式的发展。</w:t>
      </w:r>
      <w:r>
        <w:rPr>
          <w:rFonts w:hint="eastAsia" w:ascii="仿宋_GB2312" w:hAnsi="Arial" w:eastAsia="仿宋_GB2312" w:cs="Arial"/>
          <w:spacing w:val="-6"/>
          <w:sz w:val="28"/>
          <w:szCs w:val="28"/>
        </w:rPr>
        <w:t>3、促进</w:t>
      </w:r>
      <w:r>
        <w:rPr>
          <w:rFonts w:ascii="仿宋_GB2312" w:hAnsi="Arial" w:eastAsia="仿宋_GB2312" w:cs="Arial"/>
          <w:spacing w:val="-6"/>
          <w:sz w:val="28"/>
          <w:szCs w:val="28"/>
        </w:rPr>
        <w:t>本区城乡市场发展，</w:t>
      </w:r>
      <w:r>
        <w:rPr>
          <w:rFonts w:hint="eastAsia" w:ascii="仿宋_GB2312" w:hAnsi="Arial" w:eastAsia="仿宋_GB2312" w:cs="Arial"/>
          <w:spacing w:val="-6"/>
          <w:sz w:val="28"/>
          <w:szCs w:val="28"/>
        </w:rPr>
        <w:t>会同</w:t>
      </w:r>
      <w:r>
        <w:rPr>
          <w:rFonts w:ascii="仿宋_GB2312" w:hAnsi="Arial" w:eastAsia="仿宋_GB2312" w:cs="Arial"/>
          <w:spacing w:val="-6"/>
          <w:sz w:val="28"/>
          <w:szCs w:val="28"/>
        </w:rPr>
        <w:t>有关部门组织编制本区</w:t>
      </w:r>
      <w:r>
        <w:rPr>
          <w:rFonts w:hint="eastAsia" w:ascii="仿宋_GB2312" w:hAnsi="Arial" w:eastAsia="仿宋_GB2312" w:cs="Arial"/>
          <w:spacing w:val="-6"/>
          <w:sz w:val="28"/>
          <w:szCs w:val="28"/>
        </w:rPr>
        <w:t>商品</w:t>
      </w:r>
      <w:r>
        <w:rPr>
          <w:rFonts w:ascii="仿宋_GB2312" w:hAnsi="Arial" w:eastAsia="仿宋_GB2312" w:cs="Arial"/>
          <w:spacing w:val="-6"/>
          <w:sz w:val="28"/>
          <w:szCs w:val="28"/>
        </w:rPr>
        <w:t>流通和生活性服务业</w:t>
      </w:r>
      <w:r>
        <w:rPr>
          <w:rFonts w:hint="eastAsia" w:ascii="仿宋_GB2312" w:hAnsi="Arial" w:eastAsia="仿宋_GB2312" w:cs="Arial"/>
          <w:spacing w:val="-6"/>
          <w:sz w:val="28"/>
          <w:szCs w:val="28"/>
        </w:rPr>
        <w:t>网点</w:t>
      </w:r>
      <w:r>
        <w:rPr>
          <w:rFonts w:ascii="仿宋_GB2312" w:hAnsi="Arial" w:eastAsia="仿宋_GB2312" w:cs="Arial"/>
          <w:spacing w:val="-6"/>
          <w:sz w:val="28"/>
          <w:szCs w:val="28"/>
        </w:rPr>
        <w:t>设施的布局规划。协调</w:t>
      </w:r>
      <w:r>
        <w:rPr>
          <w:rFonts w:hint="eastAsia" w:ascii="仿宋_GB2312" w:hAnsi="Arial" w:eastAsia="仿宋_GB2312" w:cs="Arial"/>
          <w:spacing w:val="-6"/>
          <w:sz w:val="28"/>
          <w:szCs w:val="28"/>
        </w:rPr>
        <w:t>本区</w:t>
      </w:r>
      <w:r>
        <w:rPr>
          <w:rFonts w:ascii="仿宋_GB2312" w:hAnsi="Arial" w:eastAsia="仿宋_GB2312" w:cs="Arial"/>
          <w:spacing w:val="-6"/>
          <w:sz w:val="28"/>
          <w:szCs w:val="28"/>
        </w:rPr>
        <w:t>商业中心、特色商业街区、</w:t>
      </w:r>
      <w:r>
        <w:rPr>
          <w:rFonts w:hint="eastAsia" w:ascii="仿宋_GB2312" w:hAnsi="Arial" w:eastAsia="仿宋_GB2312" w:cs="Arial"/>
          <w:spacing w:val="-6"/>
          <w:sz w:val="28"/>
          <w:szCs w:val="28"/>
        </w:rPr>
        <w:t>大型</w:t>
      </w:r>
      <w:r>
        <w:rPr>
          <w:rFonts w:ascii="仿宋_GB2312" w:hAnsi="Arial" w:eastAsia="仿宋_GB2312" w:cs="Arial"/>
          <w:spacing w:val="-6"/>
          <w:sz w:val="28"/>
          <w:szCs w:val="28"/>
        </w:rPr>
        <w:t>零售商业设施</w:t>
      </w:r>
      <w:r>
        <w:rPr>
          <w:rFonts w:hint="eastAsia" w:ascii="仿宋_GB2312" w:hAnsi="Arial" w:eastAsia="仿宋_GB2312" w:cs="Arial"/>
          <w:spacing w:val="-6"/>
          <w:sz w:val="28"/>
          <w:szCs w:val="28"/>
        </w:rPr>
        <w:t>等</w:t>
      </w:r>
      <w:r>
        <w:rPr>
          <w:rFonts w:ascii="仿宋_GB2312" w:hAnsi="Arial" w:eastAsia="仿宋_GB2312" w:cs="Arial"/>
          <w:spacing w:val="-6"/>
          <w:sz w:val="28"/>
          <w:szCs w:val="28"/>
        </w:rPr>
        <w:t>的建设。牵头</w:t>
      </w:r>
      <w:r>
        <w:rPr>
          <w:rFonts w:hint="eastAsia" w:ascii="仿宋_GB2312" w:hAnsi="Arial" w:eastAsia="仿宋_GB2312" w:cs="Arial"/>
          <w:spacing w:val="-6"/>
          <w:sz w:val="28"/>
          <w:szCs w:val="28"/>
        </w:rPr>
        <w:t>负责</w:t>
      </w:r>
      <w:r>
        <w:rPr>
          <w:rFonts w:ascii="仿宋_GB2312" w:hAnsi="Arial" w:eastAsia="仿宋_GB2312" w:cs="Arial"/>
          <w:spacing w:val="-6"/>
          <w:sz w:val="28"/>
          <w:szCs w:val="28"/>
        </w:rPr>
        <w:t>本区生活性服务业品质提升工作及相关行业发展促进工作。</w:t>
      </w:r>
      <w:r>
        <w:rPr>
          <w:rFonts w:hint="eastAsia" w:ascii="仿宋_GB2312" w:hAnsi="Arial" w:eastAsia="仿宋_GB2312" w:cs="Arial"/>
          <w:spacing w:val="-6"/>
          <w:sz w:val="28"/>
          <w:szCs w:val="28"/>
        </w:rPr>
        <w:t>4、会同</w:t>
      </w:r>
      <w:r>
        <w:rPr>
          <w:rFonts w:ascii="仿宋_GB2312" w:hAnsi="Arial" w:eastAsia="仿宋_GB2312" w:cs="Arial"/>
          <w:spacing w:val="-6"/>
          <w:sz w:val="28"/>
          <w:szCs w:val="28"/>
        </w:rPr>
        <w:t>有关部门负责本区消费促进工作，</w:t>
      </w:r>
      <w:r>
        <w:rPr>
          <w:rFonts w:hint="eastAsia" w:ascii="仿宋_GB2312" w:hAnsi="Arial" w:eastAsia="仿宋_GB2312" w:cs="Arial"/>
          <w:spacing w:val="-6"/>
          <w:sz w:val="28"/>
          <w:szCs w:val="28"/>
        </w:rPr>
        <w:t>组织实施</w:t>
      </w:r>
      <w:r>
        <w:rPr>
          <w:rFonts w:ascii="仿宋_GB2312" w:hAnsi="Arial" w:eastAsia="仿宋_GB2312" w:cs="Arial"/>
          <w:spacing w:val="-6"/>
          <w:sz w:val="28"/>
          <w:szCs w:val="28"/>
        </w:rPr>
        <w:t>促消费政策措施</w:t>
      </w:r>
      <w:r>
        <w:rPr>
          <w:rFonts w:hint="eastAsia" w:ascii="仿宋_GB2312" w:hAnsi="Arial" w:eastAsia="仿宋_GB2312" w:cs="Arial"/>
          <w:spacing w:val="-6"/>
          <w:sz w:val="28"/>
          <w:szCs w:val="28"/>
        </w:rPr>
        <w:t>。5、承担</w:t>
      </w:r>
      <w:r>
        <w:rPr>
          <w:rFonts w:ascii="仿宋_GB2312" w:hAnsi="Arial" w:eastAsia="仿宋_GB2312" w:cs="Arial"/>
          <w:spacing w:val="-6"/>
          <w:sz w:val="28"/>
          <w:szCs w:val="28"/>
        </w:rPr>
        <w:t>牵头协调本区整顿和规范流通秩序工作的责任。参与</w:t>
      </w:r>
      <w:r>
        <w:rPr>
          <w:rFonts w:hint="eastAsia" w:ascii="仿宋_GB2312" w:hAnsi="Arial" w:eastAsia="仿宋_GB2312" w:cs="Arial"/>
          <w:spacing w:val="-6"/>
          <w:sz w:val="28"/>
          <w:szCs w:val="28"/>
        </w:rPr>
        <w:t>推动</w:t>
      </w:r>
      <w:r>
        <w:rPr>
          <w:rFonts w:ascii="仿宋_GB2312" w:hAnsi="Arial" w:eastAsia="仿宋_GB2312" w:cs="Arial"/>
          <w:spacing w:val="-6"/>
          <w:sz w:val="28"/>
          <w:szCs w:val="28"/>
        </w:rPr>
        <w:t>商务领域</w:t>
      </w:r>
      <w:r>
        <w:rPr>
          <w:rFonts w:hint="eastAsia" w:ascii="仿宋_GB2312" w:hAnsi="Arial" w:eastAsia="仿宋_GB2312" w:cs="Arial"/>
          <w:spacing w:val="-6"/>
          <w:sz w:val="28"/>
          <w:szCs w:val="28"/>
        </w:rPr>
        <w:t>信用</w:t>
      </w:r>
      <w:r>
        <w:rPr>
          <w:rFonts w:ascii="仿宋_GB2312" w:hAnsi="Arial" w:eastAsia="仿宋_GB2312" w:cs="Arial"/>
          <w:spacing w:val="-6"/>
          <w:sz w:val="28"/>
          <w:szCs w:val="28"/>
        </w:rPr>
        <w:t>建设，指导商业信用</w:t>
      </w:r>
      <w:r>
        <w:rPr>
          <w:rFonts w:hint="eastAsia" w:ascii="仿宋_GB2312" w:hAnsi="Arial" w:eastAsia="仿宋_GB2312" w:cs="Arial"/>
          <w:spacing w:val="-6"/>
          <w:sz w:val="28"/>
          <w:szCs w:val="28"/>
        </w:rPr>
        <w:t>销售</w:t>
      </w:r>
      <w:r>
        <w:rPr>
          <w:rFonts w:ascii="仿宋_GB2312" w:hAnsi="Arial" w:eastAsia="仿宋_GB2312" w:cs="Arial"/>
          <w:spacing w:val="-6"/>
          <w:sz w:val="28"/>
          <w:szCs w:val="28"/>
        </w:rPr>
        <w:t>，按照有关规定对特殊流通行业进行监督管理。</w:t>
      </w:r>
      <w:r>
        <w:rPr>
          <w:rFonts w:hint="eastAsia" w:ascii="仿宋_GB2312" w:hAnsi="Arial" w:eastAsia="仿宋_GB2312" w:cs="Arial"/>
          <w:spacing w:val="-6"/>
          <w:sz w:val="28"/>
          <w:szCs w:val="28"/>
        </w:rPr>
        <w:t>6、</w:t>
      </w:r>
      <w:r>
        <w:rPr>
          <w:rFonts w:ascii="仿宋_GB2312" w:hAnsi="Arial" w:eastAsia="仿宋_GB2312" w:cs="Arial"/>
          <w:spacing w:val="-6"/>
          <w:sz w:val="28"/>
          <w:szCs w:val="28"/>
        </w:rPr>
        <w:t>负责建立健全本区市场监测体系，调控重要消费品市场和</w:t>
      </w:r>
      <w:r>
        <w:rPr>
          <w:rFonts w:hint="eastAsia" w:ascii="仿宋_GB2312" w:hAnsi="Arial" w:eastAsia="仿宋_GB2312" w:cs="Arial"/>
          <w:spacing w:val="-6"/>
          <w:sz w:val="28"/>
          <w:szCs w:val="28"/>
        </w:rPr>
        <w:t>有关</w:t>
      </w:r>
      <w:r>
        <w:rPr>
          <w:rFonts w:ascii="仿宋_GB2312" w:hAnsi="Arial" w:eastAsia="仿宋_GB2312" w:cs="Arial"/>
          <w:spacing w:val="-6"/>
          <w:sz w:val="28"/>
          <w:szCs w:val="28"/>
        </w:rPr>
        <w:t>重要生产资料</w:t>
      </w:r>
      <w:r>
        <w:rPr>
          <w:rFonts w:hint="eastAsia" w:ascii="仿宋_GB2312" w:hAnsi="Arial" w:eastAsia="仿宋_GB2312" w:cs="Arial"/>
          <w:spacing w:val="-6"/>
          <w:sz w:val="28"/>
          <w:szCs w:val="28"/>
        </w:rPr>
        <w:t>。</w:t>
      </w:r>
      <w:r>
        <w:rPr>
          <w:rFonts w:ascii="仿宋_GB2312" w:hAnsi="Arial" w:eastAsia="仿宋_GB2312" w:cs="Arial"/>
          <w:spacing w:val="-6"/>
          <w:sz w:val="28"/>
          <w:szCs w:val="28"/>
        </w:rPr>
        <w:t>负责建立健全本区生活必需品市场供应应急管理机制，按分工负责重要消费品储备管理和市场调控工作</w:t>
      </w:r>
      <w:r>
        <w:rPr>
          <w:rFonts w:hint="eastAsia" w:ascii="仿宋_GB2312" w:hAnsi="Arial" w:eastAsia="仿宋_GB2312" w:cs="Arial"/>
          <w:spacing w:val="-6"/>
          <w:sz w:val="28"/>
          <w:szCs w:val="28"/>
        </w:rPr>
        <w:t>。按照</w:t>
      </w:r>
      <w:r>
        <w:rPr>
          <w:rFonts w:ascii="仿宋_GB2312" w:hAnsi="Arial" w:eastAsia="仿宋_GB2312" w:cs="Arial"/>
          <w:spacing w:val="-6"/>
          <w:sz w:val="28"/>
          <w:szCs w:val="28"/>
        </w:rPr>
        <w:t>有关规定对成品油流通进行监督管理</w:t>
      </w:r>
      <w:r>
        <w:rPr>
          <w:rFonts w:hint="eastAsia" w:ascii="仿宋_GB2312" w:hAnsi="Arial" w:eastAsia="仿宋_GB2312" w:cs="Arial"/>
          <w:spacing w:val="-6"/>
          <w:sz w:val="28"/>
          <w:szCs w:val="28"/>
        </w:rPr>
        <w:t>。</w:t>
      </w:r>
      <w:r>
        <w:rPr>
          <w:rFonts w:ascii="仿宋_GB2312" w:hAnsi="Arial" w:eastAsia="仿宋_GB2312" w:cs="Arial"/>
          <w:spacing w:val="-6"/>
          <w:sz w:val="28"/>
          <w:szCs w:val="28"/>
        </w:rPr>
        <w:t>组织落实中央、市、区重要会议和重大活动的商品供应和相关服务保障工作。</w:t>
      </w:r>
      <w:r>
        <w:rPr>
          <w:rFonts w:hint="eastAsia" w:ascii="仿宋_GB2312" w:hAnsi="Arial" w:eastAsia="仿宋_GB2312" w:cs="Arial"/>
          <w:spacing w:val="-6"/>
          <w:sz w:val="28"/>
          <w:szCs w:val="28"/>
        </w:rPr>
        <w:t>7、统筹</w:t>
      </w:r>
      <w:r>
        <w:rPr>
          <w:rFonts w:ascii="仿宋_GB2312" w:hAnsi="Arial" w:eastAsia="仿宋_GB2312" w:cs="Arial"/>
          <w:spacing w:val="-6"/>
          <w:sz w:val="28"/>
          <w:szCs w:val="28"/>
        </w:rPr>
        <w:t>推进本区商务服务业发展，会同有关部门</w:t>
      </w:r>
      <w:r>
        <w:rPr>
          <w:rFonts w:hint="eastAsia" w:ascii="仿宋_GB2312" w:hAnsi="Arial" w:eastAsia="仿宋_GB2312" w:cs="Arial"/>
          <w:spacing w:val="-6"/>
          <w:sz w:val="28"/>
          <w:szCs w:val="28"/>
        </w:rPr>
        <w:t>拟订</w:t>
      </w:r>
      <w:r>
        <w:rPr>
          <w:rFonts w:ascii="仿宋_GB2312" w:hAnsi="Arial" w:eastAsia="仿宋_GB2312" w:cs="Arial"/>
          <w:spacing w:val="-6"/>
          <w:sz w:val="28"/>
          <w:szCs w:val="28"/>
        </w:rPr>
        <w:t>商务服务业发展规划、政策并组织实施。组织</w:t>
      </w:r>
      <w:r>
        <w:rPr>
          <w:rFonts w:hint="eastAsia" w:ascii="仿宋_GB2312" w:hAnsi="Arial" w:eastAsia="仿宋_GB2312" w:cs="Arial"/>
          <w:spacing w:val="-6"/>
          <w:sz w:val="28"/>
          <w:szCs w:val="28"/>
        </w:rPr>
        <w:t>实施</w:t>
      </w:r>
      <w:r>
        <w:rPr>
          <w:rFonts w:ascii="仿宋_GB2312" w:hAnsi="Arial" w:eastAsia="仿宋_GB2312" w:cs="Arial"/>
          <w:spacing w:val="-6"/>
          <w:sz w:val="28"/>
          <w:szCs w:val="28"/>
        </w:rPr>
        <w:t>促进商贸物流发展的相关政策措施。</w:t>
      </w:r>
      <w:r>
        <w:rPr>
          <w:rFonts w:hint="eastAsia" w:ascii="仿宋_GB2312" w:hAnsi="Arial" w:eastAsia="仿宋_GB2312" w:cs="Arial"/>
          <w:spacing w:val="-6"/>
          <w:sz w:val="28"/>
          <w:szCs w:val="28"/>
        </w:rPr>
        <w:t>负责</w:t>
      </w:r>
      <w:r>
        <w:rPr>
          <w:rFonts w:ascii="仿宋_GB2312" w:hAnsi="Arial" w:eastAsia="仿宋_GB2312" w:cs="Arial"/>
          <w:spacing w:val="-6"/>
          <w:sz w:val="28"/>
          <w:szCs w:val="28"/>
        </w:rPr>
        <w:t>推进会展业发展，组织落实相关政策、标准。</w:t>
      </w:r>
      <w:r>
        <w:rPr>
          <w:rFonts w:hint="eastAsia" w:ascii="仿宋_GB2312" w:hAnsi="Arial" w:eastAsia="仿宋_GB2312" w:cs="Arial"/>
          <w:spacing w:val="-6"/>
          <w:sz w:val="28"/>
          <w:szCs w:val="28"/>
        </w:rPr>
        <w:t>8、指导</w:t>
      </w:r>
      <w:r>
        <w:rPr>
          <w:rFonts w:ascii="仿宋_GB2312" w:hAnsi="Arial" w:eastAsia="仿宋_GB2312" w:cs="Arial"/>
          <w:spacing w:val="-6"/>
          <w:sz w:val="28"/>
          <w:szCs w:val="28"/>
        </w:rPr>
        <w:t>监督</w:t>
      </w:r>
      <w:r>
        <w:rPr>
          <w:rFonts w:hint="eastAsia" w:ascii="仿宋_GB2312" w:hAnsi="Arial" w:eastAsia="仿宋_GB2312" w:cs="Arial"/>
          <w:spacing w:val="-6"/>
          <w:sz w:val="28"/>
          <w:szCs w:val="28"/>
        </w:rPr>
        <w:t>本区</w:t>
      </w:r>
      <w:r>
        <w:rPr>
          <w:rFonts w:ascii="仿宋_GB2312" w:hAnsi="Arial" w:eastAsia="仿宋_GB2312" w:cs="Arial"/>
          <w:spacing w:val="-6"/>
          <w:sz w:val="28"/>
          <w:szCs w:val="28"/>
        </w:rPr>
        <w:t>重要商品</w:t>
      </w:r>
      <w:r>
        <w:rPr>
          <w:rFonts w:hint="eastAsia" w:ascii="仿宋_GB2312" w:hAnsi="Arial" w:eastAsia="仿宋_GB2312" w:cs="Arial"/>
          <w:spacing w:val="-6"/>
          <w:sz w:val="28"/>
          <w:szCs w:val="28"/>
        </w:rPr>
        <w:t>收</w:t>
      </w:r>
      <w:r>
        <w:rPr>
          <w:rFonts w:ascii="仿宋_GB2312" w:hAnsi="Arial" w:eastAsia="仿宋_GB2312" w:cs="Arial"/>
          <w:spacing w:val="-6"/>
          <w:sz w:val="28"/>
          <w:szCs w:val="28"/>
        </w:rPr>
        <w:t>储、轮换和投放。</w:t>
      </w:r>
      <w:r>
        <w:rPr>
          <w:rFonts w:hint="eastAsia" w:ascii="仿宋_GB2312" w:hAnsi="Arial" w:eastAsia="仿宋_GB2312" w:cs="Arial"/>
          <w:spacing w:val="-6"/>
          <w:sz w:val="28"/>
          <w:szCs w:val="28"/>
        </w:rPr>
        <w:t>组织</w:t>
      </w:r>
      <w:r>
        <w:rPr>
          <w:rFonts w:ascii="仿宋_GB2312" w:hAnsi="Arial" w:eastAsia="仿宋_GB2312" w:cs="Arial"/>
          <w:spacing w:val="-6"/>
          <w:sz w:val="28"/>
          <w:szCs w:val="28"/>
        </w:rPr>
        <w:t>实施</w:t>
      </w:r>
      <w:r>
        <w:rPr>
          <w:rFonts w:hint="eastAsia" w:ascii="仿宋_GB2312" w:hAnsi="Arial" w:eastAsia="仿宋_GB2312" w:cs="Arial"/>
          <w:spacing w:val="-6"/>
          <w:sz w:val="28"/>
          <w:szCs w:val="28"/>
        </w:rPr>
        <w:t>本区</w:t>
      </w:r>
      <w:r>
        <w:rPr>
          <w:rFonts w:ascii="仿宋_GB2312" w:hAnsi="Arial" w:eastAsia="仿宋_GB2312" w:cs="Arial"/>
          <w:spacing w:val="-6"/>
          <w:sz w:val="28"/>
          <w:szCs w:val="28"/>
        </w:rPr>
        <w:t>应急储备物资的收储、轮换和管理</w:t>
      </w:r>
      <w:r>
        <w:rPr>
          <w:rFonts w:hint="eastAsia" w:ascii="仿宋_GB2312" w:hAnsi="Arial" w:eastAsia="仿宋_GB2312" w:cs="Arial"/>
          <w:spacing w:val="-6"/>
          <w:sz w:val="28"/>
          <w:szCs w:val="28"/>
        </w:rPr>
        <w:t>，</w:t>
      </w:r>
      <w:r>
        <w:rPr>
          <w:rFonts w:ascii="仿宋_GB2312" w:hAnsi="Arial" w:eastAsia="仿宋_GB2312" w:cs="Arial"/>
          <w:spacing w:val="-6"/>
          <w:sz w:val="28"/>
          <w:szCs w:val="28"/>
        </w:rPr>
        <w:t>落实有关动用计划和指令。</w:t>
      </w:r>
      <w:r>
        <w:rPr>
          <w:rFonts w:hint="eastAsia" w:ascii="仿宋_GB2312" w:hAnsi="Arial" w:eastAsia="仿宋_GB2312" w:cs="Arial"/>
          <w:spacing w:val="-6"/>
          <w:sz w:val="28"/>
          <w:szCs w:val="28"/>
        </w:rPr>
        <w:t>负责</w:t>
      </w:r>
      <w:r>
        <w:rPr>
          <w:rFonts w:ascii="仿宋_GB2312" w:hAnsi="Arial" w:eastAsia="仿宋_GB2312" w:cs="Arial"/>
          <w:spacing w:val="-6"/>
          <w:sz w:val="28"/>
          <w:szCs w:val="28"/>
        </w:rPr>
        <w:t>本区粮食流通行业管理工作</w:t>
      </w:r>
      <w:r>
        <w:rPr>
          <w:rFonts w:hint="eastAsia" w:ascii="仿宋_GB2312" w:hAnsi="Arial" w:eastAsia="仿宋_GB2312" w:cs="Arial"/>
          <w:spacing w:val="-6"/>
          <w:sz w:val="28"/>
          <w:szCs w:val="28"/>
        </w:rPr>
        <w:t>，</w:t>
      </w:r>
      <w:r>
        <w:rPr>
          <w:rFonts w:ascii="仿宋_GB2312" w:hAnsi="Arial" w:eastAsia="仿宋_GB2312" w:cs="Arial"/>
          <w:spacing w:val="-6"/>
          <w:sz w:val="28"/>
          <w:szCs w:val="28"/>
        </w:rPr>
        <w:t>承担</w:t>
      </w:r>
      <w:r>
        <w:rPr>
          <w:rFonts w:hint="eastAsia" w:ascii="仿宋_GB2312" w:hAnsi="Arial" w:eastAsia="仿宋_GB2312" w:cs="Arial"/>
          <w:spacing w:val="-6"/>
          <w:sz w:val="28"/>
          <w:szCs w:val="28"/>
        </w:rPr>
        <w:t>粮食</w:t>
      </w:r>
      <w:r>
        <w:rPr>
          <w:rFonts w:ascii="仿宋_GB2312" w:hAnsi="Arial" w:eastAsia="仿宋_GB2312" w:cs="Arial"/>
          <w:spacing w:val="-6"/>
          <w:sz w:val="28"/>
          <w:szCs w:val="28"/>
        </w:rPr>
        <w:t>安全责任制考核相关工作。</w:t>
      </w:r>
      <w:r>
        <w:rPr>
          <w:rFonts w:hint="eastAsia" w:ascii="仿宋_GB2312" w:hAnsi="Arial" w:eastAsia="仿宋_GB2312" w:cs="Arial"/>
          <w:spacing w:val="-6"/>
          <w:sz w:val="28"/>
          <w:szCs w:val="28"/>
        </w:rPr>
        <w:t>9、负责本区进出口管理工作，促进服务贸易和技术贸易的发展。组织落实促进外贸稳增长调结构的政策措施，监测</w:t>
      </w:r>
      <w:r>
        <w:rPr>
          <w:rFonts w:ascii="仿宋_GB2312" w:hAnsi="Arial" w:eastAsia="仿宋_GB2312" w:cs="Arial"/>
          <w:spacing w:val="-6"/>
          <w:sz w:val="28"/>
          <w:szCs w:val="28"/>
        </w:rPr>
        <w:t>分析外贸运行情况</w:t>
      </w:r>
      <w:r>
        <w:rPr>
          <w:rFonts w:hint="eastAsia" w:ascii="仿宋_GB2312" w:hAnsi="Arial" w:eastAsia="仿宋_GB2312" w:cs="Arial"/>
          <w:spacing w:val="-6"/>
          <w:sz w:val="28"/>
          <w:szCs w:val="28"/>
        </w:rPr>
        <w:t>，负责</w:t>
      </w:r>
      <w:r>
        <w:rPr>
          <w:rFonts w:ascii="仿宋_GB2312" w:hAnsi="Arial" w:eastAsia="仿宋_GB2312" w:cs="Arial"/>
          <w:spacing w:val="-6"/>
          <w:sz w:val="28"/>
          <w:szCs w:val="28"/>
        </w:rPr>
        <w:t>进出口企业</w:t>
      </w:r>
      <w:r>
        <w:rPr>
          <w:rFonts w:hint="eastAsia" w:ascii="仿宋_GB2312" w:hAnsi="Arial" w:eastAsia="仿宋_GB2312" w:cs="Arial"/>
          <w:spacing w:val="-6"/>
          <w:sz w:val="28"/>
          <w:szCs w:val="28"/>
        </w:rPr>
        <w:t>经营</w:t>
      </w:r>
      <w:r>
        <w:rPr>
          <w:rFonts w:ascii="仿宋_GB2312" w:hAnsi="Arial" w:eastAsia="仿宋_GB2312" w:cs="Arial"/>
          <w:spacing w:val="-6"/>
          <w:sz w:val="28"/>
          <w:szCs w:val="28"/>
        </w:rPr>
        <w:t>资格备案工作。</w:t>
      </w:r>
      <w:r>
        <w:rPr>
          <w:rFonts w:hint="eastAsia" w:ascii="仿宋_GB2312" w:hAnsi="Arial" w:eastAsia="仿宋_GB2312" w:cs="Arial"/>
          <w:spacing w:val="-6"/>
          <w:sz w:val="28"/>
          <w:szCs w:val="28"/>
        </w:rPr>
        <w:t>10、负责本区外商投资相关管理工作，依法开展对外商投资企业的监督与备案。指导本区外商投资促进工作。11、负责本区对外经济合作服务工作，负责本区与国外多双边经济、技术援助的有关工作，依法管理和监督对外投资、对外承包工程和对外劳务合作。12、负责</w:t>
      </w:r>
      <w:r>
        <w:rPr>
          <w:rFonts w:ascii="仿宋_GB2312" w:hAnsi="Arial" w:eastAsia="仿宋_GB2312" w:cs="Arial"/>
          <w:spacing w:val="-6"/>
          <w:sz w:val="28"/>
          <w:szCs w:val="28"/>
        </w:rPr>
        <w:t>依法指导、协调</w:t>
      </w:r>
      <w:r>
        <w:rPr>
          <w:rFonts w:hint="eastAsia" w:ascii="仿宋_GB2312" w:hAnsi="Arial" w:eastAsia="仿宋_GB2312" w:cs="Arial"/>
          <w:spacing w:val="-6"/>
          <w:sz w:val="28"/>
          <w:szCs w:val="28"/>
        </w:rPr>
        <w:t>商务</w:t>
      </w:r>
      <w:r>
        <w:rPr>
          <w:rFonts w:ascii="仿宋_GB2312" w:hAnsi="Arial" w:eastAsia="仿宋_GB2312" w:cs="Arial"/>
          <w:spacing w:val="-6"/>
          <w:sz w:val="28"/>
          <w:szCs w:val="28"/>
        </w:rPr>
        <w:t>领域安全生产</w:t>
      </w:r>
      <w:r>
        <w:rPr>
          <w:rFonts w:hint="eastAsia" w:ascii="仿宋_GB2312" w:hAnsi="Arial" w:eastAsia="仿宋_GB2312" w:cs="Arial"/>
          <w:spacing w:val="-6"/>
          <w:sz w:val="28"/>
          <w:szCs w:val="28"/>
        </w:rPr>
        <w:t>管理</w:t>
      </w:r>
      <w:r>
        <w:rPr>
          <w:rFonts w:ascii="仿宋_GB2312" w:hAnsi="Arial" w:eastAsia="仿宋_GB2312" w:cs="Arial"/>
          <w:spacing w:val="-6"/>
          <w:sz w:val="28"/>
          <w:szCs w:val="28"/>
        </w:rPr>
        <w:t>工作，</w:t>
      </w:r>
      <w:r>
        <w:rPr>
          <w:rFonts w:hint="eastAsia" w:ascii="仿宋_GB2312" w:hAnsi="Arial" w:eastAsia="仿宋_GB2312" w:cs="Arial"/>
          <w:spacing w:val="-6"/>
          <w:sz w:val="28"/>
          <w:szCs w:val="28"/>
        </w:rPr>
        <w:t>指导督促</w:t>
      </w:r>
      <w:r>
        <w:rPr>
          <w:rFonts w:ascii="仿宋_GB2312" w:hAnsi="Arial" w:eastAsia="仿宋_GB2312" w:cs="Arial"/>
          <w:spacing w:val="-6"/>
          <w:sz w:val="28"/>
          <w:szCs w:val="28"/>
        </w:rPr>
        <w:t>商务领域重点单位贯彻</w:t>
      </w:r>
      <w:r>
        <w:rPr>
          <w:rFonts w:hint="eastAsia" w:ascii="仿宋_GB2312" w:hAnsi="Arial" w:eastAsia="仿宋_GB2312" w:cs="Arial"/>
          <w:spacing w:val="-6"/>
          <w:sz w:val="28"/>
          <w:szCs w:val="28"/>
        </w:rPr>
        <w:t>落实</w:t>
      </w:r>
      <w:r>
        <w:rPr>
          <w:rFonts w:ascii="仿宋_GB2312" w:hAnsi="Arial" w:eastAsia="仿宋_GB2312" w:cs="Arial"/>
          <w:spacing w:val="-6"/>
          <w:sz w:val="28"/>
          <w:szCs w:val="28"/>
        </w:rPr>
        <w:t>有关安全法律法规，配合有关部门对违反有关安全法律法规的行为进行查处，并承担相应的管理责任</w:t>
      </w:r>
      <w:r>
        <w:rPr>
          <w:rFonts w:hint="eastAsia" w:ascii="仿宋_GB2312" w:hAnsi="Arial" w:eastAsia="仿宋_GB2312" w:cs="Arial"/>
          <w:spacing w:val="-6"/>
          <w:sz w:val="28"/>
          <w:szCs w:val="28"/>
        </w:rPr>
        <w:t>。</w:t>
      </w:r>
      <w:r>
        <w:rPr>
          <w:rFonts w:ascii="仿宋_GB2312" w:hAnsi="Arial" w:eastAsia="仿宋_GB2312" w:cs="Arial"/>
          <w:spacing w:val="-6"/>
          <w:sz w:val="28"/>
          <w:szCs w:val="28"/>
        </w:rPr>
        <w:t>依法对本</w:t>
      </w:r>
      <w:r>
        <w:rPr>
          <w:rFonts w:hint="eastAsia" w:ascii="仿宋_GB2312" w:hAnsi="Arial" w:eastAsia="仿宋_GB2312" w:cs="Arial"/>
          <w:spacing w:val="-6"/>
          <w:sz w:val="28"/>
          <w:szCs w:val="28"/>
        </w:rPr>
        <w:t>区</w:t>
      </w:r>
      <w:r>
        <w:rPr>
          <w:rFonts w:ascii="仿宋_GB2312" w:hAnsi="Arial" w:eastAsia="仿宋_GB2312" w:cs="Arial"/>
          <w:spacing w:val="-6"/>
          <w:sz w:val="28"/>
          <w:szCs w:val="28"/>
        </w:rPr>
        <w:t>成品油流通等方面的安全工作承担相应的管理责任。</w:t>
      </w:r>
      <w:r>
        <w:rPr>
          <w:rFonts w:hint="eastAsia" w:ascii="仿宋_GB2312" w:hAnsi="Arial" w:eastAsia="仿宋_GB2312" w:cs="Arial"/>
          <w:spacing w:val="-6"/>
          <w:sz w:val="28"/>
          <w:szCs w:val="28"/>
        </w:rPr>
        <w:t>13、管理</w:t>
      </w:r>
      <w:r>
        <w:rPr>
          <w:rFonts w:ascii="仿宋_GB2312" w:hAnsi="Arial" w:eastAsia="仿宋_GB2312" w:cs="Arial"/>
          <w:spacing w:val="-6"/>
          <w:sz w:val="28"/>
          <w:szCs w:val="28"/>
        </w:rPr>
        <w:t>区粮食管理服务中心。</w:t>
      </w:r>
      <w:r>
        <w:rPr>
          <w:rFonts w:hint="eastAsia" w:ascii="仿宋_GB2312" w:hAnsi="Arial" w:eastAsia="仿宋_GB2312" w:cs="Arial"/>
          <w:spacing w:val="-6"/>
          <w:sz w:val="28"/>
          <w:szCs w:val="28"/>
        </w:rPr>
        <w:t>14、</w:t>
      </w:r>
      <w:r>
        <w:rPr>
          <w:rFonts w:ascii="仿宋_GB2312" w:hAnsi="Arial" w:eastAsia="仿宋_GB2312" w:cs="Arial"/>
          <w:spacing w:val="-6"/>
          <w:sz w:val="28"/>
          <w:szCs w:val="28"/>
        </w:rPr>
        <w:t>承办</w:t>
      </w:r>
      <w:r>
        <w:rPr>
          <w:rFonts w:hint="eastAsia" w:ascii="仿宋_GB2312" w:hAnsi="Arial" w:eastAsia="仿宋_GB2312" w:cs="Arial"/>
          <w:spacing w:val="-6"/>
          <w:sz w:val="28"/>
          <w:szCs w:val="28"/>
        </w:rPr>
        <w:t>区</w:t>
      </w:r>
      <w:r>
        <w:rPr>
          <w:rFonts w:ascii="仿宋_GB2312" w:hAnsi="Arial" w:eastAsia="仿宋_GB2312" w:cs="Arial"/>
          <w:spacing w:val="-6"/>
          <w:sz w:val="28"/>
          <w:szCs w:val="28"/>
        </w:rPr>
        <w:t>委、区政府交办的其他事项。</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截至2020年末，行政编制31人，实有人数30人；事业编制5人，实有人数5人；退休人员17人。</w:t>
      </w:r>
    </w:p>
    <w:p>
      <w:pPr>
        <w:tabs>
          <w:tab w:val="center" w:pos="6979"/>
        </w:tabs>
        <w:spacing w:line="580" w:lineRule="exact"/>
        <w:ind w:firstLine="560" w:firstLineChars="200"/>
        <w:rPr>
          <w:rFonts w:ascii="黑体" w:eastAsia="黑体"/>
          <w:sz w:val="28"/>
          <w:szCs w:val="28"/>
        </w:rPr>
      </w:pPr>
      <w:r>
        <w:rPr>
          <w:rFonts w:hint="eastAsia" w:ascii="黑体" w:eastAsia="黑体"/>
          <w:sz w:val="28"/>
          <w:szCs w:val="28"/>
        </w:rPr>
        <w:t>二、收入支出决算总体情况说明</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2020年度收、</w:t>
      </w:r>
      <w:r>
        <w:rPr>
          <w:rFonts w:ascii="仿宋_GB2312" w:eastAsia="仿宋_GB2312"/>
          <w:sz w:val="28"/>
          <w:szCs w:val="28"/>
        </w:rPr>
        <w:t>支</w:t>
      </w:r>
      <w:r>
        <w:rPr>
          <w:rFonts w:hint="eastAsia" w:ascii="仿宋_GB2312" w:eastAsia="仿宋_GB2312"/>
          <w:sz w:val="28"/>
          <w:szCs w:val="28"/>
        </w:rPr>
        <w:t>总计13959.91万元，</w:t>
      </w:r>
      <w:r>
        <w:rPr>
          <w:rFonts w:ascii="仿宋_GB2312" w:eastAsia="仿宋_GB2312"/>
          <w:sz w:val="28"/>
          <w:szCs w:val="28"/>
        </w:rPr>
        <w:t>比上年增加</w:t>
      </w:r>
      <w:r>
        <w:rPr>
          <w:rFonts w:hint="eastAsia" w:ascii="仿宋_GB2312" w:eastAsia="仿宋_GB2312"/>
          <w:sz w:val="28"/>
          <w:szCs w:val="28"/>
        </w:rPr>
        <w:t>10473.54万元，增长300.41%。</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2020年度本年收入合计6789.56万元，</w:t>
      </w:r>
      <w:r>
        <w:rPr>
          <w:rFonts w:ascii="仿宋_GB2312" w:eastAsia="仿宋_GB2312"/>
          <w:sz w:val="28"/>
          <w:szCs w:val="28"/>
        </w:rPr>
        <w:t>比上年增加</w:t>
      </w:r>
      <w:r>
        <w:rPr>
          <w:rFonts w:hint="eastAsia" w:ascii="仿宋_GB2312" w:eastAsia="仿宋_GB2312"/>
          <w:sz w:val="28"/>
          <w:szCs w:val="28"/>
        </w:rPr>
        <w:t>3708.55万元，增长120.37%，其中：财政拨款收入6781.43万元，占收入合计的99.88%；上级补助收入0.0万元，占收入合计的0.0%；事业收入0万元，占收入合计的0%；经营收入0万元，占收入合计的0%；附属单位上缴收入0万元，占收入合计的0%；其他收入8.13万元，占收入合计的0.12%。</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2020年度本年支出合计13908.33万元，</w:t>
      </w:r>
      <w:r>
        <w:rPr>
          <w:rFonts w:ascii="仿宋_GB2312" w:eastAsia="仿宋_GB2312"/>
          <w:sz w:val="28"/>
          <w:szCs w:val="28"/>
        </w:rPr>
        <w:t>比上年增</w:t>
      </w:r>
      <w:r>
        <w:rPr>
          <w:rFonts w:hint="eastAsia" w:ascii="仿宋_GB2312" w:eastAsia="仿宋_GB2312"/>
          <w:sz w:val="28"/>
          <w:szCs w:val="28"/>
        </w:rPr>
        <w:t>加10462.11万元，增长303.58%，其中：基本支出1134.08万元，占支出合计的8.15%；项目支出12774.25万元，占支出合计的91.85%;上缴上级支出0万元，占支出合计的0%；经营支出0万元，占支出合计的0%；对附属单位补助支出0万元，占支出合计的0%。</w:t>
      </w:r>
    </w:p>
    <w:p>
      <w:pPr>
        <w:tabs>
          <w:tab w:val="center" w:pos="6979"/>
        </w:tabs>
        <w:spacing w:line="580" w:lineRule="exact"/>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、财政拨款</w:t>
      </w:r>
      <w:r>
        <w:rPr>
          <w:rFonts w:hint="eastAsia" w:ascii="黑体" w:eastAsia="黑体"/>
          <w:sz w:val="28"/>
          <w:szCs w:val="28"/>
        </w:rPr>
        <w:t>收入支出决算</w:t>
      </w:r>
      <w:r>
        <w:rPr>
          <w:rFonts w:ascii="黑体" w:eastAsia="黑体"/>
          <w:sz w:val="28"/>
          <w:szCs w:val="28"/>
        </w:rPr>
        <w:t>总体情况说明</w:t>
      </w:r>
    </w:p>
    <w:p>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2020年度财政拨款收、</w:t>
      </w:r>
      <w:r>
        <w:rPr>
          <w:rFonts w:ascii="仿宋_GB2312" w:eastAsia="仿宋_GB2312"/>
          <w:sz w:val="28"/>
          <w:szCs w:val="28"/>
        </w:rPr>
        <w:t>支</w:t>
      </w:r>
      <w:r>
        <w:rPr>
          <w:rFonts w:hint="eastAsia" w:ascii="仿宋_GB2312" w:eastAsia="仿宋_GB2312"/>
          <w:sz w:val="28"/>
          <w:szCs w:val="28"/>
        </w:rPr>
        <w:t>总计13929.44万元，比上年</w:t>
      </w:r>
      <w:r>
        <w:rPr>
          <w:rFonts w:ascii="仿宋_GB2312" w:eastAsia="仿宋_GB2312"/>
          <w:sz w:val="28"/>
          <w:szCs w:val="28"/>
        </w:rPr>
        <w:t>增加</w:t>
      </w:r>
      <w:r>
        <w:rPr>
          <w:rFonts w:hint="eastAsia" w:ascii="仿宋_GB2312" w:eastAsia="仿宋_GB2312"/>
          <w:sz w:val="28"/>
          <w:szCs w:val="28"/>
        </w:rPr>
        <w:t>10475.28万元，增长303.27%。主要原因：</w:t>
      </w:r>
      <w:r>
        <w:rPr>
          <w:rFonts w:hint="eastAsia" w:ascii="仿宋_GB2312" w:hAnsi="仿宋" w:eastAsia="仿宋_GB2312" w:cs="仿宋"/>
          <w:color w:val="000000"/>
          <w:sz w:val="28"/>
          <w:szCs w:val="32"/>
          <w:lang w:eastAsia="zh-CN"/>
        </w:rPr>
        <w:t>应对新冠肺炎疫情部门预算增加</w:t>
      </w:r>
      <w:r>
        <w:rPr>
          <w:rFonts w:hint="eastAsia" w:ascii="仿宋_GB2312" w:hAnsi="仿宋" w:eastAsia="仿宋_GB2312" w:cs="仿宋"/>
          <w:color w:val="000000"/>
          <w:sz w:val="28"/>
          <w:szCs w:val="32"/>
        </w:rPr>
        <w:t>，丰财经内指[2020]216号-疫情期间生活必需品区级储备经费追加870.96万元，丰财经内指[2020]2796号-丰台区应对新冠肺炎疫情支持商务服务业企业发展项目经费追加2290万元，丰财经内指[2020]1761号-丰台区汽车购车补贴经费</w:t>
      </w:r>
      <w:r>
        <w:rPr>
          <w:rFonts w:hint="eastAsia" w:ascii="仿宋_GB2312" w:hAnsi="仿宋" w:eastAsia="仿宋_GB2312" w:cs="仿宋"/>
          <w:color w:val="000000"/>
          <w:sz w:val="28"/>
          <w:szCs w:val="32"/>
          <w:lang w:eastAsia="zh-CN"/>
        </w:rPr>
        <w:t>追加</w:t>
      </w:r>
      <w:r>
        <w:rPr>
          <w:rFonts w:hint="eastAsia" w:ascii="仿宋_GB2312" w:hAnsi="仿宋" w:eastAsia="仿宋_GB2312" w:cs="仿宋"/>
          <w:color w:val="000000"/>
          <w:sz w:val="28"/>
          <w:szCs w:val="32"/>
        </w:rPr>
        <w:t>975万元，丰财经内暂存指[2020]942、996、1317、1613号-北京消费券区级经费、北京消费券第二、三、四批区级经费追加7087.35万元。</w:t>
      </w:r>
    </w:p>
    <w:p>
      <w:pPr>
        <w:tabs>
          <w:tab w:val="center" w:pos="6979"/>
        </w:tabs>
        <w:spacing w:line="580" w:lineRule="exact"/>
        <w:ind w:firstLine="560" w:firstLineChars="200"/>
        <w:rPr>
          <w:rFonts w:ascii="黑体" w:eastAsia="黑体"/>
          <w:sz w:val="28"/>
          <w:szCs w:val="28"/>
        </w:rPr>
      </w:pPr>
      <w:r>
        <w:rPr>
          <w:rFonts w:hint="eastAsia" w:ascii="黑体" w:eastAsia="黑体"/>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一般公共预算财政拨款支出11609.93万元，主要用于以下方面（按大类）：一般公共服务支出4830.23万元，占本年财政拨款支出41.6%；教育支出3.8万元，占本年财政拨款支出0.03%；社会保障和就业支出103.85万元，占本年财政拨款支出0.89%；商业服务业等支出6425.81万元，占本年财政拨款支出55.35%；住房保障支出173.51万元，占本年财政拨款支出1.</w:t>
      </w:r>
      <w:r>
        <w:rPr>
          <w:rFonts w:hint="eastAsia" w:ascii="仿宋_GB2312" w:eastAsia="仿宋_GB2312"/>
          <w:sz w:val="28"/>
          <w:szCs w:val="28"/>
          <w:lang w:val="en-US" w:eastAsia="zh-CN"/>
        </w:rPr>
        <w:t>50</w:t>
      </w:r>
      <w:r>
        <w:rPr>
          <w:rFonts w:hint="eastAsia" w:ascii="仿宋_GB2312" w:eastAsia="仿宋_GB2312"/>
          <w:sz w:val="28"/>
          <w:szCs w:val="28"/>
        </w:rPr>
        <w:t>%；灾害防治及应急管理支出72.73万元，占本年财政拨款支出0.63%；。</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1、“一般公共服务支出”2020年度决算4830.2</w:t>
      </w:r>
      <w:r>
        <w:rPr>
          <w:rFonts w:hint="eastAsia" w:ascii="仿宋_GB2312" w:eastAsia="仿宋_GB2312"/>
          <w:sz w:val="28"/>
          <w:szCs w:val="28"/>
          <w:lang w:val="en-US" w:eastAsia="zh-CN"/>
        </w:rPr>
        <w:t>3</w:t>
      </w:r>
      <w:r>
        <w:rPr>
          <w:rFonts w:hint="eastAsia" w:ascii="仿宋_GB2312" w:eastAsia="仿宋_GB2312"/>
          <w:sz w:val="28"/>
          <w:szCs w:val="28"/>
        </w:rPr>
        <w:t>万元，比2020年年初预算增加</w:t>
      </w:r>
      <w:r>
        <w:rPr>
          <w:rFonts w:hint="eastAsia" w:ascii="仿宋_GB2312" w:eastAsia="仿宋_GB2312"/>
          <w:sz w:val="28"/>
          <w:szCs w:val="28"/>
          <w:lang w:val="en-US" w:eastAsia="zh-CN"/>
        </w:rPr>
        <w:t>2500.83</w:t>
      </w:r>
      <w:r>
        <w:rPr>
          <w:rFonts w:hint="eastAsia" w:ascii="仿宋_GB2312" w:eastAsia="仿宋_GB2312"/>
          <w:sz w:val="28"/>
          <w:szCs w:val="28"/>
        </w:rPr>
        <w:t>万元，增长</w:t>
      </w:r>
      <w:r>
        <w:rPr>
          <w:rFonts w:hint="eastAsia" w:ascii="仿宋_GB2312" w:eastAsia="仿宋_GB2312"/>
          <w:sz w:val="28"/>
          <w:szCs w:val="28"/>
          <w:lang w:val="en-US" w:eastAsia="zh-CN"/>
        </w:rPr>
        <w:t>107.36</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highlight w:val="yellow"/>
        </w:rPr>
      </w:pPr>
      <w:r>
        <w:rPr>
          <w:rFonts w:hint="eastAsia" w:ascii="仿宋_GB2312" w:eastAsia="仿宋_GB2312"/>
          <w:sz w:val="28"/>
          <w:szCs w:val="28"/>
          <w:highlight w:val="none"/>
        </w:rPr>
        <w:t>“商贸事务”2020年度决算4821.55万元，比2020年年初预算增加2492.14万元，增长106.99%。主要原因：</w:t>
      </w:r>
      <w:r>
        <w:rPr>
          <w:rFonts w:hint="eastAsia" w:ascii="仿宋_GB2312" w:hAnsi="仿宋" w:eastAsia="仿宋_GB2312" w:cs="仿宋"/>
          <w:color w:val="000000"/>
          <w:sz w:val="28"/>
          <w:szCs w:val="32"/>
          <w:highlight w:val="none"/>
        </w:rPr>
        <w:t>丰财经内暂存指[2020]942号追加北京消费券区级经费</w:t>
      </w:r>
      <w:r>
        <w:rPr>
          <w:rFonts w:hint="eastAsia" w:ascii="仿宋_GB2312" w:eastAsia="仿宋_GB2312"/>
          <w:sz w:val="28"/>
          <w:szCs w:val="28"/>
          <w:highlight w:val="none"/>
        </w:rPr>
        <w:t>。</w:t>
      </w:r>
    </w:p>
    <w:p>
      <w:pPr>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“组织事务”2020年度决算</w:t>
      </w:r>
      <w:r>
        <w:rPr>
          <w:rFonts w:hint="eastAsia" w:ascii="仿宋_GB2312" w:eastAsia="仿宋_GB2312"/>
          <w:sz w:val="28"/>
          <w:szCs w:val="28"/>
          <w:highlight w:val="none"/>
          <w:lang w:val="en-US" w:eastAsia="zh-CN"/>
        </w:rPr>
        <w:t>8.68</w:t>
      </w:r>
      <w:r>
        <w:rPr>
          <w:rFonts w:hint="eastAsia" w:ascii="仿宋_GB2312" w:eastAsia="仿宋_GB2312"/>
          <w:sz w:val="28"/>
          <w:szCs w:val="28"/>
          <w:highlight w:val="none"/>
        </w:rPr>
        <w:t>万元，比2020年年初预算</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lang w:val="en-US" w:eastAsia="zh-CN"/>
        </w:rPr>
        <w:t>8.68</w:t>
      </w:r>
      <w:r>
        <w:rPr>
          <w:rFonts w:hint="eastAsia" w:ascii="仿宋_GB2312" w:eastAsia="仿宋_GB2312"/>
          <w:sz w:val="28"/>
          <w:szCs w:val="28"/>
          <w:highlight w:val="none"/>
        </w:rPr>
        <w:t>万元。主要原因：</w:t>
      </w:r>
      <w:r>
        <w:rPr>
          <w:rFonts w:hint="eastAsia" w:ascii="仿宋_GB2312" w:eastAsia="仿宋_GB2312"/>
          <w:sz w:val="28"/>
          <w:szCs w:val="28"/>
          <w:highlight w:val="none"/>
          <w:lang w:eastAsia="zh-CN"/>
        </w:rPr>
        <w:t>应对新冠肺炎疫情，增加派驻新发地工作人员住宿经费。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2、“教育支出”2020年度决算3.8万元，比2020年年初预算减少9.5万元，下降71.4</w:t>
      </w:r>
      <w:r>
        <w:rPr>
          <w:rFonts w:hint="eastAsia" w:ascii="仿宋_GB2312" w:eastAsia="仿宋_GB2312"/>
          <w:sz w:val="28"/>
          <w:szCs w:val="28"/>
          <w:lang w:val="en-US" w:eastAsia="zh-CN"/>
        </w:rPr>
        <w:t>3</w:t>
      </w:r>
      <w:r>
        <w:rPr>
          <w:rFonts w:hint="eastAsia" w:ascii="仿宋_GB2312" w:eastAsia="仿宋_GB2312"/>
          <w:sz w:val="28"/>
          <w:szCs w:val="28"/>
        </w:rPr>
        <w:t>%。其中：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“进修及培训”2020年度决算3.8万元，比2020年年初预算减少9.5万元，下降71.4</w:t>
      </w:r>
      <w:r>
        <w:rPr>
          <w:rFonts w:hint="eastAsia" w:ascii="仿宋_GB2312" w:eastAsia="仿宋_GB2312"/>
          <w:sz w:val="28"/>
          <w:szCs w:val="28"/>
          <w:lang w:val="en-US" w:eastAsia="zh-CN"/>
        </w:rPr>
        <w:t>3</w:t>
      </w:r>
      <w:r>
        <w:rPr>
          <w:rFonts w:hint="eastAsia" w:ascii="仿宋_GB2312" w:eastAsia="仿宋_GB2312"/>
          <w:sz w:val="28"/>
          <w:szCs w:val="28"/>
        </w:rPr>
        <w:t>%。主要原因：</w:t>
      </w:r>
      <w:r>
        <w:rPr>
          <w:rFonts w:hint="eastAsia" w:ascii="仿宋_GB2312" w:hAnsi="仿宋" w:eastAsia="仿宋_GB2312" w:cs="仿宋"/>
          <w:color w:val="000000"/>
          <w:sz w:val="28"/>
          <w:szCs w:val="32"/>
          <w:lang w:eastAsia="zh-CN"/>
        </w:rPr>
        <w:t>新冠肺炎疫情</w:t>
      </w:r>
      <w:r>
        <w:rPr>
          <w:rFonts w:hint="eastAsia" w:ascii="仿宋_GB2312" w:eastAsia="仿宋_GB2312"/>
          <w:sz w:val="28"/>
          <w:szCs w:val="28"/>
          <w:lang w:eastAsia="zh-CN"/>
        </w:rPr>
        <w:t>线下培训暂停，</w:t>
      </w:r>
      <w:r>
        <w:rPr>
          <w:rFonts w:hint="eastAsia" w:ascii="仿宋_GB2312" w:eastAsia="仿宋_GB2312"/>
          <w:sz w:val="28"/>
          <w:szCs w:val="28"/>
        </w:rPr>
        <w:t>培训支出</w:t>
      </w:r>
      <w:r>
        <w:rPr>
          <w:rFonts w:hint="eastAsia" w:ascii="仿宋_GB2312" w:eastAsia="仿宋_GB2312"/>
          <w:sz w:val="28"/>
          <w:szCs w:val="28"/>
          <w:lang w:eastAsia="zh-CN"/>
        </w:rPr>
        <w:t>减少</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3、“社会保障和就业支出”2020年度决算103.85万元，比2020年年初预算减少5.2</w:t>
      </w:r>
      <w:r>
        <w:rPr>
          <w:rFonts w:hint="eastAsia" w:ascii="仿宋_GB2312" w:eastAsia="仿宋_GB2312"/>
          <w:sz w:val="28"/>
          <w:szCs w:val="28"/>
          <w:lang w:val="en-US" w:eastAsia="zh-CN"/>
        </w:rPr>
        <w:t>2</w:t>
      </w:r>
      <w:r>
        <w:rPr>
          <w:rFonts w:hint="eastAsia" w:ascii="仿宋_GB2312" w:eastAsia="仿宋_GB2312"/>
          <w:sz w:val="28"/>
          <w:szCs w:val="28"/>
        </w:rPr>
        <w:t>万元，下降4.7</w:t>
      </w:r>
      <w:r>
        <w:rPr>
          <w:rFonts w:hint="eastAsia" w:ascii="仿宋_GB2312" w:eastAsia="仿宋_GB2312"/>
          <w:sz w:val="28"/>
          <w:szCs w:val="28"/>
          <w:lang w:val="en-US" w:eastAsia="zh-CN"/>
        </w:rPr>
        <w:t>9</w:t>
      </w:r>
      <w:r>
        <w:rPr>
          <w:rFonts w:hint="eastAsia" w:ascii="仿宋_GB2312" w:eastAsia="仿宋_GB2312"/>
          <w:sz w:val="28"/>
          <w:szCs w:val="28"/>
        </w:rPr>
        <w:t>%。其中：</w:t>
      </w:r>
    </w:p>
    <w:p>
      <w:pPr>
        <w:autoSpaceDE w:val="0"/>
        <w:autoSpaceDN w:val="0"/>
        <w:adjustRightInd w:val="0"/>
        <w:spacing w:line="580" w:lineRule="exact"/>
        <w:ind w:firstLine="560" w:firstLineChars="200"/>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“行政事业单位养老支出”2020年度决算103.85万元，比2020年年初预算减少5.2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万元，下降4.7</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%。主要原因：</w:t>
      </w:r>
      <w:r>
        <w:rPr>
          <w:rFonts w:hint="eastAsia" w:ascii="仿宋_GB2312" w:eastAsia="仿宋_GB2312"/>
          <w:sz w:val="28"/>
          <w:szCs w:val="28"/>
          <w:highlight w:val="none"/>
          <w:lang w:val="en-US" w:eastAsia="zh-CN"/>
        </w:rPr>
        <w:t>受新冠肺炎疫情影响，2020年2月至6月医保单位缴费部分减半征收。</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highlight w:val="none"/>
          <w:lang w:val="en-US" w:eastAsia="zh-CN"/>
        </w:rPr>
        <w:t>4、</w:t>
      </w:r>
      <w:r>
        <w:rPr>
          <w:rFonts w:hint="eastAsia" w:ascii="仿宋_GB2312" w:eastAsia="仿宋_GB2312"/>
          <w:sz w:val="28"/>
          <w:szCs w:val="28"/>
        </w:rPr>
        <w:t>“商业服务业等支出”2020年度决算6425.81万元，比2020年年初预算增加6425.81万元。其中：</w:t>
      </w:r>
    </w:p>
    <w:p>
      <w:pPr>
        <w:autoSpaceDE w:val="0"/>
        <w:autoSpaceDN w:val="0"/>
        <w:adjustRightInd w:val="0"/>
        <w:spacing w:line="580" w:lineRule="exact"/>
        <w:ind w:firstLine="560" w:firstLineChars="200"/>
        <w:jc w:val="left"/>
        <w:rPr>
          <w:rFonts w:ascii="仿宋_GB2312" w:eastAsia="仿宋_GB2312"/>
          <w:color w:val="0000FF"/>
          <w:sz w:val="28"/>
          <w:szCs w:val="28"/>
        </w:rPr>
      </w:pPr>
      <w:r>
        <w:rPr>
          <w:rFonts w:hint="eastAsia" w:ascii="仿宋_GB2312" w:eastAsia="仿宋_GB2312"/>
          <w:sz w:val="28"/>
          <w:szCs w:val="28"/>
        </w:rPr>
        <w:t>“商业流通事务”2020年度决算6425.81万元，比2020年年初预算增加6425.81万元。主要原因：</w:t>
      </w:r>
      <w:r>
        <w:rPr>
          <w:rFonts w:hint="eastAsia" w:ascii="仿宋_GB2312" w:hAnsi="仿宋" w:eastAsia="仿宋_GB2312" w:cs="仿宋"/>
          <w:color w:val="000000"/>
          <w:sz w:val="28"/>
          <w:szCs w:val="32"/>
          <w:lang w:eastAsia="zh-CN"/>
        </w:rPr>
        <w:t>应对新冠肺炎疫情相关预算增加</w:t>
      </w:r>
      <w:r>
        <w:rPr>
          <w:rFonts w:hint="eastAsia" w:ascii="仿宋_GB2312" w:hAnsi="仿宋" w:eastAsia="仿宋_GB2312" w:cs="仿宋"/>
          <w:color w:val="000000"/>
          <w:sz w:val="28"/>
          <w:szCs w:val="32"/>
        </w:rPr>
        <w:t>，丰财经内指[2020]216号追加疫情期间生活必需品区级储备经费，丰财经内指[2020]1761号追加丰台区汽车购车补贴经费，丰财经内暂存指[2020] 996、1317、1613号追加北京消费券第二、三、四批区级经费</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5、“住房保障支出”2020年度决算173.51万元，比2020年年初预算增加11.42万元，增长7.05%。其中：</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“住房改革支出”2020年度决算173.51万元，比2020年年初预算增加11.42万元，增长7.05%。主要原因：</w:t>
      </w:r>
      <w:r>
        <w:rPr>
          <w:rFonts w:hint="eastAsia" w:ascii="仿宋_GB2312" w:eastAsia="仿宋_GB2312"/>
          <w:sz w:val="28"/>
          <w:szCs w:val="28"/>
          <w:lang w:eastAsia="zh-CN"/>
        </w:rPr>
        <w:t>人员增加，住房补贴增加</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6、“灾害防治及应急管理支出”2020年度决算72.73万元，比2020年年初预算减少2.11万元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2.82%</w:t>
      </w:r>
      <w:r>
        <w:rPr>
          <w:rFonts w:hint="eastAsia" w:ascii="仿宋_GB2312" w:eastAsia="仿宋_GB2312"/>
          <w:sz w:val="28"/>
          <w:szCs w:val="28"/>
        </w:rPr>
        <w:t>。其中：</w:t>
      </w:r>
    </w:p>
    <w:p>
      <w:pPr>
        <w:autoSpaceDE w:val="0"/>
        <w:autoSpaceDN w:val="0"/>
        <w:adjustRightInd w:val="0"/>
        <w:spacing w:line="580" w:lineRule="exact"/>
        <w:ind w:firstLine="560" w:firstLineChars="200"/>
        <w:jc w:val="left"/>
        <w:rPr>
          <w:rFonts w:ascii="仿宋_GB2312" w:eastAsia="仿宋_GB2312"/>
          <w:color w:val="0000FF"/>
          <w:sz w:val="28"/>
          <w:szCs w:val="28"/>
        </w:rPr>
      </w:pPr>
      <w:r>
        <w:rPr>
          <w:rFonts w:hint="eastAsia" w:ascii="仿宋_GB2312" w:eastAsia="仿宋_GB2312"/>
          <w:sz w:val="28"/>
          <w:szCs w:val="28"/>
        </w:rPr>
        <w:t>“应急管理事务”2020年度决算72.73万元，比2020年年初预算减少2.11万元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2.82%</w:t>
      </w:r>
      <w:r>
        <w:rPr>
          <w:rFonts w:hint="eastAsia" w:ascii="仿宋_GB2312" w:eastAsia="仿宋_GB2312"/>
          <w:sz w:val="28"/>
          <w:szCs w:val="28"/>
        </w:rPr>
        <w:t>。主要原因：</w:t>
      </w:r>
      <w:r>
        <w:rPr>
          <w:rFonts w:hint="eastAsia" w:ascii="仿宋_GB2312" w:eastAsia="仿宋_GB2312"/>
          <w:sz w:val="28"/>
          <w:szCs w:val="28"/>
          <w:lang w:eastAsia="zh-CN"/>
        </w:rPr>
        <w:t>专职安全员经费调整</w:t>
      </w:r>
      <w:r>
        <w:rPr>
          <w:rFonts w:hint="eastAsia" w:ascii="仿宋_GB2312" w:eastAsia="仿宋_GB2312"/>
          <w:sz w:val="28"/>
          <w:szCs w:val="28"/>
        </w:rPr>
        <w:t>。</w:t>
      </w:r>
    </w:p>
    <w:p>
      <w:pPr>
        <w:spacing w:line="560" w:lineRule="exact"/>
        <w:ind w:firstLine="560" w:firstLineChars="200"/>
        <w:rPr>
          <w:rFonts w:ascii="黑体" w:eastAsia="黑体"/>
          <w:sz w:val="28"/>
          <w:szCs w:val="28"/>
        </w:rPr>
      </w:pPr>
      <w:r>
        <w:rPr>
          <w:rFonts w:hint="eastAsia" w:ascii="黑体" w:eastAsia="黑体"/>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2020年度政府性基金预算财政拨款支出2290万元，主要用于抗疫特别国债安排的支出2290万元，占本年财政拨款支出100%。</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“抗疫特别国债安排的支出” 2020年度决算2290万元，比2020年年初预算增加2290万元。其中：“抗疫相关支出”2020年度决算2290万元，比2020年年初预算增加2290万元。主要原因：增加抗疫相关支出支持商务服务企业以减免企业房租补贴、援企稳岗补贴和其他抗疫相关支出。</w:t>
      </w:r>
    </w:p>
    <w:p>
      <w:pPr>
        <w:spacing w:line="560" w:lineRule="exact"/>
        <w:ind w:firstLine="560" w:firstLineChars="200"/>
        <w:rPr>
          <w:rFonts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收支情况说明</w:t>
      </w:r>
    </w:p>
    <w:p>
      <w:pPr>
        <w:ind w:firstLine="560" w:firstLineChars="200"/>
        <w:rPr>
          <w:rFonts w:hint="eastAsia" w:ascii="仿宋_GB2312" w:eastAsia="仿宋_GB2312"/>
          <w:sz w:val="28"/>
          <w:szCs w:val="28"/>
          <w:lang w:eastAsia="zh-CN"/>
        </w:rPr>
      </w:pPr>
      <w:r>
        <w:rPr>
          <w:rFonts w:hint="eastAsia" w:ascii="仿宋_GB2312" w:eastAsia="仿宋_GB2312"/>
          <w:sz w:val="28"/>
          <w:szCs w:val="28"/>
        </w:rPr>
        <w:t>我单位本年度无此项支出</w:t>
      </w:r>
      <w:r>
        <w:rPr>
          <w:rFonts w:hint="eastAsia" w:ascii="仿宋_GB2312" w:eastAsia="仿宋_GB2312"/>
          <w:sz w:val="28"/>
          <w:szCs w:val="28"/>
          <w:lang w:eastAsia="zh-CN"/>
        </w:rPr>
        <w:t>。</w:t>
      </w:r>
    </w:p>
    <w:p>
      <w:pPr>
        <w:spacing w:line="580" w:lineRule="exact"/>
        <w:ind w:firstLine="560" w:firstLineChars="200"/>
        <w:rPr>
          <w:rFonts w:ascii="黑体" w:eastAsia="黑体"/>
          <w:sz w:val="28"/>
          <w:szCs w:val="28"/>
        </w:rPr>
      </w:pPr>
      <w:r>
        <w:rPr>
          <w:rFonts w:hint="eastAsia" w:ascii="黑体" w:eastAsia="黑体"/>
          <w:sz w:val="28"/>
          <w:szCs w:val="28"/>
        </w:rPr>
        <w:t>七、财政拨款基本支出决算情况说明</w:t>
      </w:r>
    </w:p>
    <w:p>
      <w:pPr>
        <w:tabs>
          <w:tab w:val="center" w:pos="6979"/>
        </w:tabs>
        <w:spacing w:line="580" w:lineRule="exact"/>
        <w:ind w:firstLine="560" w:firstLineChars="200"/>
        <w:rPr>
          <w:rFonts w:ascii="仿宋_GB2312" w:eastAsia="仿宋_GB2312"/>
          <w:b/>
          <w:sz w:val="32"/>
          <w:szCs w:val="32"/>
        </w:rPr>
      </w:pPr>
      <w:r>
        <w:rPr>
          <w:rFonts w:hint="eastAsia" w:ascii="仿宋_GB2312" w:eastAsia="仿宋_GB2312"/>
          <w:sz w:val="28"/>
          <w:szCs w:val="28"/>
        </w:rPr>
        <w:t>2020年使用一般公共预算财政拨款安排基本支出1134.08万元，使用政府性基金财政拨款安排基本支出0.0万元，使用国有资本经营预算财政</w:t>
      </w:r>
      <w:r>
        <w:rPr>
          <w:rFonts w:ascii="仿宋_GB2312" w:eastAsia="仿宋_GB2312"/>
          <w:sz w:val="28"/>
          <w:szCs w:val="28"/>
        </w:rPr>
        <w:t>拨款</w:t>
      </w:r>
      <w:r>
        <w:rPr>
          <w:rFonts w:hint="eastAsia" w:ascii="仿宋_GB2312" w:eastAsia="仿宋_GB2312"/>
          <w:sz w:val="28"/>
          <w:szCs w:val="28"/>
        </w:rPr>
        <w:t>安排基本支出0.0万元，其中：（1）工资福利支出包括基本工资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r>
        <w:rPr>
          <w:rFonts w:ascii="仿宋_GB2312" w:eastAsia="仿宋_GB2312"/>
          <w:b/>
          <w:sz w:val="32"/>
          <w:szCs w:val="32"/>
        </w:rPr>
        <w:tab/>
      </w:r>
    </w:p>
    <w:p>
      <w:pPr>
        <w:pStyle w:val="2"/>
      </w:pPr>
    </w:p>
    <w:p>
      <w:pPr>
        <w:tabs>
          <w:tab w:val="center" w:pos="6979"/>
        </w:tabs>
        <w:spacing w:beforeLines="50"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w:t>
      </w:r>
      <w:r>
        <w:rPr>
          <w:rFonts w:hint="eastAsia" w:ascii="宋体" w:hAnsi="宋体" w:cs="宋体"/>
          <w:b/>
          <w:bCs/>
          <w:spacing w:val="40"/>
          <w:kern w:val="0"/>
          <w:sz w:val="32"/>
          <w:szCs w:val="32"/>
          <w:lang w:eastAsia="zh-CN"/>
        </w:rPr>
        <w:t>二</w:t>
      </w:r>
      <w:r>
        <w:rPr>
          <w:rFonts w:hint="eastAsia" w:ascii="宋体" w:hAnsi="宋体" w:cs="宋体"/>
          <w:b/>
          <w:bCs/>
          <w:spacing w:val="40"/>
          <w:kern w:val="0"/>
          <w:sz w:val="32"/>
          <w:szCs w:val="32"/>
        </w:rPr>
        <w:t>部分2020年度其他重要事项的情况说明</w:t>
      </w:r>
    </w:p>
    <w:p>
      <w:pPr>
        <w:spacing w:line="560" w:lineRule="exact"/>
        <w:ind w:firstLine="420" w:firstLineChars="15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 xml:space="preserve"> “三公”经费包括本部门所属1个行政单位、1</w:t>
      </w:r>
      <w:r>
        <w:rPr>
          <w:rFonts w:hint="eastAsia" w:ascii="仿宋_GB2312" w:eastAsia="仿宋_GB2312"/>
          <w:bCs/>
          <w:sz w:val="28"/>
          <w:szCs w:val="28"/>
        </w:rPr>
        <w:t>个</w:t>
      </w:r>
      <w:r>
        <w:rPr>
          <w:rFonts w:hint="eastAsia" w:ascii="仿宋_GB2312" w:eastAsia="仿宋_GB2312"/>
          <w:bCs/>
          <w:sz w:val="28"/>
          <w:szCs w:val="28"/>
          <w:lang w:eastAsia="zh-CN"/>
        </w:rPr>
        <w:t>公益一类</w:t>
      </w:r>
      <w:r>
        <w:rPr>
          <w:rFonts w:hint="eastAsia" w:ascii="仿宋_GB2312" w:eastAsia="仿宋_GB2312"/>
          <w:sz w:val="28"/>
          <w:szCs w:val="28"/>
        </w:rPr>
        <w:t>事业单位。2020年“三公”经费财政拨款决算数0万元，比2020年“三公”经费财政拨款年初预算</w:t>
      </w:r>
      <w:r>
        <w:rPr>
          <w:rFonts w:hint="eastAsia" w:ascii="仿宋_GB2312" w:eastAsia="仿宋_GB2312"/>
          <w:sz w:val="28"/>
          <w:szCs w:val="28"/>
          <w:lang w:val="en-US" w:eastAsia="zh-CN"/>
        </w:rPr>
        <w:t>0.31</w:t>
      </w:r>
      <w:r>
        <w:rPr>
          <w:rFonts w:hint="eastAsia" w:ascii="仿宋_GB2312" w:eastAsia="仿宋_GB2312"/>
          <w:sz w:val="28"/>
          <w:szCs w:val="28"/>
        </w:rPr>
        <w:t>万元减少0.3</w:t>
      </w:r>
      <w:r>
        <w:rPr>
          <w:rFonts w:hint="eastAsia" w:ascii="仿宋_GB2312" w:eastAsia="仿宋_GB2312"/>
          <w:sz w:val="28"/>
          <w:szCs w:val="28"/>
          <w:lang w:val="en-US" w:eastAsia="zh-CN"/>
        </w:rPr>
        <w:t>1</w:t>
      </w:r>
      <w:r>
        <w:rPr>
          <w:rFonts w:hint="eastAsia" w:ascii="仿宋_GB2312" w:eastAsia="仿宋_GB2312"/>
          <w:sz w:val="28"/>
          <w:szCs w:val="28"/>
        </w:rPr>
        <w:t>万元。其中：</w:t>
      </w:r>
    </w:p>
    <w:p>
      <w:pPr>
        <w:numPr>
          <w:ilvl w:val="0"/>
          <w:numId w:val="0"/>
        </w:num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因公出国（境）费用。2020年决算数0.0万元，</w:t>
      </w:r>
      <w:r>
        <w:rPr>
          <w:rFonts w:hint="eastAsia" w:ascii="仿宋_GB2312" w:eastAsia="仿宋_GB2312"/>
          <w:sz w:val="28"/>
          <w:szCs w:val="28"/>
          <w:lang w:eastAsia="zh-CN"/>
        </w:rPr>
        <w:t>与</w:t>
      </w:r>
      <w:r>
        <w:rPr>
          <w:rFonts w:hint="eastAsia" w:ascii="仿宋_GB2312" w:eastAsia="仿宋_GB2312"/>
          <w:sz w:val="28"/>
          <w:szCs w:val="28"/>
        </w:rPr>
        <w:t>2020年年初预算数0.0万元</w:t>
      </w:r>
      <w:r>
        <w:rPr>
          <w:rFonts w:hint="eastAsia" w:ascii="仿宋_GB2312" w:eastAsia="仿宋_GB2312"/>
          <w:sz w:val="28"/>
          <w:szCs w:val="28"/>
          <w:lang w:eastAsia="zh-CN"/>
        </w:rPr>
        <w:t>持平</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2.公务接待费。2020年决算数0</w:t>
      </w:r>
      <w:r>
        <w:rPr>
          <w:rFonts w:hint="eastAsia" w:ascii="仿宋_GB2312" w:eastAsia="仿宋_GB2312"/>
          <w:sz w:val="28"/>
          <w:szCs w:val="28"/>
          <w:lang w:val="en-US" w:eastAsia="zh-CN"/>
        </w:rPr>
        <w:t>.0</w:t>
      </w:r>
      <w:r>
        <w:rPr>
          <w:rFonts w:hint="eastAsia" w:ascii="仿宋_GB2312" w:eastAsia="仿宋_GB2312"/>
          <w:sz w:val="28"/>
          <w:szCs w:val="28"/>
        </w:rPr>
        <w:t>万元，比2020年年初预算数0.3</w:t>
      </w:r>
      <w:r>
        <w:rPr>
          <w:rFonts w:hint="eastAsia" w:ascii="仿宋_GB2312" w:eastAsia="仿宋_GB2312"/>
          <w:sz w:val="28"/>
          <w:szCs w:val="28"/>
          <w:lang w:val="en-US" w:eastAsia="zh-CN"/>
        </w:rPr>
        <w:t>1</w:t>
      </w:r>
      <w:r>
        <w:rPr>
          <w:rFonts w:hint="eastAsia" w:ascii="仿宋_GB2312" w:eastAsia="仿宋_GB2312"/>
          <w:sz w:val="28"/>
          <w:szCs w:val="28"/>
        </w:rPr>
        <w:t>万元减少0.3</w:t>
      </w:r>
      <w:r>
        <w:rPr>
          <w:rFonts w:hint="eastAsia" w:ascii="仿宋_GB2312" w:eastAsia="仿宋_GB2312"/>
          <w:sz w:val="28"/>
          <w:szCs w:val="28"/>
          <w:lang w:val="en-US" w:eastAsia="zh-CN"/>
        </w:rPr>
        <w:t>1</w:t>
      </w:r>
      <w:r>
        <w:rPr>
          <w:rFonts w:hint="eastAsia" w:ascii="仿宋_GB2312" w:eastAsia="仿宋_GB2312"/>
          <w:sz w:val="28"/>
          <w:szCs w:val="28"/>
        </w:rPr>
        <w:t>万元。主要原因：精简</w:t>
      </w:r>
      <w:r>
        <w:rPr>
          <w:rFonts w:ascii="仿宋_GB2312" w:eastAsia="仿宋_GB2312"/>
          <w:sz w:val="28"/>
          <w:szCs w:val="28"/>
        </w:rPr>
        <w:t>公务接待支出</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3.公务用车购置及运行维护费。2020年决算数</w:t>
      </w:r>
      <w:r>
        <w:rPr>
          <w:rFonts w:ascii="仿宋_GB2312" w:eastAsia="仿宋_GB2312"/>
          <w:sz w:val="28"/>
          <w:szCs w:val="28"/>
        </w:rPr>
        <w:t>0.0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2020年年初预算数</w:t>
      </w:r>
      <w:r>
        <w:rPr>
          <w:rFonts w:ascii="仿宋_GB2312" w:eastAsia="仿宋_GB2312"/>
          <w:sz w:val="28"/>
          <w:szCs w:val="28"/>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。其中，公务用车购置费2020年决算数</w:t>
      </w:r>
      <w:r>
        <w:rPr>
          <w:rFonts w:ascii="仿宋_GB2312" w:eastAsia="仿宋_GB2312"/>
          <w:sz w:val="28"/>
          <w:szCs w:val="28"/>
        </w:rPr>
        <w:t>0.0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2020年年初预算数</w:t>
      </w:r>
      <w:r>
        <w:rPr>
          <w:rFonts w:ascii="仿宋_GB2312" w:eastAsia="仿宋_GB2312"/>
          <w:sz w:val="28"/>
          <w:szCs w:val="28"/>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。公务用车运行维护费2020年决算数</w:t>
      </w:r>
      <w:r>
        <w:rPr>
          <w:rFonts w:ascii="仿宋_GB2312" w:eastAsia="仿宋_GB2312"/>
          <w:sz w:val="28"/>
          <w:szCs w:val="28"/>
        </w:rPr>
        <w:t>0.0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2020年年初预算数</w:t>
      </w:r>
      <w:r>
        <w:rPr>
          <w:rFonts w:ascii="仿宋_GB2312" w:eastAsia="仿宋_GB2312"/>
          <w:sz w:val="28"/>
          <w:szCs w:val="28"/>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。2020年公务用车运行维护费中，公务用车加油</w:t>
      </w:r>
      <w:r>
        <w:rPr>
          <w:rFonts w:ascii="仿宋_GB2312" w:eastAsia="仿宋_GB2312"/>
          <w:sz w:val="28"/>
          <w:szCs w:val="28"/>
        </w:rPr>
        <w:t>0.0</w:t>
      </w:r>
      <w:r>
        <w:rPr>
          <w:rFonts w:hint="eastAsia" w:ascii="仿宋_GB2312" w:eastAsia="仿宋_GB2312"/>
          <w:sz w:val="28"/>
          <w:szCs w:val="28"/>
        </w:rPr>
        <w:t>万元，公务用车维修</w:t>
      </w:r>
      <w:r>
        <w:rPr>
          <w:rFonts w:ascii="仿宋_GB2312" w:eastAsia="仿宋_GB2312"/>
          <w:sz w:val="28"/>
          <w:szCs w:val="28"/>
        </w:rPr>
        <w:t>0.0</w:t>
      </w:r>
      <w:r>
        <w:rPr>
          <w:rFonts w:hint="eastAsia" w:ascii="仿宋_GB2312" w:eastAsia="仿宋_GB2312"/>
          <w:sz w:val="28"/>
          <w:szCs w:val="28"/>
        </w:rPr>
        <w:t>万元，公务用车保险</w:t>
      </w:r>
      <w:r>
        <w:rPr>
          <w:rFonts w:ascii="仿宋_GB2312" w:eastAsia="仿宋_GB2312"/>
          <w:sz w:val="28"/>
          <w:szCs w:val="28"/>
        </w:rPr>
        <w:t>0.0</w:t>
      </w:r>
      <w:r>
        <w:rPr>
          <w:rFonts w:hint="eastAsia" w:ascii="仿宋_GB2312" w:eastAsia="仿宋_GB2312"/>
          <w:sz w:val="28"/>
          <w:szCs w:val="28"/>
        </w:rPr>
        <w:t>万元，公务用车其他支出</w:t>
      </w:r>
      <w:r>
        <w:rPr>
          <w:rFonts w:ascii="仿宋_GB2312" w:eastAsia="仿宋_GB2312"/>
          <w:sz w:val="28"/>
          <w:szCs w:val="28"/>
        </w:rPr>
        <w:t>0.0</w:t>
      </w:r>
      <w:r>
        <w:rPr>
          <w:rFonts w:hint="eastAsia" w:ascii="仿宋_GB2312" w:eastAsia="仿宋_GB2312"/>
          <w:sz w:val="28"/>
          <w:szCs w:val="28"/>
        </w:rPr>
        <w:t>万元。2020年公务用车保有量</w:t>
      </w:r>
      <w:r>
        <w:rPr>
          <w:rFonts w:hint="eastAsia" w:ascii="仿宋_GB2312" w:eastAsia="仿宋_GB2312"/>
          <w:sz w:val="28"/>
          <w:szCs w:val="28"/>
          <w:lang w:val="en-US" w:eastAsia="zh-CN"/>
        </w:rPr>
        <w:t>1</w:t>
      </w:r>
      <w:r>
        <w:rPr>
          <w:rFonts w:hint="eastAsia" w:ascii="仿宋_GB2312" w:eastAsia="仿宋_GB2312"/>
          <w:sz w:val="28"/>
          <w:szCs w:val="28"/>
        </w:rPr>
        <w:t>辆，车均运行维护费0.0万元。</w:t>
      </w:r>
      <w:r>
        <w:rPr>
          <w:rFonts w:hint="eastAsia" w:ascii="仿宋_GB2312" w:eastAsia="仿宋_GB2312"/>
          <w:sz w:val="28"/>
          <w:szCs w:val="28"/>
          <w:lang w:eastAsia="zh-CN"/>
        </w:rPr>
        <w:t>运行维护费（公务用车加油、公务用车维修、公务用车保险和公务用车其他支出）均由丰台区机关事务管理服务中心支付。</w:t>
      </w:r>
    </w:p>
    <w:p>
      <w:pPr>
        <w:spacing w:line="560" w:lineRule="exact"/>
        <w:ind w:firstLine="560" w:firstLineChars="200"/>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highlight w:val="yellow"/>
        </w:rPr>
      </w:pPr>
      <w:r>
        <w:rPr>
          <w:rFonts w:hint="eastAsia" w:ascii="仿宋_GB2312" w:eastAsia="仿宋_GB2312"/>
          <w:sz w:val="28"/>
          <w:szCs w:val="28"/>
          <w:highlight w:val="none"/>
        </w:rPr>
        <w:t>2020年使用一般公共预算财政拨款安排的基本支出中的日常公用经费支出，合计68.74万元，比上年增加9.94万元，增加原因：</w:t>
      </w:r>
      <w:r>
        <w:rPr>
          <w:rFonts w:hint="eastAsia" w:ascii="仿宋_GB2312" w:hAnsi="仿宋" w:eastAsia="仿宋_GB2312" w:cs="仿宋"/>
          <w:color w:val="000000"/>
          <w:sz w:val="28"/>
          <w:szCs w:val="32"/>
          <w:highlight w:val="none"/>
          <w:lang w:eastAsia="zh-CN"/>
        </w:rPr>
        <w:t>应对新冠肺炎疫情</w:t>
      </w:r>
      <w:r>
        <w:rPr>
          <w:rFonts w:hint="eastAsia" w:ascii="仿宋_GB2312" w:eastAsia="仿宋_GB2312"/>
          <w:sz w:val="28"/>
          <w:szCs w:val="28"/>
          <w:highlight w:val="none"/>
        </w:rPr>
        <w:t>购买</w:t>
      </w:r>
      <w:r>
        <w:rPr>
          <w:rFonts w:hint="eastAsia" w:ascii="仿宋_GB2312" w:eastAsia="仿宋_GB2312"/>
          <w:sz w:val="28"/>
          <w:szCs w:val="28"/>
          <w:highlight w:val="none"/>
          <w:lang w:eastAsia="zh-CN"/>
        </w:rPr>
        <w:t>相关</w:t>
      </w:r>
      <w:r>
        <w:rPr>
          <w:rFonts w:hint="eastAsia" w:ascii="仿宋_GB2312" w:eastAsia="仿宋_GB2312"/>
          <w:sz w:val="28"/>
          <w:szCs w:val="28"/>
          <w:highlight w:val="none"/>
        </w:rPr>
        <w:t>抗疫物品。</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2020年政府采购支出总额33.30万元，其中：政府采购货物支出2.68万元，政府采购工程支出0万元，政府采购服务支出30.62万元。授予中小企业合同金额23.70万元，占政府采购支出总额的71.17%，其中：授予小微企业合同金额20.40万元，占政府采购支出总额的61.26%。</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highlight w:val="none"/>
        </w:rPr>
        <w:t>2020年</w:t>
      </w:r>
      <w:r>
        <w:rPr>
          <w:rFonts w:hint="eastAsia" w:ascii="仿宋_GB2312" w:eastAsia="仿宋_GB2312"/>
          <w:sz w:val="28"/>
          <w:szCs w:val="28"/>
          <w:highlight w:val="none"/>
          <w:lang w:eastAsia="zh-CN"/>
        </w:rPr>
        <w:t>本部门</w:t>
      </w:r>
      <w:r>
        <w:rPr>
          <w:rFonts w:hint="eastAsia" w:ascii="仿宋_GB2312" w:eastAsia="仿宋_GB2312"/>
          <w:sz w:val="28"/>
          <w:szCs w:val="28"/>
          <w:highlight w:val="none"/>
        </w:rPr>
        <w:t>车辆</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台，</w:t>
      </w:r>
      <w:r>
        <w:rPr>
          <w:rFonts w:hint="eastAsia" w:ascii="仿宋_GB2312" w:eastAsia="仿宋_GB2312"/>
          <w:sz w:val="28"/>
          <w:szCs w:val="28"/>
          <w:highlight w:val="none"/>
          <w:lang w:val="en-US" w:eastAsia="zh-CN"/>
        </w:rPr>
        <w:t>0.00</w:t>
      </w:r>
      <w:r>
        <w:rPr>
          <w:rFonts w:hint="eastAsia" w:ascii="仿宋_GB2312" w:eastAsia="仿宋_GB2312"/>
          <w:sz w:val="28"/>
          <w:szCs w:val="28"/>
          <w:highlight w:val="none"/>
        </w:rPr>
        <w:t>万元</w:t>
      </w:r>
      <w:r>
        <w:rPr>
          <w:rFonts w:hint="eastAsia" w:ascii="仿宋_GB2312" w:eastAsia="仿宋_GB2312"/>
          <w:sz w:val="28"/>
          <w:szCs w:val="28"/>
        </w:rPr>
        <w:t>；单位价值50万元以上的通用设备0台（套），单位价值100万元以上的专用设备0台（套）。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lang w:val="en-US" w:eastAsia="zh-CN"/>
        </w:rPr>
      </w:pPr>
      <w:r>
        <w:rPr>
          <w:rFonts w:ascii="仿宋_GB2312" w:eastAsia="仿宋_GB2312"/>
          <w:sz w:val="28"/>
          <w:szCs w:val="28"/>
        </w:rPr>
        <w:t>2020年政府购买服务决算</w:t>
      </w:r>
      <w:r>
        <w:rPr>
          <w:rFonts w:hint="eastAsia" w:ascii="仿宋_GB2312" w:eastAsia="仿宋_GB2312"/>
          <w:sz w:val="28"/>
          <w:szCs w:val="28"/>
        </w:rPr>
        <w:t>2887.73万元。</w:t>
      </w:r>
      <w:r>
        <w:rPr>
          <w:rFonts w:hint="eastAsia" w:ascii="仿宋_GB2312" w:eastAsia="仿宋_GB2312"/>
          <w:sz w:val="28"/>
          <w:szCs w:val="28"/>
          <w:lang w:val="en-US" w:eastAsia="zh-CN"/>
        </w:rPr>
        <w:t xml:space="preserve"> </w:t>
      </w:r>
    </w:p>
    <w:p>
      <w:pPr>
        <w:ind w:firstLine="560" w:firstLineChars="200"/>
        <w:rPr>
          <w:rFonts w:ascii="仿宋_GB2312" w:eastAsia="仿宋_GB2312"/>
          <w:sz w:val="28"/>
          <w:szCs w:val="28"/>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ascii="仿宋_GB2312" w:eastAsia="仿宋_GB2312"/>
          <w:sz w:val="28"/>
          <w:szCs w:val="28"/>
        </w:rPr>
      </w:pPr>
      <w:r>
        <w:rPr>
          <w:rFonts w:hint="eastAsia" w:ascii="仿宋_GB2312" w:eastAsia="仿宋_GB2312"/>
          <w:sz w:val="28"/>
          <w:szCs w:val="28"/>
        </w:rPr>
        <w:t>5.国库集中收付: 指所有财政性资金纳入国库单一账户体系管理，收入直接缴入国库或财政专户，支出在支付行为发生时通过国库单一账户体系以直接支付和授权支付方式支付到收款人或用款单位的现代国库管理制度。</w:t>
      </w:r>
    </w:p>
    <w:p>
      <w:pPr>
        <w:ind w:firstLine="420" w:firstLineChars="150"/>
        <w:rPr>
          <w:rFonts w:ascii="仿宋_GB2312" w:eastAsia="仿宋_GB2312"/>
          <w:sz w:val="28"/>
          <w:szCs w:val="28"/>
        </w:rPr>
      </w:pPr>
      <w:r>
        <w:rPr>
          <w:rFonts w:hint="eastAsia" w:ascii="仿宋_GB2312" w:eastAsia="仿宋_GB2312"/>
          <w:sz w:val="28"/>
          <w:szCs w:val="28"/>
        </w:rPr>
        <w:t>6.一般公共预算：对以税收为主体的财政收入，安排用于保障和改善民生、推动经济社会发展、维护国家安全、维持国家机构正常运转等方面的收支预算。</w:t>
      </w:r>
    </w:p>
    <w:p>
      <w:pPr>
        <w:pStyle w:val="2"/>
      </w:pPr>
    </w:p>
    <w:p>
      <w:pPr>
        <w:tabs>
          <w:tab w:val="center" w:pos="6979"/>
        </w:tabs>
        <w:spacing w:beforeLines="50"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w:t>
      </w:r>
      <w:r>
        <w:rPr>
          <w:rFonts w:hint="eastAsia" w:ascii="宋体" w:hAnsi="宋体" w:cs="宋体"/>
          <w:b/>
          <w:bCs/>
          <w:spacing w:val="40"/>
          <w:kern w:val="0"/>
          <w:sz w:val="32"/>
          <w:szCs w:val="32"/>
          <w:lang w:eastAsia="zh-CN"/>
        </w:rPr>
        <w:t>三</w:t>
      </w:r>
      <w:r>
        <w:rPr>
          <w:rFonts w:hint="eastAsia" w:ascii="宋体" w:hAnsi="宋体" w:cs="宋体"/>
          <w:b/>
          <w:bCs/>
          <w:spacing w:val="40"/>
          <w:kern w:val="0"/>
          <w:sz w:val="32"/>
          <w:szCs w:val="32"/>
        </w:rPr>
        <w:t>部分  2020年度部门绩效评价情况</w:t>
      </w:r>
    </w:p>
    <w:p>
      <w:pPr>
        <w:ind w:firstLine="560" w:firstLineChars="200"/>
        <w:rPr>
          <w:rFonts w:ascii="黑体" w:eastAsia="黑体"/>
          <w:sz w:val="28"/>
          <w:szCs w:val="28"/>
        </w:rPr>
      </w:pPr>
      <w:r>
        <w:rPr>
          <w:rFonts w:hint="eastAsia" w:ascii="黑体" w:eastAsia="黑体"/>
          <w:sz w:val="28"/>
          <w:szCs w:val="28"/>
        </w:rPr>
        <w:t>一、绩效评价工作开展情况</w:t>
      </w:r>
    </w:p>
    <w:p>
      <w:pPr>
        <w:ind w:firstLine="560" w:firstLineChars="200"/>
        <w:rPr>
          <w:rFonts w:ascii="仿宋_GB2312" w:eastAsia="仿宋_GB2312"/>
          <w:sz w:val="32"/>
          <w:szCs w:val="32"/>
        </w:rPr>
      </w:pPr>
      <w:r>
        <w:rPr>
          <w:rFonts w:hint="eastAsia" w:ascii="仿宋_GB2312" w:eastAsia="仿宋_GB2312"/>
          <w:sz w:val="28"/>
          <w:szCs w:val="28"/>
        </w:rPr>
        <w:t>丰台区商务局对</w:t>
      </w:r>
      <w:r>
        <w:rPr>
          <w:rFonts w:ascii="仿宋_GB2312" w:eastAsia="仿宋_GB2312"/>
          <w:sz w:val="28"/>
          <w:szCs w:val="28"/>
        </w:rPr>
        <w:t>2020年</w:t>
      </w:r>
      <w:r>
        <w:rPr>
          <w:rFonts w:hint="eastAsia" w:ascii="仿宋_GB2312" w:eastAsia="仿宋_GB2312"/>
          <w:sz w:val="28"/>
          <w:szCs w:val="28"/>
        </w:rPr>
        <w:t>度部门项目支出实施绩效评价，评价项目38个，占部门项目总数的100%，涉及金额11011.22万元。评价结果：</w:t>
      </w:r>
      <w:r>
        <w:rPr>
          <w:rFonts w:hint="eastAsia" w:ascii="仿宋_GB2312" w:eastAsia="仿宋_GB2312"/>
          <w:sz w:val="32"/>
          <w:szCs w:val="32"/>
        </w:rPr>
        <w:t xml:space="preserve">评价得分在90（含）-100分的1个、评价得分在80（含）-90分的0个、评价得分在60（含）-80分的0个、评价得分在60分以下的0个。单位自评项目37个，涉及金额8412.11万元，评价得分在90（含）-100分的31个、评价得分在80（含）-90分的4个、评价得分在60（含）-80分的2个、评价得分在60分以下的0个。 </w:t>
      </w:r>
    </w:p>
    <w:p>
      <w:pPr>
        <w:ind w:firstLine="560" w:firstLineChars="200"/>
        <w:rPr>
          <w:rFonts w:ascii="黑体" w:eastAsia="黑体"/>
          <w:sz w:val="28"/>
          <w:szCs w:val="28"/>
        </w:rPr>
      </w:pPr>
      <w:r>
        <w:rPr>
          <w:rFonts w:hint="eastAsia" w:ascii="黑体" w:eastAsia="黑体"/>
          <w:sz w:val="28"/>
          <w:szCs w:val="28"/>
        </w:rPr>
        <w:t>二、项目绩效评价报告</w:t>
      </w:r>
    </w:p>
    <w:p>
      <w:pPr>
        <w:spacing w:line="560" w:lineRule="exact"/>
        <w:ind w:firstLine="640"/>
        <w:rPr>
          <w:rFonts w:ascii="仿宋_GB2312" w:hAnsi="黑体" w:eastAsia="仿宋_GB2312"/>
          <w:sz w:val="28"/>
          <w:szCs w:val="28"/>
        </w:rPr>
      </w:pPr>
      <w:r>
        <w:rPr>
          <w:rFonts w:hint="eastAsia" w:ascii="仿宋_GB2312" w:hAnsi="黑体" w:eastAsia="仿宋_GB2312"/>
          <w:sz w:val="28"/>
          <w:szCs w:val="28"/>
        </w:rPr>
        <w:t>（一）基本情况</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2020年5月20日北京市商务局《关于开展北京消费季活动的通知》提出，北京消费季将采取“政府搭台、企业唱戏、全民参与”的模式，市区联动，部门协同，通过线上线下全场景布局、全业态联动、全渠道共振，进一步释放消费潜力，全面激发数字消费、信息消费、文化消费、定制消费、体验消费、时尚消费、品牌消费、新品首发消费、品质家居家电消费和夜间消费热情，做到“周周有话题、月月有活动、季季掀高潮、年终见实效”，加速促进消费人气回暖、消费信心回升、消费市场回补，全力推动复商、复市、复产、复工，加快推进国际消费中心城市建设进程。电子消费券作为北京消费季重要板块之一，拟于6月6日起，分期分批面向在京消费者发放，包括专项消费券和智能产品消费券，面向低收入群体给予特殊消费补贴。</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根据《北京市财政局北京市商务局关于缴纳北京消费券6月至9月区级负担资金的通知》（京财经建〔2020〕2043号）要求，按照市委、市政府促进消费工作整体部署，北京市于6月6日起面向全体在京消费者发放消费券，所需财政资金由市、区共同负担，各区要于10月31日之前，将6月至9月消费券区级资金直接拨付到京东、小米、苏宁、国美4家平台公司账户，并将拨款凭证复印件上报市财政局。</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该项目实施主体为北京市丰台区商务局，项目实施管理部门为流通发展科。科室职责：负责消费促进工作，组织实施促进商品性消费和服务性消费发展的政策措施，监测消费市场运行情况。会同有关部门组织编制本区商品流通网点设施的布局规划。协调推进区级商业中心、特色商业街区、大型零售商业设施等重大项目建设。协调落实商务领域固定资产投资。负责促进电子商务发展，研究拟订促进本区电子商务发展的规划和政策措施并组织实施，推进电子商务领域合作与交流，促进跨境电子商务发展。协调物流园区的规划、建设和升级改造,推进物流配送的创新和发展,组织实施促进商贸物流发展的相关政策措施。</w:t>
      </w:r>
    </w:p>
    <w:p>
      <w:pPr>
        <w:spacing w:line="560" w:lineRule="exact"/>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项目资金及主要内容</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根据京财经建〔2020〕2043号文件要求，丰台区应缴纳北京消费券6月至9月区级负担资金2599.515868万元，具体为分别支付京东、小米、国美、苏宁平台消费券2030.489641万元、382.171613万元、48.076888万元和138.777726万元。4家平台消费券包括专项消费券和智能产品消费券。</w:t>
      </w:r>
    </w:p>
    <w:p>
      <w:pPr>
        <w:spacing w:line="560" w:lineRule="exact"/>
        <w:ind w:firstLine="640"/>
        <w:rPr>
          <w:rFonts w:ascii="仿宋_GB2312" w:hAnsi="黑体" w:eastAsia="仿宋_GB2312"/>
          <w:sz w:val="28"/>
          <w:szCs w:val="28"/>
        </w:rPr>
      </w:pPr>
      <w:r>
        <w:rPr>
          <w:rFonts w:hint="eastAsia" w:ascii="仿宋_GB2312" w:hAnsi="黑体" w:eastAsia="仿宋_GB2312"/>
          <w:sz w:val="28"/>
          <w:szCs w:val="28"/>
        </w:rPr>
        <w:tab/>
      </w:r>
      <w:r>
        <w:rPr>
          <w:rFonts w:hint="eastAsia" w:ascii="仿宋_GB2312" w:hAnsi="黑体" w:eastAsia="仿宋_GB2312"/>
          <w:sz w:val="28"/>
          <w:szCs w:val="28"/>
        </w:rPr>
        <w:t>（二）绩效评价工作开展情况</w:t>
      </w:r>
    </w:p>
    <w:p>
      <w:pPr>
        <w:spacing w:line="560" w:lineRule="exact"/>
        <w:ind w:firstLine="640"/>
        <w:rPr>
          <w:rFonts w:ascii="仿宋_GB2312" w:hAnsi="仿宋_GB2312" w:eastAsia="仿宋_GB2312" w:cs="仿宋_GB2312"/>
          <w:sz w:val="28"/>
          <w:szCs w:val="28"/>
        </w:rPr>
      </w:pPr>
      <w:r>
        <w:rPr>
          <w:rFonts w:hint="eastAsia" w:ascii="仿宋_GB2312" w:hAnsi="黑体" w:eastAsia="仿宋_GB2312"/>
          <w:sz w:val="28"/>
          <w:szCs w:val="28"/>
        </w:rPr>
        <w:t>运用科学、合理的绩效评价指标、评价标准和评价方法，对北京消费券区级资金项目绩效进行评价，以便于衡量我</w:t>
      </w:r>
      <w:r>
        <w:rPr>
          <w:rFonts w:hint="eastAsia" w:ascii="仿宋_GB2312" w:hAnsi="仿宋_GB2312" w:eastAsia="仿宋_GB2312" w:cs="仿宋_GB2312"/>
          <w:sz w:val="28"/>
          <w:szCs w:val="28"/>
        </w:rPr>
        <w:t>局对该项目财政资金的使用情况，并对以下三个方面侧重评价：</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（1）项目实施是否有相关标准，资金申报、管理、使用是否有相关政策规范；</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（2）项目资金用途是否合规、专款专用；</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（3）项目执行效果是否符合预期标准。</w:t>
      </w:r>
    </w:p>
    <w:p>
      <w:pPr>
        <w:spacing w:line="600" w:lineRule="exact"/>
        <w:ind w:firstLine="560" w:firstLineChars="200"/>
        <w:rPr>
          <w:rFonts w:eastAsia="仿宋_GB2312"/>
          <w:sz w:val="28"/>
          <w:szCs w:val="28"/>
        </w:rPr>
      </w:pPr>
      <w:r>
        <w:rPr>
          <w:rFonts w:eastAsia="仿宋_GB2312"/>
          <w:sz w:val="28"/>
          <w:szCs w:val="28"/>
        </w:rPr>
        <w:t>绩效评价原则</w:t>
      </w:r>
    </w:p>
    <w:p>
      <w:pPr>
        <w:spacing w:line="600" w:lineRule="exact"/>
        <w:ind w:firstLine="560" w:firstLineChars="200"/>
        <w:rPr>
          <w:rFonts w:eastAsia="仿宋_GB2312"/>
          <w:sz w:val="28"/>
          <w:szCs w:val="28"/>
        </w:rPr>
      </w:pPr>
      <w:r>
        <w:rPr>
          <w:rFonts w:eastAsia="仿宋_GB2312"/>
          <w:sz w:val="28"/>
          <w:szCs w:val="28"/>
        </w:rPr>
        <w:t>实施绩效评价需遵循以下原则：科学规范原则，采用定量与定性分析相结合的方法；公正公开原则，绩效评价应当符合真实、客观、公正的要求，依法公开并接受监督；绩效相关原则，绩效评价应当针对具体支出及其产出绩效进行，评价结果应当清晰的反映支出和产出绩效之间的紧密对应关系。</w:t>
      </w:r>
    </w:p>
    <w:p>
      <w:pPr>
        <w:spacing w:line="600" w:lineRule="exact"/>
        <w:ind w:firstLine="560" w:firstLineChars="200"/>
        <w:rPr>
          <w:rFonts w:eastAsia="仿宋_GB2312"/>
          <w:sz w:val="28"/>
          <w:szCs w:val="28"/>
        </w:rPr>
      </w:pPr>
      <w:r>
        <w:rPr>
          <w:rFonts w:eastAsia="仿宋_GB2312"/>
          <w:sz w:val="28"/>
          <w:szCs w:val="28"/>
        </w:rPr>
        <w:t>绩效评价指标体系</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北京市财政支出绩效评价管理暂行办法》，评价工作组结合项目的特点及资金使用的具体情况，以资金使用结果为导向，参照“北京市财政支出项目绩效评价指标体系”，将原则性和灵活性进行有机结合，制定了北京消费券区级资金评价指标体系，分为总体目标、产出指标和效益指标。其中：产出指标分为数量指标、质量指标、进度指标和成本指标；效益指标分为经济效益指标、社会效益指标、可持续影响指标和服务对象满意度指标。</w:t>
      </w:r>
    </w:p>
    <w:p>
      <w:pPr>
        <w:spacing w:line="600" w:lineRule="exact"/>
        <w:ind w:firstLine="560" w:firstLineChars="200"/>
        <w:rPr>
          <w:rFonts w:eastAsia="仿宋_GB2312"/>
          <w:sz w:val="28"/>
          <w:szCs w:val="28"/>
        </w:rPr>
      </w:pPr>
      <w:r>
        <w:rPr>
          <w:rFonts w:eastAsia="仿宋_GB2312"/>
          <w:sz w:val="28"/>
          <w:szCs w:val="28"/>
        </w:rPr>
        <w:t>评价方法</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结合本项目的特点，主要运用以下方法进行项目绩效评价：</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（1）查阅资料</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评价工作组收集并整理项目实施管理部门已有的相关资料，并了解我市其他区的相关工作情况。</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（2）与项目实施管理部门沟通</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为了进一步了解该项目的工作内容、工作范围及工作目标，评价工作组与参与该项目的工作人员面对面沟通交流，听取详细介绍，并做好相应记录。</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（3）专家评价法</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能够根据项目特点，得出有效的、客观的、准确的评价结论，工作组聘请了财务、业务方面的专家组成专家组，通过电话、会议沟通等方式，就该项目的决策、管理、绩效等方面向专家进行了咨询和讨论，并召开专家评价会，得出评价结论。</w:t>
      </w:r>
    </w:p>
    <w:p>
      <w:pPr>
        <w:spacing w:line="360" w:lineRule="auto"/>
        <w:outlineLvl w:val="0"/>
        <w:rPr>
          <w:rFonts w:ascii="黑体" w:hAnsi="黑体" w:eastAsia="黑体" w:cs="黑体"/>
          <w:sz w:val="28"/>
          <w:szCs w:val="28"/>
        </w:rPr>
      </w:pPr>
      <w:r>
        <w:rPr>
          <w:rFonts w:hint="eastAsia" w:ascii="仿宋_GB2312" w:hAnsi="黑体" w:eastAsia="仿宋_GB2312"/>
          <w:sz w:val="28"/>
          <w:szCs w:val="28"/>
        </w:rPr>
        <w:t>（</w:t>
      </w:r>
      <w:r>
        <w:rPr>
          <w:rFonts w:hint="eastAsia" w:ascii="黑体" w:hAnsi="黑体" w:eastAsia="黑体" w:cs="黑体"/>
          <w:sz w:val="28"/>
          <w:szCs w:val="28"/>
        </w:rPr>
        <w:t>三）综合评价情况及评价结论</w:t>
      </w:r>
    </w:p>
    <w:p>
      <w:pPr>
        <w:spacing w:line="560" w:lineRule="exact"/>
        <w:ind w:firstLine="640"/>
        <w:rPr>
          <w:sz w:val="28"/>
          <w:szCs w:val="28"/>
        </w:rPr>
      </w:pPr>
      <w:r>
        <w:rPr>
          <w:rFonts w:hint="eastAsia" w:ascii="仿宋_GB2312" w:hAnsi="仿宋_GB2312" w:eastAsia="仿宋_GB2312" w:cs="仿宋_GB2312"/>
          <w:sz w:val="28"/>
          <w:szCs w:val="28"/>
        </w:rPr>
        <w:t>绩效评价工作组基于大量项目资料且充分调查、了解的基础 上，通过审慎评议，北京消费季区级资金项目绩效评价得分94.88分，其中，项目决策25分，项目管理25分，项目绩效44.88分。</w:t>
      </w:r>
    </w:p>
    <w:p>
      <w:pPr>
        <w:spacing w:line="600" w:lineRule="exact"/>
        <w:ind w:firstLine="560" w:firstLineChars="200"/>
        <w:outlineLvl w:val="0"/>
        <w:rPr>
          <w:rFonts w:ascii="楷体_GB2312" w:hAnsi="楷体_GB2312" w:eastAsia="楷体_GB2312" w:cs="楷体_GB2312"/>
          <w:sz w:val="28"/>
          <w:szCs w:val="28"/>
        </w:rPr>
      </w:pPr>
      <w:r>
        <w:rPr>
          <w:rFonts w:hint="eastAsia" w:ascii="楷体_GB2312" w:hAnsi="楷体_GB2312" w:eastAsia="楷体_GB2312" w:cs="楷体_GB2312"/>
          <w:sz w:val="28"/>
          <w:szCs w:val="28"/>
        </w:rPr>
        <w:t>1.项目决策情况分析</w:t>
      </w:r>
    </w:p>
    <w:p>
      <w:pPr>
        <w:adjustRightInd w:val="0"/>
        <w:snapToGrid w:val="0"/>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为落实京财经建〔2020〕2043号文件要求，我局于2020年10月26日召开2020年第21次党组会。会议同意，按照市级通知要求，缴纳北京消费券6月至9月丰台区负担资金</w:t>
      </w:r>
      <w:r>
        <w:rPr>
          <w:rFonts w:hint="eastAsia" w:ascii="仿宋_GB2312" w:hAnsi="仿宋_GB2312" w:eastAsia="仿宋_GB2312" w:cs="仿宋_GB2312"/>
          <w:color w:val="000000"/>
          <w:sz w:val="28"/>
          <w:szCs w:val="28"/>
        </w:rPr>
        <w:t>2599.515868万元，具体为分别支付京东、小米、国美、苏宁平台消费券2030.489641万元、382.171613万元、48.076888万元和138.777726万元，从</w:t>
      </w:r>
      <w:r>
        <w:rPr>
          <w:rFonts w:hint="eastAsia" w:ascii="仿宋_GB2312" w:hAnsi="仿宋_GB2312" w:eastAsia="仿宋_GB2312" w:cs="仿宋_GB2312"/>
          <w:sz w:val="28"/>
          <w:szCs w:val="28"/>
        </w:rPr>
        <w:t>北京消费券区级经费</w:t>
      </w:r>
      <w:r>
        <w:rPr>
          <w:rFonts w:hint="eastAsia" w:ascii="仿宋_GB2312" w:hAnsi="仿宋_GB2312" w:eastAsia="仿宋_GB2312" w:cs="仿宋_GB2312"/>
          <w:color w:val="000000"/>
          <w:sz w:val="28"/>
          <w:szCs w:val="28"/>
        </w:rPr>
        <w:t>列支。</w:t>
      </w:r>
    </w:p>
    <w:p>
      <w:pPr>
        <w:spacing w:line="600" w:lineRule="exact"/>
        <w:ind w:firstLine="560" w:firstLineChars="200"/>
        <w:outlineLvl w:val="0"/>
        <w:rPr>
          <w:rFonts w:ascii="楷体_GB2312" w:hAnsi="楷体_GB2312" w:eastAsia="楷体_GB2312" w:cs="楷体_GB2312"/>
          <w:sz w:val="28"/>
          <w:szCs w:val="28"/>
        </w:rPr>
      </w:pPr>
      <w:r>
        <w:rPr>
          <w:rFonts w:hint="eastAsia" w:ascii="楷体_GB2312" w:hAnsi="楷体_GB2312" w:eastAsia="楷体_GB2312" w:cs="楷体_GB2312"/>
          <w:sz w:val="28"/>
          <w:szCs w:val="28"/>
        </w:rPr>
        <w:t>2.</w:t>
      </w:r>
      <w:r>
        <w:rPr>
          <w:rFonts w:ascii="楷体_GB2312" w:hAnsi="楷体_GB2312" w:eastAsia="楷体_GB2312" w:cs="楷体_GB2312"/>
          <w:sz w:val="28"/>
          <w:szCs w:val="28"/>
        </w:rPr>
        <w:t>项目过程情况</w:t>
      </w:r>
      <w:r>
        <w:rPr>
          <w:rFonts w:hint="eastAsia" w:ascii="楷体_GB2312" w:hAnsi="楷体_GB2312" w:eastAsia="楷体_GB2312" w:cs="楷体_GB2312"/>
          <w:sz w:val="28"/>
          <w:szCs w:val="28"/>
        </w:rPr>
        <w:t>分析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（1）资金使用情况分析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2020年10月27日我局拨付至京东平台2030.489641万元、小米平台382.171613万元、国美平台48.076888万元、苏宁平台138.777726万元，合计2599.515868万元。</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（2）项目资金管理情况分析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制度建设情况：为加强对财政项目资金的管理，我们制定了《丰台区商务</w:t>
      </w:r>
      <w:r>
        <w:rPr>
          <w:rFonts w:hint="eastAsia" w:ascii="仿宋_GB2312" w:hAnsi="仿宋_GB2312" w:eastAsia="仿宋_GB2312" w:cs="仿宋_GB2312"/>
          <w:sz w:val="28"/>
          <w:szCs w:val="28"/>
          <w:lang w:eastAsia="zh-CN"/>
        </w:rPr>
        <w:t>局</w:t>
      </w:r>
      <w:r>
        <w:rPr>
          <w:rFonts w:hint="eastAsia" w:ascii="仿宋_GB2312" w:hAnsi="仿宋_GB2312" w:eastAsia="仿宋_GB2312" w:cs="仿宋_GB2312"/>
          <w:sz w:val="28"/>
          <w:szCs w:val="28"/>
        </w:rPr>
        <w:t>财务管理制度》，其中第十二条“专项经费管理”明确：</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事前审批。2万元以下(不含)的支出事项由业务分管领导审批。</w:t>
      </w:r>
      <w:r>
        <w:rPr>
          <w:rFonts w:hint="eastAsia" w:ascii="仿宋_GB2312" w:hAnsi="仿宋_GB2312" w:eastAsia="仿宋_GB2312" w:cs="仿宋_GB2312"/>
          <w:sz w:val="28"/>
          <w:szCs w:val="28"/>
          <w:lang w:val="en-US" w:eastAsia="zh-CN"/>
        </w:rPr>
        <w:t>2万元（含）-10万元的重大项目、大额资金使用，由局长办公会直接研究决定，可不经党组会研究；10万元（含）以上的重大项目、大额资金使用，直接由党组会研究决定</w:t>
      </w:r>
      <w:r>
        <w:rPr>
          <w:rFonts w:hint="eastAsia" w:ascii="仿宋_GB2312" w:hAnsi="仿宋_GB2312" w:eastAsia="仿宋_GB2312" w:cs="仿宋_GB2312"/>
          <w:sz w:val="28"/>
          <w:szCs w:val="28"/>
        </w:rPr>
        <w:t>。经</w:t>
      </w:r>
      <w:r>
        <w:rPr>
          <w:rFonts w:hint="eastAsia" w:ascii="仿宋_GB2312" w:hAnsi="仿宋_GB2312" w:eastAsia="仿宋_GB2312" w:cs="仿宋_GB2312"/>
          <w:sz w:val="28"/>
          <w:szCs w:val="28"/>
          <w:lang w:eastAsia="zh-CN"/>
        </w:rPr>
        <w:t>研究</w:t>
      </w:r>
      <w:r>
        <w:rPr>
          <w:rFonts w:hint="eastAsia" w:ascii="仿宋_GB2312" w:hAnsi="仿宋_GB2312" w:eastAsia="仿宋_GB2312" w:cs="仿宋_GB2312"/>
          <w:sz w:val="28"/>
          <w:szCs w:val="28"/>
        </w:rPr>
        <w:t>同意后，支出前填写“专项资金（2万以上）事项审批表”。</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合同管理。对外签订合同，均需填写合同审批表，按审批权限审批后方可由授权代表签订。对外委托业务类合同，需由业务分管和财务分管领导签署审核意见，主要领导审批。合同审批表与合同一起存档。</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支出管理。预算内项目经费实行专款专用，不得挪用、挤占或改变用途性质，并实行单独核算。项目经费先审批支出计划，然后根据财政下发的专项资金预算指标和项目承办科室制定的资金拨付计划支出。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以上财务管理制度用于规范和监督该项目财政资金使用情况。</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执行情况：该项目财政批复资金2599.515868万元，我局已于2020年10月27日支付完成。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我局严格执行财务管理制度要求，该项目资金超过</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万元，经2020年第21次党组会研究同意，填写“专项资金（2万以上）事项审批表”后，按京财经建〔2020〕2043号文件要求进行拨付。</w:t>
      </w:r>
    </w:p>
    <w:p>
      <w:pPr>
        <w:spacing w:line="60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（四）绩效评价指标分析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消费券由北京市商务局牵头组织实施，是北京消费季六大板块之一，目的是为加速促进消费人气回暖、消费信心回升、消费市场回补，全力推动复商、复市、复产、复工，加快推进国际消费中心城市建设进程。按照京财经建〔2020〕2043号文件要求，“请各区财政、商务等相关部门高度重视消费券资金筹集、缴纳工作，加强协作配合，确保区级负担资金及时、足额上缴到位”，我局主要负责消费券资金的缴纳工作。</w:t>
      </w:r>
    </w:p>
    <w:p>
      <w:pPr>
        <w:spacing w:line="600" w:lineRule="exact"/>
        <w:outlineLvl w:val="0"/>
        <w:rPr>
          <w:rFonts w:ascii="楷体_GB2312" w:hAnsi="楷体_GB2312" w:eastAsia="楷体_GB2312" w:cs="楷体_GB2312"/>
          <w:sz w:val="28"/>
          <w:szCs w:val="28"/>
        </w:rPr>
      </w:pPr>
      <w:r>
        <w:rPr>
          <w:rFonts w:ascii="楷体_GB2312" w:hAnsi="楷体_GB2312" w:eastAsia="楷体_GB2312" w:cs="楷体_GB2312"/>
          <w:sz w:val="28"/>
          <w:szCs w:val="28"/>
        </w:rPr>
        <w:t>项目效益情况</w:t>
      </w:r>
    </w:p>
    <w:p>
      <w:pPr>
        <w:spacing w:line="560" w:lineRule="exact"/>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（1）项目经济性分析</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该项目预算</w:t>
      </w:r>
      <w:r>
        <w:rPr>
          <w:rFonts w:hint="eastAsia" w:ascii="仿宋_GB2312" w:hAnsi="仿宋_GB2312" w:eastAsia="仿宋_GB2312" w:cs="仿宋_GB2312"/>
          <w:color w:val="000000"/>
          <w:sz w:val="28"/>
          <w:szCs w:val="28"/>
        </w:rPr>
        <w:t>2599.515868万元</w:t>
      </w:r>
      <w:r>
        <w:rPr>
          <w:rFonts w:hint="eastAsia" w:ascii="仿宋_GB2312" w:hAnsi="仿宋_GB2312" w:eastAsia="仿宋_GB2312" w:cs="仿宋_GB2312"/>
          <w:sz w:val="28"/>
          <w:szCs w:val="28"/>
        </w:rPr>
        <w:t>，实际支出资金</w:t>
      </w:r>
      <w:r>
        <w:rPr>
          <w:rFonts w:hint="eastAsia" w:ascii="仿宋_GB2312" w:hAnsi="仿宋_GB2312" w:eastAsia="仿宋_GB2312" w:cs="仿宋_GB2312"/>
          <w:color w:val="000000"/>
          <w:sz w:val="28"/>
          <w:szCs w:val="28"/>
        </w:rPr>
        <w:t>2599.515868万元</w:t>
      </w:r>
      <w:r>
        <w:rPr>
          <w:rFonts w:hint="eastAsia" w:ascii="仿宋_GB2312" w:hAnsi="仿宋_GB2312" w:eastAsia="仿宋_GB2312" w:cs="仿宋_GB2312"/>
          <w:sz w:val="28"/>
          <w:szCs w:val="28"/>
        </w:rPr>
        <w:t>，资金使用控制在预算范围内。</w:t>
      </w:r>
    </w:p>
    <w:p>
      <w:pPr>
        <w:spacing w:line="560" w:lineRule="exact"/>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（2）项目效率性分析</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项目实施进度：我局于2020年10月27日（京财经建〔2020〕2043号文件要求于2020年10月31日前）将区级负担资金分别拨付给</w:t>
      </w:r>
      <w:r>
        <w:rPr>
          <w:rFonts w:hint="eastAsia" w:ascii="仿宋_GB2312" w:hAnsi="仿宋_GB2312" w:eastAsia="仿宋_GB2312" w:cs="仿宋_GB2312"/>
          <w:color w:val="000000"/>
          <w:sz w:val="28"/>
          <w:szCs w:val="28"/>
        </w:rPr>
        <w:t>京东、小米、</w:t>
      </w:r>
      <w:r>
        <w:rPr>
          <w:rFonts w:hint="eastAsia" w:ascii="仿宋_GB2312" w:hAnsi="仿宋_GB2312" w:eastAsia="仿宋_GB2312" w:cs="仿宋_GB2312"/>
          <w:sz w:val="28"/>
          <w:szCs w:val="28"/>
        </w:rPr>
        <w:t>国美、苏宁4家平台公司，在我局负责科室的努力下，该项目积极有效开展，未出现拖延、推迟等现象。</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项目完成质量：我局严格落实京财经建〔2020〕2043号文件要求，高质量完成了资金缴纳工作。</w:t>
      </w:r>
    </w:p>
    <w:p>
      <w:pPr>
        <w:spacing w:line="560" w:lineRule="exact"/>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（3）项目有效性分析</w:t>
      </w:r>
    </w:p>
    <w:p>
      <w:pPr>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消费券的发放为消费市场全面复苏注入了新活力。按照“政府引导、平台支撑、企业助力、供需两端受益”的原则，北京市商务局发放餐饮购物消费券、智能产品消费券和餐饮外卖消费券，京东、北京苏宁、小米、国美、美团、饿了么等六家平台累计发放3900万张，实现销售额135.2亿元，拉动杠杆14.8倍。带动工商银行北京分行、北汽集团、北京苏宁等企业自主发放满减券、折扣券共约100亿元，实现了“四两拨千斤”的效应。6月至9月北京消费券我区区级负担资金共计2599.515868万元，实现社零额8.54亿元。</w:t>
      </w:r>
    </w:p>
    <w:p>
      <w:pPr>
        <w:spacing w:line="560" w:lineRule="exact"/>
        <w:ind w:firstLine="643"/>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（4）项目可持续性分析</w:t>
      </w:r>
    </w:p>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北京市商务局发放北京消费券取得了良好的效果，促进了社零额增长，截至2020年12月14日共发放了4批消费券。</w:t>
      </w:r>
    </w:p>
    <w:p>
      <w:pPr>
        <w:spacing w:line="600" w:lineRule="exact"/>
        <w:ind w:firstLine="560" w:firstLineChars="200"/>
        <w:rPr>
          <w:rFonts w:ascii="黑体" w:hAnsi="黑体" w:eastAsia="黑体" w:cs="黑体"/>
          <w:sz w:val="28"/>
          <w:szCs w:val="28"/>
        </w:rPr>
      </w:pPr>
      <w:r>
        <w:rPr>
          <w:rFonts w:hint="eastAsia" w:ascii="黑体" w:hAnsi="黑体" w:eastAsia="黑体" w:cs="黑体"/>
          <w:b/>
          <w:bCs/>
          <w:sz w:val="28"/>
          <w:szCs w:val="28"/>
        </w:rPr>
        <w:t>（五）、主要经验及做法、存在的问题及原因分析</w:t>
      </w:r>
    </w:p>
    <w:p>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1.经验及做法</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在2020年北京消费券区级资金项目中，我局严格落实财务管理制度，及时迅速完成既定目标。</w:t>
      </w:r>
    </w:p>
    <w:p>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2.存在问题及原因分析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对消费券具体发放及使用情况了解不够清楚，主要原因是与市商务局及发放消费券的4家平台沟通不够深入。</w:t>
      </w:r>
    </w:p>
    <w:p>
      <w:pPr>
        <w:spacing w:line="360" w:lineRule="auto"/>
        <w:outlineLvl w:val="0"/>
        <w:rPr>
          <w:rFonts w:ascii="仿宋_GB2312" w:hAnsi="黑体" w:eastAsia="仿宋_GB2312"/>
          <w:sz w:val="28"/>
          <w:szCs w:val="28"/>
        </w:rPr>
      </w:pPr>
      <w:r>
        <w:rPr>
          <w:rFonts w:hint="eastAsia" w:ascii="仿宋_GB2312" w:hAnsi="黑体" w:eastAsia="仿宋_GB2312"/>
          <w:b/>
          <w:bCs/>
          <w:sz w:val="28"/>
          <w:szCs w:val="28"/>
        </w:rPr>
        <w:t>（六）、有关建议</w:t>
      </w:r>
      <w:r>
        <w:rPr>
          <w:rFonts w:hint="eastAsia" w:ascii="仿宋_GB2312" w:hAnsi="黑体" w:eastAsia="仿宋_GB2312"/>
          <w:sz w:val="28"/>
          <w:szCs w:val="28"/>
        </w:rPr>
        <w:t>。</w:t>
      </w:r>
    </w:p>
    <w:p>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针对对消费券具体发放及使用情况了解不够清楚的问题，我局将进一步加强与市商务局的沟通，及时准确掌握相关项目数据情况。</w:t>
      </w:r>
    </w:p>
    <w:p/>
    <w:p>
      <w:pPr>
        <w:spacing w:line="360" w:lineRule="auto"/>
        <w:ind w:firstLine="560" w:firstLineChars="200"/>
        <w:outlineLvl w:val="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w:t>
      </w:r>
      <w:r>
        <w:rPr>
          <w:rFonts w:hint="eastAsia" w:ascii="黑体" w:eastAsia="黑体"/>
          <w:sz w:val="28"/>
          <w:szCs w:val="28"/>
        </w:rPr>
        <w:t>评表</w:t>
      </w:r>
    </w:p>
    <w:p>
      <w:pPr>
        <w:widowControl/>
        <w:jc w:val="left"/>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W w:w="9873" w:type="dxa"/>
        <w:jc w:val="center"/>
        <w:tblLayout w:type="fixed"/>
        <w:tblCellMar>
          <w:top w:w="0" w:type="dxa"/>
          <w:left w:w="108" w:type="dxa"/>
          <w:bottom w:w="0" w:type="dxa"/>
          <w:right w:w="108" w:type="dxa"/>
        </w:tblCellMar>
      </w:tblPr>
      <w:tblGrid>
        <w:gridCol w:w="585"/>
        <w:gridCol w:w="833"/>
        <w:gridCol w:w="1105"/>
        <w:gridCol w:w="727"/>
        <w:gridCol w:w="1127"/>
        <w:gridCol w:w="283"/>
        <w:gridCol w:w="849"/>
        <w:gridCol w:w="1689"/>
        <w:gridCol w:w="151"/>
        <w:gridCol w:w="659"/>
        <w:gridCol w:w="270"/>
        <w:gridCol w:w="405"/>
        <w:gridCol w:w="441"/>
        <w:gridCol w:w="749"/>
      </w:tblGrid>
      <w:tr>
        <w:tblPrEx>
          <w:tblCellMar>
            <w:top w:w="0" w:type="dxa"/>
            <w:left w:w="108" w:type="dxa"/>
            <w:bottom w:w="0" w:type="dxa"/>
            <w:right w:w="108" w:type="dxa"/>
          </w:tblCellMar>
        </w:tblPrEx>
        <w:trPr>
          <w:trHeight w:val="306" w:hRule="exact"/>
          <w:jc w:val="center"/>
        </w:trPr>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45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丰台区“十四五”规划课题经费</w:t>
            </w:r>
          </w:p>
        </w:tc>
      </w:tr>
      <w:tr>
        <w:tblPrEx>
          <w:tblCellMar>
            <w:top w:w="0" w:type="dxa"/>
            <w:left w:w="108" w:type="dxa"/>
            <w:bottom w:w="0" w:type="dxa"/>
            <w:right w:w="108" w:type="dxa"/>
          </w:tblCellMar>
        </w:tblPrEx>
        <w:trPr>
          <w:trHeight w:val="306" w:hRule="exact"/>
          <w:jc w:val="center"/>
        </w:trPr>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84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宋莉</w:t>
            </w:r>
          </w:p>
        </w:tc>
        <w:tc>
          <w:tcPr>
            <w:tcW w:w="184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41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84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84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w:t>
            </w: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7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r>
      <w:tr>
        <w:tblPrEx>
          <w:tblCellMar>
            <w:top w:w="0" w:type="dxa"/>
            <w:left w:w="108" w:type="dxa"/>
            <w:bottom w:w="0" w:type="dxa"/>
            <w:right w:w="108" w:type="dxa"/>
          </w:tblCellMar>
        </w:tblPrEx>
        <w:trPr>
          <w:trHeight w:val="601" w:hRule="exact"/>
          <w:jc w:val="center"/>
        </w:trPr>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84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w:t>
            </w: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0" w:hRule="exact"/>
          <w:jc w:val="center"/>
        </w:trPr>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84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4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2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36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6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24"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十四五”时期首都高品质生活服务供给重要保障区发展建设研究》和《</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十四五”时期首都高品质生活服务供给重要保障区发展建设规划》</w:t>
            </w:r>
          </w:p>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2：《</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十四五”时期丰台区促进消费提档升级发展研究》和《</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十四五”时期丰台区促进消费提档升级发展规划》</w:t>
            </w:r>
          </w:p>
        </w:tc>
        <w:tc>
          <w:tcPr>
            <w:tcW w:w="4364" w:type="dxa"/>
            <w:gridSpan w:val="7"/>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67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7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形成两个前期课题研究和两个规划文本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已完成预期目标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提出丰台区“十四五”时期消费和高品质生活服务供给的目标、路径、政策、措施。</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已完成预期目标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已完成预期目标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预算控制在80万元以内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实际执行76万元</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6"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联系服务企业，促进服务贸易高质量发展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对接联系企业，了解企业经营情况。基本达成预期目标。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为市级部门出台相关政策夯实基础</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基本达成实预期标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深入挖掘我区服务贸易企业，加强企业对接。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对接联系企业，了解企业经营情况。基本达成预期目标。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获得联系企业的一致好评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8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帮助企业申报统计监测补贴，达成预期目标</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19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95.1</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eastAsia="方正小标宋简体"/>
          <w:sz w:val="28"/>
          <w:szCs w:val="28"/>
        </w:rPr>
      </w:pPr>
      <w:r>
        <w:rPr>
          <w:rFonts w:hint="eastAsia" w:ascii="方正小标宋简体" w:eastAsia="方正小标宋简体"/>
          <w:sz w:val="28"/>
          <w:szCs w:val="28"/>
        </w:rPr>
        <w:t>项目支出绩效自评表</w:t>
      </w:r>
    </w:p>
    <w:p>
      <w:pPr>
        <w:spacing w:line="480" w:lineRule="exact"/>
        <w:jc w:val="center"/>
        <w:rPr>
          <w:rFonts w:ascii="方正小标宋简体" w:eastAsia="方正小标宋简体"/>
          <w:sz w:val="28"/>
          <w:szCs w:val="28"/>
        </w:rPr>
      </w:pPr>
      <w:r>
        <w:rPr>
          <w:rFonts w:hint="eastAsia" w:ascii="仿宋_GB2312" w:hAnsi="宋体" w:eastAsia="仿宋_GB2312"/>
          <w:sz w:val="28"/>
          <w:szCs w:val="28"/>
        </w:rPr>
        <w:t>（2020年度）</w:t>
      </w:r>
    </w:p>
    <w:tbl>
      <w:tblPr>
        <w:tblStyle w:val="9"/>
        <w:tblpPr w:leftFromText="180" w:rightFromText="180" w:vertAnchor="page" w:horzAnchor="page" w:tblpX="1185" w:tblpY="2150"/>
        <w:tblOverlap w:val="never"/>
        <w:tblW w:w="9925" w:type="dxa"/>
        <w:tblInd w:w="0" w:type="dxa"/>
        <w:tblLayout w:type="fixed"/>
        <w:tblCellMar>
          <w:top w:w="0" w:type="dxa"/>
          <w:left w:w="108" w:type="dxa"/>
          <w:bottom w:w="0" w:type="dxa"/>
          <w:right w:w="108" w:type="dxa"/>
        </w:tblCellMar>
      </w:tblPr>
      <w:tblGrid>
        <w:gridCol w:w="585"/>
        <w:gridCol w:w="951"/>
        <w:gridCol w:w="1146"/>
        <w:gridCol w:w="710"/>
        <w:gridCol w:w="973"/>
        <w:gridCol w:w="154"/>
        <w:gridCol w:w="1537"/>
        <w:gridCol w:w="1405"/>
        <w:gridCol w:w="647"/>
        <w:gridCol w:w="464"/>
        <w:gridCol w:w="375"/>
        <w:gridCol w:w="429"/>
        <w:gridCol w:w="549"/>
      </w:tblGrid>
      <w:tr>
        <w:tblPrEx>
          <w:tblCellMar>
            <w:top w:w="0" w:type="dxa"/>
            <w:left w:w="108" w:type="dxa"/>
            <w:bottom w:w="0" w:type="dxa"/>
            <w:right w:w="108" w:type="dxa"/>
          </w:tblCellMar>
        </w:tblPrEx>
        <w:trPr>
          <w:trHeight w:val="306" w:hRule="exact"/>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389"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生活性服务业品质提升专项工作经费</w:t>
            </w:r>
          </w:p>
        </w:tc>
      </w:tr>
      <w:tr>
        <w:tblPrEx>
          <w:tblCellMar>
            <w:top w:w="0" w:type="dxa"/>
            <w:left w:w="108" w:type="dxa"/>
            <w:bottom w:w="0" w:type="dxa"/>
            <w:right w:w="108" w:type="dxa"/>
          </w:tblCellMar>
        </w:tblPrEx>
        <w:trPr>
          <w:trHeight w:val="306" w:hRule="exact"/>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5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205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1817"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5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孙永利</w:t>
            </w:r>
          </w:p>
        </w:tc>
        <w:tc>
          <w:tcPr>
            <w:tcW w:w="205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1817"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63831120</w:t>
            </w:r>
          </w:p>
        </w:tc>
      </w:tr>
      <w:tr>
        <w:tblPrEx>
          <w:tblCellMar>
            <w:top w:w="0" w:type="dxa"/>
            <w:left w:w="108" w:type="dxa"/>
            <w:bottom w:w="0" w:type="dxa"/>
            <w:right w:w="108" w:type="dxa"/>
          </w:tblCellMar>
        </w:tblPrEx>
        <w:trPr>
          <w:trHeight w:val="567" w:hRule="exact"/>
        </w:trPr>
        <w:tc>
          <w:tcPr>
            <w:tcW w:w="15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205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5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5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205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5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2052" w:type="dxa"/>
            <w:gridSpan w:val="2"/>
            <w:tcBorders>
              <w:top w:val="nil"/>
              <w:left w:val="nil"/>
              <w:bottom w:val="single" w:color="auto" w:sz="4" w:space="0"/>
              <w:right w:val="single" w:color="auto" w:sz="4" w:space="0"/>
            </w:tcBorders>
            <w:vAlign w:val="center"/>
          </w:tcPr>
          <w:p>
            <w:pPr>
              <w:widowControl/>
              <w:spacing w:line="240" w:lineRule="exact"/>
              <w:jc w:val="center"/>
            </w:pPr>
            <w:r>
              <w:rPr>
                <w:rFonts w:hint="eastAsia" w:ascii="仿宋_GB2312" w:hAnsi="宋体" w:eastAsia="仿宋_GB2312" w:cs="宋体"/>
                <w:kern w:val="0"/>
                <w:szCs w:val="21"/>
              </w:rPr>
              <w:t>18</w:t>
            </w: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1" w:hRule="exact"/>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42"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6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61" w:hRule="atLeas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丰台区便民网点采集系统日常维护</w:t>
            </w:r>
          </w:p>
        </w:tc>
        <w:tc>
          <w:tcPr>
            <w:tcW w:w="386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完成丰台区便民网点采集系统的日常维护工作，指导属地开展便民商业网点补建。</w:t>
            </w:r>
          </w:p>
        </w:tc>
      </w:tr>
      <w:tr>
        <w:tblPrEx>
          <w:tblCellMar>
            <w:top w:w="0" w:type="dxa"/>
            <w:left w:w="108" w:type="dxa"/>
            <w:bottom w:w="0" w:type="dxa"/>
            <w:right w:w="108" w:type="dxa"/>
          </w:tblCellMar>
        </w:tblPrEx>
        <w:trPr>
          <w:trHeight w:val="975"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6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4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3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34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8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数据更新和系统维护</w:t>
            </w:r>
          </w:p>
        </w:tc>
        <w:tc>
          <w:tcPr>
            <w:tcW w:w="169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每日对丰台区便民网点进行维护，定期对相关数据整理汇总</w:t>
            </w:r>
          </w:p>
        </w:tc>
        <w:tc>
          <w:tcPr>
            <w:tcW w:w="1405"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每日对丰台区便民网点进行维护，定期对相关数据整理汇总</w:t>
            </w:r>
          </w:p>
        </w:tc>
        <w:tc>
          <w:tcPr>
            <w:tcW w:w="64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3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8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实时反映我区网点情况</w:t>
            </w:r>
          </w:p>
        </w:tc>
        <w:tc>
          <w:tcPr>
            <w:tcW w:w="169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实时更新我区便民网点变化情况</w:t>
            </w:r>
          </w:p>
        </w:tc>
        <w:tc>
          <w:tcPr>
            <w:tcW w:w="1405"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客观、精确、及时反映我区便民网点变化情况</w:t>
            </w:r>
          </w:p>
        </w:tc>
        <w:tc>
          <w:tcPr>
            <w:tcW w:w="64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83" w:type="dxa"/>
            <w:gridSpan w:val="2"/>
            <w:tcBorders>
              <w:top w:val="single" w:color="auto" w:sz="4" w:space="0"/>
              <w:left w:val="nil"/>
              <w:right w:val="single" w:color="auto" w:sz="4" w:space="0"/>
            </w:tcBorders>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系统维护时限</w:t>
            </w:r>
          </w:p>
        </w:tc>
        <w:tc>
          <w:tcPr>
            <w:tcW w:w="169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2020年12月</w:t>
            </w:r>
          </w:p>
        </w:tc>
        <w:tc>
          <w:tcPr>
            <w:tcW w:w="140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2020年12月</w:t>
            </w:r>
          </w:p>
        </w:tc>
        <w:tc>
          <w:tcPr>
            <w:tcW w:w="64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83" w:type="dxa"/>
            <w:gridSpan w:val="2"/>
            <w:tcBorders>
              <w:top w:val="single" w:color="auto" w:sz="4" w:space="0"/>
              <w:left w:val="nil"/>
              <w:right w:val="single" w:color="auto" w:sz="4" w:space="0"/>
            </w:tcBorders>
            <w:vAlign w:val="center"/>
          </w:tcPr>
          <w:p>
            <w:pPr>
              <w:widowControl/>
              <w:spacing w:line="240" w:lineRule="exact"/>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69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项目经费控制在18万元</w:t>
            </w:r>
          </w:p>
        </w:tc>
        <w:tc>
          <w:tcPr>
            <w:tcW w:w="1405"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项目经费控制在18万元</w:t>
            </w:r>
          </w:p>
        </w:tc>
        <w:tc>
          <w:tcPr>
            <w:tcW w:w="64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1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46" w:type="dxa"/>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683" w:type="dxa"/>
            <w:gridSpan w:val="2"/>
            <w:tcBorders>
              <w:top w:val="single" w:color="auto" w:sz="4" w:space="0"/>
              <w:left w:val="nil"/>
              <w:right w:val="single" w:color="auto" w:sz="4" w:space="0"/>
            </w:tcBorders>
            <w:vAlign w:val="center"/>
          </w:tcPr>
          <w:p>
            <w:pPr>
              <w:widowControl/>
              <w:spacing w:line="240" w:lineRule="exact"/>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系统作用</w:t>
            </w:r>
          </w:p>
        </w:tc>
        <w:tc>
          <w:tcPr>
            <w:tcW w:w="169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确保丰台区便民网点采集系统正常运转，指导属地实施便民网点精确补建，为群众提供优质服务</w:t>
            </w:r>
          </w:p>
        </w:tc>
        <w:tc>
          <w:tcPr>
            <w:tcW w:w="1405"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丰台区便民网点采集系统正常运转，为属地提供工作依据</w:t>
            </w:r>
          </w:p>
        </w:tc>
        <w:tc>
          <w:tcPr>
            <w:tcW w:w="64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3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3" w:type="dxa"/>
            <w:gridSpan w:val="2"/>
            <w:tcBorders>
              <w:top w:val="single" w:color="auto" w:sz="4" w:space="0"/>
              <w:left w:val="nil"/>
              <w:right w:val="single" w:color="auto" w:sz="4" w:space="0"/>
            </w:tcBorders>
            <w:vAlign w:val="center"/>
          </w:tcPr>
          <w:p>
            <w:pPr>
              <w:widowControl/>
              <w:spacing w:line="240" w:lineRule="exact"/>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参考价值</w:t>
            </w:r>
          </w:p>
        </w:tc>
        <w:tc>
          <w:tcPr>
            <w:tcW w:w="169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形成评估报告，为2021年开展工作提供支撑</w:t>
            </w:r>
          </w:p>
        </w:tc>
        <w:tc>
          <w:tcPr>
            <w:tcW w:w="1405"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形成评估报告</w:t>
            </w:r>
          </w:p>
        </w:tc>
        <w:tc>
          <w:tcPr>
            <w:tcW w:w="64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8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属地对系统认可度</w:t>
            </w:r>
          </w:p>
        </w:tc>
        <w:tc>
          <w:tcPr>
            <w:tcW w:w="169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获得各属地认可</w:t>
            </w:r>
          </w:p>
        </w:tc>
        <w:tc>
          <w:tcPr>
            <w:tcW w:w="1405"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获得各属地认可</w:t>
            </w:r>
          </w:p>
        </w:tc>
        <w:tc>
          <w:tcPr>
            <w:tcW w:w="64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trPr>
        <w:tc>
          <w:tcPr>
            <w:tcW w:w="746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3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90</w:t>
            </w:r>
          </w:p>
        </w:tc>
        <w:tc>
          <w:tcPr>
            <w:tcW w:w="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W w:w="9585" w:type="dxa"/>
        <w:jc w:val="center"/>
        <w:tblLayout w:type="fixed"/>
        <w:tblCellMar>
          <w:top w:w="0" w:type="dxa"/>
          <w:left w:w="108" w:type="dxa"/>
          <w:bottom w:w="0" w:type="dxa"/>
          <w:right w:w="108" w:type="dxa"/>
        </w:tblCellMar>
      </w:tblPr>
      <w:tblGrid>
        <w:gridCol w:w="585"/>
        <w:gridCol w:w="975"/>
        <w:gridCol w:w="1105"/>
        <w:gridCol w:w="727"/>
        <w:gridCol w:w="309"/>
        <w:gridCol w:w="818"/>
        <w:gridCol w:w="1132"/>
        <w:gridCol w:w="848"/>
        <w:gridCol w:w="279"/>
        <w:gridCol w:w="284"/>
        <w:gridCol w:w="420"/>
        <w:gridCol w:w="299"/>
        <w:gridCol w:w="656"/>
        <w:gridCol w:w="1148"/>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2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疫情期间生活必需品储备经费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80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张萍</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80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63837200</w:t>
            </w:r>
          </w:p>
        </w:tc>
      </w:tr>
      <w:tr>
        <w:tblPrEx>
          <w:tblCellMar>
            <w:top w:w="0" w:type="dxa"/>
            <w:left w:w="108" w:type="dxa"/>
            <w:bottom w:w="0" w:type="dxa"/>
            <w:right w:w="108" w:type="dxa"/>
          </w:tblCellMar>
        </w:tblPrEx>
        <w:trPr>
          <w:trHeight w:val="541"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1015.67</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1015.67</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1003.21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w:t>
            </w:r>
          </w:p>
        </w:tc>
        <w:tc>
          <w:tcPr>
            <w:tcW w:w="11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1015.67</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1015.67</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1003.21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w:t>
            </w:r>
          </w:p>
        </w:tc>
        <w:tc>
          <w:tcPr>
            <w:tcW w:w="11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3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28" w:hRule="atLeas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全力落实《关于下达疫情期间本市生活必需品区级储备计划的通知》，完成成品粮2154.4吨、方便面86.2万袋、蔬菜1508.1吨、鸡蛋80.8吨、奶粉5.5吨的存储并轮转。</w:t>
            </w:r>
          </w:p>
        </w:tc>
        <w:tc>
          <w:tcPr>
            <w:tcW w:w="3934"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1.方便面86.2万袋、蔬菜1508.1吨、鸡蛋80.8吨、奶粉5.5吨完成三个月承储后，按照市级要求，到期后不在存储。</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2.成品粮按照合同期限1年，疫情期间正常存储并轮转。</w:t>
            </w:r>
          </w:p>
        </w:tc>
      </w:tr>
      <w:tr>
        <w:tblPrEx>
          <w:tblCellMar>
            <w:top w:w="0" w:type="dxa"/>
            <w:left w:w="108" w:type="dxa"/>
            <w:bottom w:w="0" w:type="dxa"/>
            <w:right w:w="108" w:type="dxa"/>
          </w:tblCellMar>
        </w:tblPrEx>
        <w:trPr>
          <w:trHeight w:val="602"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方便面储备</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86.2万袋</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86.2万袋</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蔬菜储备</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1508.1吨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1508.1吨</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鸡蛋储备</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80.8吨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80.8吨</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奶粉储备</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5.5吨</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成品粮储备</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2154.4吨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2154.4吨</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完成质量</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按要求完成年初设定的目标工作</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根据市政府通知要求时间完成</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60"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项目预算支出</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1015.67万元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1003.21万元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由于成品粮合同签订时间跨年，所以2020年有一部分经费需要流转至2021年完成。</w:t>
            </w:r>
          </w:p>
        </w:tc>
      </w:tr>
      <w:tr>
        <w:tblPrEx>
          <w:tblCellMar>
            <w:top w:w="0" w:type="dxa"/>
            <w:left w:w="108" w:type="dxa"/>
            <w:bottom w:w="0" w:type="dxa"/>
            <w:right w:w="108" w:type="dxa"/>
          </w:tblCellMar>
        </w:tblPrEx>
        <w:trPr>
          <w:trHeight w:val="153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项目达到的效果</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提高我区生活必需品供给应急处置能力，维护我区生活必需品安全稳定，保障老百姓的“米袋子”、“菜篮子”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基本达成预期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03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获得上级部门对执行项目的认可</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95.88</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708" w:type="dxa"/>
        <w:jc w:val="center"/>
        <w:tblLayout w:type="fixed"/>
        <w:tblCellMar>
          <w:top w:w="0" w:type="dxa"/>
          <w:left w:w="108" w:type="dxa"/>
          <w:bottom w:w="0" w:type="dxa"/>
          <w:right w:w="108" w:type="dxa"/>
        </w:tblCellMar>
      </w:tblPr>
      <w:tblGrid>
        <w:gridCol w:w="585"/>
        <w:gridCol w:w="759"/>
        <w:gridCol w:w="801"/>
        <w:gridCol w:w="727"/>
        <w:gridCol w:w="1127"/>
        <w:gridCol w:w="1101"/>
        <w:gridCol w:w="849"/>
        <w:gridCol w:w="848"/>
        <w:gridCol w:w="279"/>
        <w:gridCol w:w="439"/>
        <w:gridCol w:w="408"/>
        <w:gridCol w:w="273"/>
        <w:gridCol w:w="573"/>
        <w:gridCol w:w="939"/>
      </w:tblGrid>
      <w:tr>
        <w:tblPrEx>
          <w:tblCellMar>
            <w:top w:w="0" w:type="dxa"/>
            <w:left w:w="108" w:type="dxa"/>
            <w:bottom w:w="0" w:type="dxa"/>
            <w:right w:w="108" w:type="dxa"/>
          </w:tblCellMar>
        </w:tblPrEx>
        <w:trPr>
          <w:trHeight w:val="306" w:hRule="exact"/>
          <w:jc w:val="center"/>
        </w:trPr>
        <w:tc>
          <w:tcPr>
            <w:tcW w:w="134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36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商务综合发展研究经费（商贸物流发展课题研究）</w:t>
            </w:r>
          </w:p>
        </w:tc>
      </w:tr>
      <w:tr>
        <w:tblPrEx>
          <w:tblCellMar>
            <w:top w:w="0" w:type="dxa"/>
            <w:left w:w="108" w:type="dxa"/>
            <w:bottom w:w="0" w:type="dxa"/>
            <w:right w:w="108" w:type="dxa"/>
          </w:tblCellMar>
        </w:tblPrEx>
        <w:trPr>
          <w:trHeight w:val="306" w:hRule="exact"/>
          <w:jc w:val="center"/>
        </w:trPr>
        <w:tc>
          <w:tcPr>
            <w:tcW w:w="134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60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3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34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60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3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3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5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9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4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9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9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2" w:hRule="exact"/>
          <w:jc w:val="center"/>
        </w:trPr>
        <w:tc>
          <w:tcPr>
            <w:tcW w:w="13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5" w:hRule="atLeas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5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82" w:hRule="atLeas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按照《北京城市总体规划（2016年-2035年）》及《北京物流专项规划》有关要求，完成丰台区物流设施规划实施工作方案的编制工作。</w:t>
            </w:r>
          </w:p>
        </w:tc>
        <w:tc>
          <w:tcPr>
            <w:tcW w:w="3759"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丰台区物流设施规划实施工作方案的编制工作。进一步明确节点位置、规模和功能定位，实现规划节点在控规中全部落点落图。制定物流节点台账、任务清单、时间进度，明确工作推进程序，加强与市级相关规划的衔接。</w:t>
            </w:r>
          </w:p>
        </w:tc>
      </w:tr>
      <w:tr>
        <w:tblPrEx>
          <w:tblCellMar>
            <w:top w:w="0" w:type="dxa"/>
            <w:left w:w="108" w:type="dxa"/>
            <w:bottom w:w="0" w:type="dxa"/>
            <w:right w:w="108" w:type="dxa"/>
          </w:tblCellMar>
        </w:tblPrEx>
        <w:trPr>
          <w:trHeight w:val="616"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7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形成丰台区物流设施规划实施工作方案。</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44"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工作方案要落实《北京城市总体规划（2016年-2035年）》和《北京物流专项规划》要求，结合全市物流设施的战略部署安排，加强与丰台区分区规划的衔接。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2020年12月底完成。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支撑区域经济社会发展，加快构建功能匹配、集约高效的现代物流服务体系。</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36"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积极应对消费升级和物流多元化需求，牢牢把握首都高品质生活服务供给重要保障区的定位。</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1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加快推进物流重点项目落地，切实发挥物流设施的城市基本保障功能，“十四五”期间物流规划节点实施进度不低于50%，到2035年物流规划节点实施进度达到100%。</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95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物流规划节点地块主体、商贸物流企业对政府服务基本肯定。</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9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93.9</w:t>
            </w:r>
          </w:p>
        </w:tc>
        <w:tc>
          <w:tcPr>
            <w:tcW w:w="15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192" w:type="dxa"/>
        <w:jc w:val="center"/>
        <w:tblLayout w:type="fixed"/>
        <w:tblCellMar>
          <w:top w:w="0" w:type="dxa"/>
          <w:left w:w="108" w:type="dxa"/>
          <w:bottom w:w="0" w:type="dxa"/>
          <w:right w:w="108" w:type="dxa"/>
        </w:tblCellMar>
      </w:tblPr>
      <w:tblGrid>
        <w:gridCol w:w="585"/>
        <w:gridCol w:w="975"/>
        <w:gridCol w:w="839"/>
        <w:gridCol w:w="993"/>
        <w:gridCol w:w="477"/>
        <w:gridCol w:w="650"/>
        <w:gridCol w:w="968"/>
        <w:gridCol w:w="1352"/>
        <w:gridCol w:w="585"/>
        <w:gridCol w:w="58"/>
        <w:gridCol w:w="557"/>
        <w:gridCol w:w="289"/>
        <w:gridCol w:w="864"/>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2"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商务重点工作宣传经费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5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李学兵、张萍、宋莉</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5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63831580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4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31.65</w:t>
            </w: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31.65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31.65</w:t>
            </w:r>
          </w:p>
        </w:tc>
        <w:tc>
          <w:tcPr>
            <w:tcW w:w="64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31.65</w:t>
            </w: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31.65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31.65</w:t>
            </w:r>
          </w:p>
        </w:tc>
        <w:tc>
          <w:tcPr>
            <w:tcW w:w="64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0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0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olor w:val="000000"/>
                <w:szCs w:val="21"/>
              </w:rPr>
              <w:t>安全生产宣传经费、消费扶贫宣传推介、丰台区商务形象宣传</w:t>
            </w:r>
          </w:p>
        </w:tc>
        <w:tc>
          <w:tcPr>
            <w:tcW w:w="37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国家宪法日及光盘行动宣传、丰台区商务局微信公众号运维、商务行业防控和消毒指引系列宣传、安全生产宣传</w:t>
            </w:r>
          </w:p>
        </w:tc>
      </w:tr>
      <w:tr>
        <w:tblPrEx>
          <w:tblCellMar>
            <w:top w:w="0" w:type="dxa"/>
            <w:left w:w="108" w:type="dxa"/>
            <w:bottom w:w="0" w:type="dxa"/>
            <w:right w:w="108" w:type="dxa"/>
          </w:tblCellMar>
        </w:tblPrEx>
        <w:trPr>
          <w:trHeight w:val="102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宣传大类</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3项</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5项</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9" w:type="dxa"/>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工作质量</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通过各种宣传手段发挥积极作用</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已基本达到预期目标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上半年完成50%</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由于疫情影响，导致上半年支出进度较慢。</w:t>
            </w: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预算控制数31.65万元</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实际执行数31.65万元</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持续优化我区营商环境</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3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82</w:t>
            </w:r>
          </w:p>
        </w:tc>
        <w:tc>
          <w:tcPr>
            <w:tcW w:w="11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96"/>
        <w:gridCol w:w="408"/>
        <w:gridCol w:w="273"/>
        <w:gridCol w:w="57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商圈提升改造工作经费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3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完成方庄、草桥等2个商圈提升改造的研究。</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完成方庄商圈提升改造方案的制定工作，对方庄商圈的商业情况进行了调研，明确了方庄提升改造的工作思路、方向定位、实施路径、具体措施。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完成方庄、草桥等2个商圈提升改造的研究。</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对两个商圈的区域情况、消费市场、区域定位、战略规划、夜间经济发展进行咨询和策划。</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2020年12月底完成。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方庄商圈提升改造，草桥商圈成为我区新的经济增长点。</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方庄商圈成为夜间经济聚集地，草桥商圈服务配套机场线始发站。</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打造辐射全市的商业地标。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85.7</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625"/>
        <w:gridCol w:w="502"/>
        <w:gridCol w:w="938"/>
        <w:gridCol w:w="1042"/>
        <w:gridCol w:w="353"/>
        <w:gridCol w:w="210"/>
        <w:gridCol w:w="480"/>
        <w:gridCol w:w="83"/>
        <w:gridCol w:w="772"/>
        <w:gridCol w:w="641"/>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区外隔离点派驻人员劳保物资经费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89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89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1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6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w:t>
            </w: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w:t>
            </w: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8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87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为做好区外隔离点派驻人员物资保障，增强做好防控工作的信心和决心，经区领导同意，区物资保障及保供稳价组拟购置一批劳保物资，用于派驻人员工作所需。</w:t>
            </w:r>
          </w:p>
        </w:tc>
        <w:tc>
          <w:tcPr>
            <w:tcW w:w="358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完成了派驻区外隔离点工作人员的劳保物资发放，增强了做好防控工作的信息和决心。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3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3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派驻人员数</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224</w:t>
            </w:r>
          </w:p>
        </w:tc>
        <w:tc>
          <w:tcPr>
            <w:tcW w:w="10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3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拨付时效</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经费下达后</w:t>
            </w:r>
          </w:p>
        </w:tc>
        <w:tc>
          <w:tcPr>
            <w:tcW w:w="10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3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人均标准</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人均200元，共需44800元</w:t>
            </w:r>
          </w:p>
        </w:tc>
        <w:tc>
          <w:tcPr>
            <w:tcW w:w="10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实际执行数44800元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3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社会效益</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保障工作人员进一步做好疫情防控工作</w:t>
            </w:r>
          </w:p>
        </w:tc>
        <w:tc>
          <w:tcPr>
            <w:tcW w:w="10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3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派驻区外隔离点人员</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得到物资保障增强了做好防控工作的信息和决心</w:t>
            </w:r>
          </w:p>
        </w:tc>
        <w:tc>
          <w:tcPr>
            <w:tcW w:w="10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基本达到预期效果</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162"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407"/>
        <w:gridCol w:w="439"/>
        <w:gridCol w:w="834"/>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0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其他用工经费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8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8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84.62%</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16.92</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84.62%</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1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根据税务局要求，交纳残疾人保障金，根据往年情况及现有人数，预计缴纳5.2万元。</w:t>
            </w:r>
          </w:p>
          <w:p>
            <w:pPr>
              <w:widowControl/>
              <w:spacing w:line="240" w:lineRule="exact"/>
              <w:jc w:val="center"/>
              <w:rPr>
                <w:rFonts w:ascii="仿宋_GB2312" w:hAnsi="宋体" w:eastAsia="仿宋_GB2312" w:cs="宋体"/>
                <w:kern w:val="0"/>
                <w:szCs w:val="21"/>
              </w:rPr>
            </w:pPr>
          </w:p>
        </w:tc>
        <w:tc>
          <w:tcPr>
            <w:tcW w:w="351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已按照相关要求缴纳残疾人保障金，实际缴纳金额44042.28元。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0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申报情况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完全全年一次性申报</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缴纳时间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按照税务局规定时间按时缴纳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8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0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缴纳金额</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规定实际缴纳额</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根据在职职工人数及工资总额，准确计算应缴纳金额</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8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94.92</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派驻新发地工作人员住宿经费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6.29</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6.29</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5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szCs w:val="21"/>
              </w:rPr>
              <w:t>为市商务局负责组织建立驻新发地临时交易区工作指导组提供住宿，与丰台区政府共同指导新发地批发市场开展疫情防控、市场供应和后期复市等保障工作。</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保障市商务局工作人员住宿，共计支出62928元。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房间数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住宿标准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标间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标间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一次性支付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一次性支付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费用支出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按标准支出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实际支持62928元，符合标准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社会效益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保障工作人员进一步做好疫情防控等工作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提供基本住宿保障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pPr w:leftFromText="180" w:rightFromText="180" w:vertAnchor="text" w:horzAnchor="page" w:tblpX="1560" w:tblpY="77"/>
        <w:tblOverlap w:val="never"/>
        <w:tblW w:w="9826" w:type="dxa"/>
        <w:tblInd w:w="0" w:type="dxa"/>
        <w:tblLayout w:type="fixed"/>
        <w:tblCellMar>
          <w:top w:w="0" w:type="dxa"/>
          <w:left w:w="108" w:type="dxa"/>
          <w:bottom w:w="0" w:type="dxa"/>
          <w:right w:w="108" w:type="dxa"/>
        </w:tblCellMar>
      </w:tblPr>
      <w:tblGrid>
        <w:gridCol w:w="500"/>
        <w:gridCol w:w="859"/>
        <w:gridCol w:w="1227"/>
        <w:gridCol w:w="806"/>
        <w:gridCol w:w="251"/>
        <w:gridCol w:w="876"/>
        <w:gridCol w:w="992"/>
        <w:gridCol w:w="1677"/>
        <w:gridCol w:w="464"/>
        <w:gridCol w:w="286"/>
        <w:gridCol w:w="390"/>
        <w:gridCol w:w="291"/>
        <w:gridCol w:w="1207"/>
      </w:tblGrid>
      <w:tr>
        <w:tblPrEx>
          <w:tblCellMar>
            <w:top w:w="0" w:type="dxa"/>
            <w:left w:w="108" w:type="dxa"/>
            <w:bottom w:w="0" w:type="dxa"/>
            <w:right w:w="108" w:type="dxa"/>
          </w:tblCellMar>
        </w:tblPrEx>
        <w:trPr>
          <w:trHeight w:val="306" w:hRule="exact"/>
        </w:trPr>
        <w:tc>
          <w:tcPr>
            <w:tcW w:w="13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467"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农副产品市场（社区菜市场）升级改造</w:t>
            </w:r>
          </w:p>
        </w:tc>
      </w:tr>
      <w:tr>
        <w:tblPrEx>
          <w:tblCellMar>
            <w:top w:w="0" w:type="dxa"/>
            <w:left w:w="108" w:type="dxa"/>
            <w:bottom w:w="0" w:type="dxa"/>
            <w:right w:w="108" w:type="dxa"/>
          </w:tblCellMar>
        </w:tblPrEx>
        <w:trPr>
          <w:trHeight w:val="306" w:hRule="exact"/>
        </w:trPr>
        <w:tc>
          <w:tcPr>
            <w:tcW w:w="13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5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北京市丰台区商务局</w:t>
            </w:r>
          </w:p>
        </w:tc>
        <w:tc>
          <w:tcPr>
            <w:tcW w:w="167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北京市丰台区商务局</w:t>
            </w:r>
          </w:p>
        </w:tc>
      </w:tr>
      <w:tr>
        <w:tblPrEx>
          <w:tblCellMar>
            <w:top w:w="0" w:type="dxa"/>
            <w:left w:w="108" w:type="dxa"/>
            <w:bottom w:w="0" w:type="dxa"/>
            <w:right w:w="108" w:type="dxa"/>
          </w:tblCellMar>
        </w:tblPrEx>
        <w:trPr>
          <w:trHeight w:val="306" w:hRule="exact"/>
        </w:trPr>
        <w:tc>
          <w:tcPr>
            <w:tcW w:w="13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5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孙永利</w:t>
            </w:r>
          </w:p>
        </w:tc>
        <w:tc>
          <w:tcPr>
            <w:tcW w:w="167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63831120</w:t>
            </w:r>
          </w:p>
        </w:tc>
      </w:tr>
      <w:tr>
        <w:tblPrEx>
          <w:tblCellMar>
            <w:top w:w="0" w:type="dxa"/>
            <w:left w:w="108" w:type="dxa"/>
            <w:bottom w:w="0" w:type="dxa"/>
            <w:right w:w="108" w:type="dxa"/>
          </w:tblCellMar>
        </w:tblPrEx>
        <w:trPr>
          <w:trHeight w:val="567" w:hRule="exact"/>
        </w:trPr>
        <w:tc>
          <w:tcPr>
            <w:tcW w:w="135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67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4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7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4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7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4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1" w:hRule="exact"/>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6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42" w:hRule="exact"/>
        </w:trPr>
        <w:tc>
          <w:tcPr>
            <w:tcW w:w="50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1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31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53" w:hRule="exact"/>
        </w:trPr>
        <w:tc>
          <w:tcPr>
            <w:tcW w:w="5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1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按照《丰</w:t>
            </w:r>
            <w:r>
              <w:rPr>
                <w:rFonts w:ascii="仿宋_GB2312" w:hAnsi="宋体" w:eastAsia="仿宋_GB2312" w:cs="宋体"/>
                <w:kern w:val="0"/>
                <w:szCs w:val="21"/>
              </w:rPr>
              <w:t>台区农副产品市场提升改造计划</w:t>
            </w:r>
            <w:r>
              <w:rPr>
                <w:rFonts w:hint="eastAsia" w:ascii="仿宋_GB2312" w:hAnsi="宋体" w:eastAsia="仿宋_GB2312" w:cs="宋体"/>
                <w:kern w:val="0"/>
                <w:szCs w:val="21"/>
              </w:rPr>
              <w:t>》的要求，对2018年升级改造的社区菜市场进行资金支持。</w:t>
            </w:r>
          </w:p>
        </w:tc>
        <w:tc>
          <w:tcPr>
            <w:tcW w:w="431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对2018年升级改造的1家社区菜市场（生活美景菜市场）进行资金支持</w:t>
            </w:r>
          </w:p>
        </w:tc>
      </w:tr>
      <w:tr>
        <w:tblPrEx>
          <w:tblCellMar>
            <w:top w:w="0" w:type="dxa"/>
            <w:left w:w="108" w:type="dxa"/>
            <w:bottom w:w="0" w:type="dxa"/>
            <w:right w:w="108" w:type="dxa"/>
          </w:tblCellMar>
        </w:tblPrEx>
        <w:trPr>
          <w:trHeight w:val="736" w:hRule="atLeast"/>
        </w:trPr>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0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8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6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019"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支持菜市场数量</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对已改造菜市场进行资金支持。</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对2018年升级改造的1家社区菜市场进行资金支持。</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12"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改造标准</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按照北京</w:t>
            </w:r>
            <w:r>
              <w:rPr>
                <w:rFonts w:ascii="仿宋_GB2312" w:hAnsi="宋体" w:eastAsia="仿宋_GB2312" w:cs="宋体"/>
                <w:color w:val="000000"/>
                <w:kern w:val="0"/>
                <w:szCs w:val="21"/>
              </w:rPr>
              <w:t>市社区菜市场设置与管理规范或丰台区现有农副产品超市提升改造标准</w:t>
            </w:r>
            <w:r>
              <w:rPr>
                <w:rFonts w:hint="eastAsia" w:ascii="仿宋_GB2312" w:hAnsi="宋体" w:eastAsia="仿宋_GB2312" w:cs="宋体"/>
                <w:color w:val="000000"/>
                <w:kern w:val="0"/>
                <w:szCs w:val="21"/>
              </w:rPr>
              <w:t>完成</w:t>
            </w:r>
            <w:r>
              <w:rPr>
                <w:rFonts w:ascii="仿宋_GB2312" w:hAnsi="宋体" w:eastAsia="仿宋_GB2312" w:cs="宋体"/>
                <w:color w:val="000000"/>
                <w:kern w:val="0"/>
                <w:szCs w:val="21"/>
              </w:rPr>
              <w:t>装修改造</w:t>
            </w:r>
            <w:r>
              <w:rPr>
                <w:rFonts w:hint="eastAsia" w:ascii="仿宋_GB2312" w:hAnsi="宋体" w:eastAsia="仿宋_GB2312" w:cs="宋体"/>
                <w:color w:val="000000"/>
                <w:kern w:val="0"/>
                <w:szCs w:val="21"/>
              </w:rPr>
              <w:t>。</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资金支持菜市场已按照要求进行了升级改造</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97"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时限要求</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2020年10月底</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2020年10月底</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9"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补贴标准</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按照补助标准，补助金额第三年为总金额的20%，即20万。</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支持金额20万</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18"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蔬菜供应</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发挥社会资本作用，对菜市场进行升级改造。</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发挥社会资本作用，对菜市场进行升级改造。</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5"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便民利民</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持续保持改造后社区菜市场。</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持续保持改造后社区菜市场。</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环境秩序</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提升菜市场环境秩序</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菜市场环境秩序进一步提升</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分期拨付</w:t>
            </w:r>
          </w:p>
        </w:tc>
        <w:tc>
          <w:tcPr>
            <w:tcW w:w="1868"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color w:val="000000"/>
                <w:kern w:val="0"/>
                <w:szCs w:val="21"/>
              </w:rPr>
              <w:t>拨付剩余20%</w:t>
            </w:r>
            <w:r>
              <w:rPr>
                <w:rFonts w:hint="eastAsia" w:ascii="仿宋_GB2312" w:hAnsi="宋体" w:eastAsia="仿宋_GB2312" w:cs="宋体"/>
                <w:color w:val="000000"/>
                <w:kern w:val="0"/>
                <w:szCs w:val="21"/>
              </w:rPr>
              <w:t>支持资金</w:t>
            </w:r>
          </w:p>
        </w:tc>
        <w:tc>
          <w:tcPr>
            <w:tcW w:w="167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已</w:t>
            </w:r>
            <w:r>
              <w:rPr>
                <w:rFonts w:ascii="仿宋_GB2312" w:hAnsi="宋体" w:eastAsia="仿宋_GB2312" w:cs="宋体"/>
                <w:color w:val="000000"/>
                <w:kern w:val="0"/>
                <w:szCs w:val="21"/>
              </w:rPr>
              <w:t>拨付剩余20%</w:t>
            </w:r>
            <w:r>
              <w:rPr>
                <w:rFonts w:hint="eastAsia" w:ascii="仿宋_GB2312" w:hAnsi="宋体" w:eastAsia="仿宋_GB2312" w:cs="宋体"/>
                <w:color w:val="000000"/>
                <w:kern w:val="0"/>
                <w:szCs w:val="21"/>
              </w:rPr>
              <w:t>支持资金</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05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群众认可度较高</w:t>
            </w:r>
          </w:p>
        </w:tc>
        <w:tc>
          <w:tcPr>
            <w:tcW w:w="186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群众认可度较高</w:t>
            </w:r>
          </w:p>
        </w:tc>
        <w:tc>
          <w:tcPr>
            <w:tcW w:w="167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群众认可度较高</w:t>
            </w:r>
          </w:p>
        </w:tc>
        <w:tc>
          <w:tcPr>
            <w:tcW w:w="7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trPr>
        <w:tc>
          <w:tcPr>
            <w:tcW w:w="718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91</w:t>
            </w:r>
          </w:p>
        </w:tc>
        <w:tc>
          <w:tcPr>
            <w:tcW w:w="12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96"/>
        <w:gridCol w:w="408"/>
        <w:gridCol w:w="273"/>
        <w:gridCol w:w="57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流通促销工作经费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12"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1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开展多种类型的系列促消费活动。</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丰台消费季以“约惠丰台 感受丰范”为主题，围绕七夕、国庆、中秋、重阳节、双十一、双十二、跨年等节日节庆节点，聚焦夜经济、直播带货、新能源汽车、花卉文化、冰雪运动等消费热点，精心组织开展了百余项商旅文体等多个领域的线上线下结合促消费活动，取得了显著成效。</w:t>
            </w:r>
          </w:p>
        </w:tc>
      </w:tr>
      <w:tr>
        <w:tblPrEx>
          <w:tblCellMar>
            <w:top w:w="0" w:type="dxa"/>
            <w:left w:w="108" w:type="dxa"/>
            <w:bottom w:w="0" w:type="dxa"/>
            <w:right w:w="108" w:type="dxa"/>
          </w:tblCellMar>
        </w:tblPrEx>
        <w:trPr>
          <w:trHeight w:val="76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19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开展品牌购物节、跨境电商消费节、美食节品牌购物节、时尚消费季等活动，并开展系列宣传。</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保障年度市场消费指标任务完成。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2020年12月底完成。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促消费活动经费。</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实际执行125万元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促消费工作宣传经费。</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实际执行25万元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促进我区消费增长，推动消费升级。</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营造良好的消费氛围。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打造系列具有区域特色的消费品牌活动。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94.7</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10150" w:type="dxa"/>
        <w:jc w:val="center"/>
        <w:tblLayout w:type="fixed"/>
        <w:tblCellMar>
          <w:top w:w="0" w:type="dxa"/>
          <w:left w:w="108" w:type="dxa"/>
          <w:bottom w:w="0" w:type="dxa"/>
          <w:right w:w="108" w:type="dxa"/>
        </w:tblCellMar>
      </w:tblPr>
      <w:tblGrid>
        <w:gridCol w:w="585"/>
        <w:gridCol w:w="975"/>
        <w:gridCol w:w="1105"/>
        <w:gridCol w:w="727"/>
        <w:gridCol w:w="906"/>
        <w:gridCol w:w="184"/>
        <w:gridCol w:w="1560"/>
        <w:gridCol w:w="848"/>
        <w:gridCol w:w="279"/>
        <w:gridCol w:w="284"/>
        <w:gridCol w:w="420"/>
        <w:gridCol w:w="411"/>
        <w:gridCol w:w="435"/>
        <w:gridCol w:w="1431"/>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590"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粮食工作专项经费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8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98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8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张萍</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98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63837200</w:t>
            </w:r>
          </w:p>
        </w:tc>
      </w:tr>
      <w:tr>
        <w:tblPrEx>
          <w:tblCellMar>
            <w:top w:w="0" w:type="dxa"/>
            <w:left w:w="108" w:type="dxa"/>
            <w:bottom w:w="0" w:type="dxa"/>
            <w:right w:w="108" w:type="dxa"/>
          </w:tblCellMar>
        </w:tblPrEx>
        <w:trPr>
          <w:trHeight w:val="541"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43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143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143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3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3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5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0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0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57" w:type="dxa"/>
            <w:gridSpan w:val="6"/>
            <w:tcBorders>
              <w:top w:val="single" w:color="auto" w:sz="4" w:space="0"/>
              <w:left w:val="nil"/>
              <w:bottom w:val="single" w:color="auto" w:sz="4" w:space="0"/>
              <w:right w:val="single" w:color="auto" w:sz="4" w:space="0"/>
            </w:tcBorders>
            <w:vAlign w:val="center"/>
          </w:tcPr>
          <w:p>
            <w:pPr>
              <w:widowControl/>
              <w:numPr>
                <w:ilvl w:val="0"/>
                <w:numId w:val="1"/>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预计完成110家餐饮企业和200户城镇居民粮油平 衡调查；</w:t>
            </w:r>
          </w:p>
          <w:p>
            <w:pPr>
              <w:widowControl/>
              <w:numPr>
                <w:ilvl w:val="0"/>
                <w:numId w:val="1"/>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开展粮食应急演练。</w:t>
            </w:r>
          </w:p>
        </w:tc>
        <w:tc>
          <w:tcPr>
            <w:tcW w:w="4108" w:type="dxa"/>
            <w:gridSpan w:val="7"/>
            <w:tcBorders>
              <w:top w:val="single" w:color="auto" w:sz="4" w:space="0"/>
              <w:left w:val="nil"/>
              <w:bottom w:val="single" w:color="auto" w:sz="4" w:space="0"/>
              <w:right w:val="single" w:color="auto" w:sz="4" w:space="0"/>
            </w:tcBorders>
            <w:vAlign w:val="center"/>
          </w:tcPr>
          <w:p>
            <w:pPr>
              <w:widowControl/>
              <w:numPr>
                <w:ilvl w:val="0"/>
                <w:numId w:val="2"/>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完成了110家餐饮企业和200户城镇居民粮油平衡调查；</w:t>
            </w:r>
          </w:p>
          <w:p>
            <w:pPr>
              <w:widowControl/>
              <w:numPr>
                <w:ilvl w:val="0"/>
                <w:numId w:val="2"/>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开展了粮食应急演练。</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5"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1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城镇居民户粮油消费调查</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200户</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200户</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餐饮企业用油量调查</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应急演练次数</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完成质量</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按要求完成年初设定的目标工作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4"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根据市粮食和物资储备局要求时间完成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4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项目预算支出</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一是因疫情原因不便举办较大规模的应急演练，减少演练规模，从而资金支出减少。二是市里临时增加了平衡调查经费，所以区级经费支出减少</w:t>
            </w:r>
          </w:p>
        </w:tc>
      </w:tr>
      <w:tr>
        <w:tblPrEx>
          <w:tblCellMar>
            <w:top w:w="0" w:type="dxa"/>
            <w:left w:w="108" w:type="dxa"/>
            <w:bottom w:w="0" w:type="dxa"/>
            <w:right w:w="108" w:type="dxa"/>
          </w:tblCellMar>
        </w:tblPrEx>
        <w:trPr>
          <w:trHeight w:val="167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项目达到的效果</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获取我区粮油消费数据、提高我区粮食供给应急处置能力，维护我区粮食行业安全稳定，保障老百姓的“米袋子”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基本达成预期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获得上级部门对执行项目的认可</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9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89.52</w:t>
            </w:r>
          </w:p>
        </w:tc>
        <w:tc>
          <w:tcPr>
            <w:tcW w:w="18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540" w:type="dxa"/>
        <w:jc w:val="center"/>
        <w:tblLayout w:type="fixed"/>
        <w:tblCellMar>
          <w:top w:w="0" w:type="dxa"/>
          <w:left w:w="108" w:type="dxa"/>
          <w:bottom w:w="0" w:type="dxa"/>
          <w:right w:w="108" w:type="dxa"/>
        </w:tblCellMar>
      </w:tblPr>
      <w:tblGrid>
        <w:gridCol w:w="585"/>
        <w:gridCol w:w="975"/>
        <w:gridCol w:w="1105"/>
        <w:gridCol w:w="727"/>
        <w:gridCol w:w="265"/>
        <w:gridCol w:w="750"/>
        <w:gridCol w:w="870"/>
        <w:gridCol w:w="1232"/>
        <w:gridCol w:w="451"/>
        <w:gridCol w:w="229"/>
        <w:gridCol w:w="570"/>
        <w:gridCol w:w="270"/>
        <w:gridCol w:w="576"/>
        <w:gridCol w:w="935"/>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80"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救灾物资储备库管理及运营费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71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6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8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71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张萍</w:t>
            </w:r>
          </w:p>
        </w:tc>
        <w:tc>
          <w:tcPr>
            <w:tcW w:w="16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8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63837200</w:t>
            </w:r>
          </w:p>
        </w:tc>
      </w:tr>
      <w:tr>
        <w:tblPrEx>
          <w:tblCellMar>
            <w:top w:w="0" w:type="dxa"/>
            <w:left w:w="108" w:type="dxa"/>
            <w:bottom w:w="0" w:type="dxa"/>
            <w:right w:w="108" w:type="dxa"/>
          </w:tblCellMar>
        </w:tblPrEx>
        <w:trPr>
          <w:trHeight w:val="541"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6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9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8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27.167</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27.167</w:t>
            </w:r>
          </w:p>
        </w:tc>
        <w:tc>
          <w:tcPr>
            <w:tcW w:w="16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79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w:t>
            </w:r>
          </w:p>
        </w:tc>
        <w:tc>
          <w:tcPr>
            <w:tcW w:w="9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27.167</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27.167</w:t>
            </w:r>
          </w:p>
        </w:tc>
        <w:tc>
          <w:tcPr>
            <w:tcW w:w="16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79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w:t>
            </w:r>
          </w:p>
        </w:tc>
        <w:tc>
          <w:tcPr>
            <w:tcW w:w="9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7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6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26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692" w:type="dxa"/>
            <w:gridSpan w:val="6"/>
            <w:tcBorders>
              <w:top w:val="single" w:color="auto" w:sz="4" w:space="0"/>
              <w:left w:val="nil"/>
              <w:bottom w:val="single" w:color="auto" w:sz="4" w:space="0"/>
              <w:right w:val="single" w:color="auto" w:sz="4" w:space="0"/>
            </w:tcBorders>
            <w:vAlign w:val="center"/>
          </w:tcPr>
          <w:p>
            <w:pPr>
              <w:widowControl/>
              <w:numPr>
                <w:ilvl w:val="0"/>
                <w:numId w:val="1"/>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预计完成救灾物资储备库的租赁，对应急储备物资进行收储、轮换和投放</w:t>
            </w:r>
          </w:p>
        </w:tc>
        <w:tc>
          <w:tcPr>
            <w:tcW w:w="4263" w:type="dxa"/>
            <w:gridSpan w:val="7"/>
            <w:tcBorders>
              <w:top w:val="single" w:color="auto" w:sz="4" w:space="0"/>
              <w:left w:val="nil"/>
              <w:bottom w:val="single" w:color="auto" w:sz="4" w:space="0"/>
              <w:right w:val="single" w:color="auto" w:sz="4" w:space="0"/>
            </w:tcBorders>
            <w:vAlign w:val="center"/>
          </w:tcPr>
          <w:p>
            <w:pPr>
              <w:widowControl/>
              <w:numPr>
                <w:ilvl w:val="0"/>
                <w:numId w:val="2"/>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完成了救灾物资储备库的租赁，规范应急储备物资的管理。</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9"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38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储备库</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租赁一个管理规范的救灾物资储备库</w:t>
            </w:r>
          </w:p>
        </w:tc>
        <w:tc>
          <w:tcPr>
            <w:tcW w:w="12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通过公开征集的方式完成救灾物资储备库租赁</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储存能力</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储备库需具备存储2000人以上物资的能力，保证货物完好</w:t>
            </w:r>
          </w:p>
        </w:tc>
        <w:tc>
          <w:tcPr>
            <w:tcW w:w="123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2020年12月前</w:t>
            </w:r>
          </w:p>
        </w:tc>
        <w:tc>
          <w:tcPr>
            <w:tcW w:w="12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3"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项目预算支出</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27.167万元</w:t>
            </w:r>
          </w:p>
        </w:tc>
        <w:tc>
          <w:tcPr>
            <w:tcW w:w="12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27万元</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154"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项目达到的效果</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规范应急储备物资收储、轮换和日常管理，保障应急需求</w:t>
            </w:r>
          </w:p>
        </w:tc>
        <w:tc>
          <w:tcPr>
            <w:tcW w:w="12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基本达成预期</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由于租赁合同于12月签订，应急储备物资尚存于民政局，无法及时入新库管理，2021年已完成物资交接并入库。</w:t>
            </w:r>
          </w:p>
        </w:tc>
      </w:tr>
      <w:tr>
        <w:tblPrEx>
          <w:tblCellMar>
            <w:top w:w="0" w:type="dxa"/>
            <w:left w:w="108" w:type="dxa"/>
            <w:bottom w:w="0" w:type="dxa"/>
            <w:right w:w="108" w:type="dxa"/>
          </w:tblCellMar>
        </w:tblPrEx>
        <w:trPr>
          <w:trHeight w:val="8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获得上级部门对执行项目的认可</w:t>
            </w:r>
          </w:p>
        </w:tc>
        <w:tc>
          <w:tcPr>
            <w:tcW w:w="12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0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91.88</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302"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411"/>
        <w:gridCol w:w="420"/>
        <w:gridCol w:w="280"/>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4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基层党组织工作和活动经费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刘纪元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63832860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0.96</w:t>
            </w:r>
          </w:p>
        </w:tc>
        <w:tc>
          <w:tcPr>
            <w:tcW w:w="8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0.96</w:t>
            </w:r>
          </w:p>
        </w:tc>
        <w:tc>
          <w:tcPr>
            <w:tcW w:w="8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5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仿宋_GB2312"/>
                <w:color w:val="000000"/>
                <w:szCs w:val="21"/>
                <w:shd w:val="clear" w:color="auto" w:fill="FFFFFF"/>
              </w:rPr>
              <w:t>用于支部组织</w:t>
            </w:r>
            <w:r>
              <w:rPr>
                <w:rFonts w:ascii="仿宋_GB2312" w:hAnsi="宋体" w:eastAsia="仿宋_GB2312" w:cs="仿宋_GB2312"/>
                <w:color w:val="000000"/>
                <w:szCs w:val="21"/>
                <w:shd w:val="clear" w:color="auto" w:fill="FFFFFF"/>
              </w:rPr>
              <w:t>党建活动</w:t>
            </w:r>
            <w:r>
              <w:rPr>
                <w:rFonts w:hint="eastAsia" w:ascii="仿宋_GB2312" w:hAnsi="宋体" w:eastAsia="仿宋_GB2312" w:cs="仿宋_GB2312"/>
                <w:color w:val="000000"/>
                <w:szCs w:val="21"/>
                <w:shd w:val="clear" w:color="auto" w:fill="FFFFFF"/>
              </w:rPr>
              <w:t>相关费用支出。</w:t>
            </w:r>
          </w:p>
        </w:tc>
        <w:tc>
          <w:tcPr>
            <w:tcW w:w="365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仿宋_GB2312"/>
                <w:color w:val="000000"/>
                <w:szCs w:val="21"/>
                <w:shd w:val="clear" w:color="auto" w:fill="FFFFFF"/>
              </w:rPr>
              <w:t>支出包括开展</w:t>
            </w:r>
            <w:r>
              <w:rPr>
                <w:rFonts w:ascii="仿宋_GB2312" w:hAnsi="宋体" w:eastAsia="仿宋_GB2312" w:cs="仿宋_GB2312"/>
                <w:color w:val="000000"/>
                <w:szCs w:val="21"/>
                <w:shd w:val="clear" w:color="auto" w:fill="FFFFFF"/>
              </w:rPr>
              <w:t>党建活动需集体出行发生的租车费用</w:t>
            </w:r>
            <w:r>
              <w:rPr>
                <w:rFonts w:hint="eastAsia" w:ascii="仿宋_GB2312" w:hAnsi="宋体" w:eastAsia="仿宋_GB2312" w:cs="仿宋_GB2312"/>
                <w:color w:val="000000"/>
                <w:szCs w:val="21"/>
                <w:shd w:val="clear" w:color="auto" w:fill="FFFFFF"/>
              </w:rPr>
              <w:t>、聘请</w:t>
            </w:r>
            <w:r>
              <w:rPr>
                <w:rFonts w:ascii="仿宋_GB2312" w:hAnsi="宋体" w:eastAsia="仿宋_GB2312" w:cs="仿宋_GB2312"/>
                <w:color w:val="000000"/>
                <w:szCs w:val="21"/>
                <w:shd w:val="clear" w:color="auto" w:fill="FFFFFF"/>
              </w:rPr>
              <w:t>为党员授课</w:t>
            </w:r>
            <w:r>
              <w:rPr>
                <w:rFonts w:hint="eastAsia" w:ascii="仿宋_GB2312" w:hAnsi="宋体" w:eastAsia="仿宋_GB2312" w:cs="仿宋_GB2312"/>
                <w:color w:val="000000"/>
                <w:szCs w:val="21"/>
                <w:shd w:val="clear" w:color="auto" w:fill="FFFFFF"/>
              </w:rPr>
              <w:t>教师的讲课费以及购买学习培训相关资料。</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组织党员数量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党建工作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提升商务局党建工作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党建活动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党建活动安排合理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费用成本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预算0.96万元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经费控制在预算内</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提高服务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增强党员自我修养、提高为民服务意识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党员满意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207" w:type="dxa"/>
        <w:jc w:val="center"/>
        <w:tblLayout w:type="fixed"/>
        <w:tblCellMar>
          <w:top w:w="0" w:type="dxa"/>
          <w:left w:w="108" w:type="dxa"/>
          <w:bottom w:w="0" w:type="dxa"/>
          <w:right w:w="108" w:type="dxa"/>
        </w:tblCellMar>
      </w:tblPr>
      <w:tblGrid>
        <w:gridCol w:w="585"/>
        <w:gridCol w:w="975"/>
        <w:gridCol w:w="1105"/>
        <w:gridCol w:w="727"/>
        <w:gridCol w:w="955"/>
        <w:gridCol w:w="172"/>
        <w:gridCol w:w="1132"/>
        <w:gridCol w:w="848"/>
        <w:gridCol w:w="279"/>
        <w:gridCol w:w="453"/>
        <w:gridCol w:w="420"/>
        <w:gridCol w:w="255"/>
        <w:gridCol w:w="591"/>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4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丰台区新发地农产品批发市场复市工作专班工作期间用餐经费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17.69</w:t>
            </w:r>
          </w:p>
        </w:tc>
        <w:tc>
          <w:tcPr>
            <w:tcW w:w="8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45.36%</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17.69</w:t>
            </w:r>
          </w:p>
        </w:tc>
        <w:tc>
          <w:tcPr>
            <w:tcW w:w="8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45.36%</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按照市区统一部署，为安全有序推进新发地农产品批发市场复市，强化全区统筹调度，确保工作成效，设立新发地农产品批发市场复市工作专班，申请工作期间用餐经费，保障专班。</w:t>
            </w:r>
          </w:p>
          <w:p>
            <w:pPr>
              <w:widowControl/>
              <w:spacing w:line="240" w:lineRule="exact"/>
              <w:jc w:val="center"/>
              <w:rPr>
                <w:rFonts w:ascii="仿宋_GB2312" w:hAnsi="宋体" w:eastAsia="仿宋_GB2312" w:cs="宋体"/>
                <w:kern w:val="0"/>
                <w:szCs w:val="21"/>
              </w:rPr>
            </w:pPr>
          </w:p>
        </w:tc>
        <w:tc>
          <w:tcPr>
            <w:tcW w:w="35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顺利保障</w:t>
            </w:r>
            <w:r>
              <w:rPr>
                <w:rFonts w:hint="eastAsia" w:ascii="仿宋_GB2312" w:hAnsi="仿宋_GB2312" w:eastAsia="仿宋_GB2312" w:cs="仿宋_GB2312"/>
              </w:rPr>
              <w:t>新发地农产品批发市场复市工作专班用餐，共计支出用餐经费176875元。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1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工作餐份数</w:t>
            </w:r>
          </w:p>
        </w:tc>
        <w:tc>
          <w:tcPr>
            <w:tcW w:w="13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早餐1934份、午餐2123份、晚餐778份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餐品质量</w:t>
            </w:r>
          </w:p>
        </w:tc>
        <w:tc>
          <w:tcPr>
            <w:tcW w:w="13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确保工作人员用餐健康</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已达标</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配送时效</w:t>
            </w:r>
          </w:p>
        </w:tc>
        <w:tc>
          <w:tcPr>
            <w:tcW w:w="13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按用餐时间及时配送</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按时配送</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餐费标准</w:t>
            </w:r>
          </w:p>
        </w:tc>
        <w:tc>
          <w:tcPr>
            <w:tcW w:w="13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早餐25元、午餐50元、晚餐25元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按标准完成</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社会效益</w:t>
            </w:r>
          </w:p>
        </w:tc>
        <w:tc>
          <w:tcPr>
            <w:tcW w:w="13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保障工作人员进一步做好疫情防控等工作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8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3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用餐工作人员满意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基本满意</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88.5</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223"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481"/>
        <w:gridCol w:w="408"/>
        <w:gridCol w:w="354"/>
        <w:gridCol w:w="492"/>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63"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丰台区汽车购车补贴经费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4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w:t>
            </w: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w:t>
            </w: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5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为积极应对新冠肺炎疫情，释放消费需求，促进汽车消费。</w:t>
            </w:r>
          </w:p>
        </w:tc>
        <w:tc>
          <w:tcPr>
            <w:tcW w:w="3572"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年度总体目标完成情况综述：开展限量购车补贴活动，补贴资金共计1000万元，拉动作用明显，共售出汽车4400余台，5月单月汽车类商品实现零售额15.2亿元，环比增长31.0%。</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285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适用于在丰台区域内依法经营、注册、纳税的汽车4S店购置新车的消费者，购买价值10万元以下的乘用车补贴1000元/辆；购买价值10万元（含）-20万元的乘用车补贴2000元/辆；购买价值20万元（含）以上的乘用车补贴3000元/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监督企业向消费者提供符符合汽车行业标准的优质商品和服务，保证消费者享受补贴的同时不影响服务质量。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补贴时间至6月30日，如在截止日期前资金兑现完毕，补贴活动即停止。</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7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带动我区社会消费品零售额回升，增加税收收入。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18.8</w:t>
            </w:r>
          </w:p>
        </w:tc>
        <w:tc>
          <w:tcPr>
            <w:tcW w:w="12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提振消费信心，营造消费氛围。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12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5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95.05</w:t>
            </w:r>
          </w:p>
        </w:tc>
        <w:tc>
          <w:tcPr>
            <w:tcW w:w="12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602" w:type="dxa"/>
        <w:jc w:val="center"/>
        <w:tblLayout w:type="fixed"/>
        <w:tblCellMar>
          <w:top w:w="0" w:type="dxa"/>
          <w:left w:w="108" w:type="dxa"/>
          <w:bottom w:w="0" w:type="dxa"/>
          <w:right w:w="108" w:type="dxa"/>
        </w:tblCellMar>
      </w:tblPr>
      <w:tblGrid>
        <w:gridCol w:w="585"/>
        <w:gridCol w:w="975"/>
        <w:gridCol w:w="839"/>
        <w:gridCol w:w="993"/>
        <w:gridCol w:w="477"/>
        <w:gridCol w:w="650"/>
        <w:gridCol w:w="968"/>
        <w:gridCol w:w="1352"/>
        <w:gridCol w:w="777"/>
        <w:gridCol w:w="58"/>
        <w:gridCol w:w="737"/>
        <w:gridCol w:w="109"/>
        <w:gridCol w:w="1082"/>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42"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对口支援合作、重点商务工作交流经费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6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张萍、牛格非</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6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63837200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3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08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12.51</w:t>
            </w: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12.51</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83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11.35%</w:t>
            </w:r>
          </w:p>
        </w:tc>
        <w:tc>
          <w:tcPr>
            <w:tcW w:w="108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12.51</w:t>
            </w: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12.51</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83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11.35%</w:t>
            </w:r>
          </w:p>
        </w:tc>
        <w:tc>
          <w:tcPr>
            <w:tcW w:w="108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8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8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0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1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1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0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olor w:val="000000"/>
                <w:szCs w:val="21"/>
              </w:rPr>
              <w:t>组织相关部门、企业与受援地两县一旗相互</w:t>
            </w:r>
            <w:r>
              <w:rPr>
                <w:rFonts w:ascii="仿宋_GB2312" w:hAnsi="宋体" w:eastAsia="仿宋_GB2312"/>
                <w:color w:val="000000"/>
                <w:szCs w:val="21"/>
              </w:rPr>
              <w:t>开展</w:t>
            </w:r>
            <w:r>
              <w:rPr>
                <w:rFonts w:hint="eastAsia" w:ascii="仿宋_GB2312" w:hAnsi="宋体" w:eastAsia="仿宋_GB2312"/>
                <w:color w:val="000000"/>
                <w:szCs w:val="21"/>
              </w:rPr>
              <w:t>实地消费扶贫合作</w:t>
            </w:r>
            <w:r>
              <w:rPr>
                <w:rFonts w:ascii="仿宋_GB2312" w:hAnsi="宋体" w:eastAsia="仿宋_GB2312"/>
                <w:color w:val="000000"/>
                <w:szCs w:val="21"/>
              </w:rPr>
              <w:t>交流</w:t>
            </w:r>
            <w:r>
              <w:rPr>
                <w:rFonts w:hint="eastAsia" w:ascii="仿宋_GB2312" w:hAnsi="宋体" w:eastAsia="仿宋_GB2312"/>
                <w:color w:val="000000"/>
                <w:szCs w:val="21"/>
              </w:rPr>
              <w:t>；组织相关部门、属地到促消费、</w:t>
            </w:r>
            <w:r>
              <w:rPr>
                <w:rFonts w:ascii="仿宋_GB2312" w:hAnsi="宋体" w:eastAsia="仿宋_GB2312"/>
                <w:color w:val="000000"/>
                <w:szCs w:val="21"/>
              </w:rPr>
              <w:t>生活性服务业品质提升</w:t>
            </w:r>
            <w:r>
              <w:rPr>
                <w:rFonts w:hint="eastAsia" w:ascii="仿宋_GB2312" w:hAnsi="宋体" w:eastAsia="仿宋_GB2312"/>
                <w:color w:val="000000"/>
                <w:szCs w:val="21"/>
              </w:rPr>
              <w:t>工作开展较好的地区实地合作</w:t>
            </w:r>
            <w:r>
              <w:rPr>
                <w:rFonts w:ascii="仿宋_GB2312" w:hAnsi="宋体" w:eastAsia="仿宋_GB2312"/>
                <w:color w:val="000000"/>
                <w:szCs w:val="21"/>
              </w:rPr>
              <w:t>交流</w:t>
            </w:r>
          </w:p>
        </w:tc>
        <w:tc>
          <w:tcPr>
            <w:tcW w:w="411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完成内蒙古扎赉特旗、河北涞源扶贫合作交流活动</w:t>
            </w:r>
          </w:p>
        </w:tc>
      </w:tr>
      <w:tr>
        <w:tblPrEx>
          <w:tblCellMar>
            <w:top w:w="0" w:type="dxa"/>
            <w:left w:w="108" w:type="dxa"/>
            <w:bottom w:w="0" w:type="dxa"/>
            <w:right w:w="108" w:type="dxa"/>
          </w:tblCellMar>
        </w:tblPrEx>
        <w:trPr>
          <w:trHeight w:val="102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工作大类</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2项</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1项</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9" w:type="dxa"/>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工作质量</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通过商务考察推进合作交流</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已基本达到预期目标</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7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年度完成</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已部分完成</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由于疫情影响，部分考察无法进行，支出进度较慢。</w:t>
            </w:r>
          </w:p>
        </w:tc>
      </w:tr>
      <w:tr>
        <w:tblPrEx>
          <w:tblCellMar>
            <w:top w:w="0" w:type="dxa"/>
            <w:left w:w="108" w:type="dxa"/>
            <w:bottom w:w="0" w:type="dxa"/>
            <w:right w:w="108" w:type="dxa"/>
          </w:tblCellMar>
        </w:tblPrEx>
        <w:trPr>
          <w:trHeight w:val="17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预算控制数12.51万元</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实际执行数14172元</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11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由于疫情影响，部分考察无法进行，相关经费未支出。</w:t>
            </w:r>
          </w:p>
        </w:tc>
      </w:tr>
      <w:tr>
        <w:tblPrEx>
          <w:tblCellMar>
            <w:top w:w="0" w:type="dxa"/>
            <w:left w:w="108" w:type="dxa"/>
            <w:bottom w:w="0" w:type="dxa"/>
            <w:right w:w="108" w:type="dxa"/>
          </w:tblCellMar>
        </w:tblPrEx>
        <w:trPr>
          <w:trHeight w:val="12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4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6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进一步合作交流</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3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78.28</w:t>
            </w:r>
          </w:p>
        </w:tc>
        <w:tc>
          <w:tcPr>
            <w:tcW w:w="11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491"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1102"/>
        <w:gridCol w:w="279"/>
        <w:gridCol w:w="495"/>
        <w:gridCol w:w="408"/>
        <w:gridCol w:w="273"/>
        <w:gridCol w:w="57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3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电子商务示范基地调研与评估经费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3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5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3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5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90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0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0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4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7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年度设定目标：通过国家电子商务示范基地评估。</w:t>
            </w:r>
          </w:p>
        </w:tc>
        <w:tc>
          <w:tcPr>
            <w:tcW w:w="3840"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年度总体目标完成情况综述：完成《丰台区电子商务发展研究报告》和年度国家电子示范基地评估的调研工作，为进一步提升我区传统商业、探索电子商务发展新路径提供理论依据。</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通过国家电子商务示范基地评估。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对电子商务示范基地的发展成果进行调研，总结分析我区电子商务发展现状，提出下一步发展思路。</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2020年12月底完成。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推动区域电子商务创新发展。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突出“互联网</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rPr>
              <w:t>”生活服务特色，方便居民日常生活。</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增强丰台区国家电子商务示范基地的集聚效应。</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电子商务企业对政府服务基本肯定。</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5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92</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436" w:type="dxa"/>
        <w:jc w:val="center"/>
        <w:tblLayout w:type="fixed"/>
        <w:tblCellMar>
          <w:top w:w="0" w:type="dxa"/>
          <w:left w:w="108" w:type="dxa"/>
          <w:bottom w:w="0" w:type="dxa"/>
          <w:right w:w="108" w:type="dxa"/>
        </w:tblCellMar>
      </w:tblPr>
      <w:tblGrid>
        <w:gridCol w:w="585"/>
        <w:gridCol w:w="975"/>
        <w:gridCol w:w="1105"/>
        <w:gridCol w:w="727"/>
        <w:gridCol w:w="730"/>
        <w:gridCol w:w="397"/>
        <w:gridCol w:w="1132"/>
        <w:gridCol w:w="1021"/>
        <w:gridCol w:w="279"/>
        <w:gridCol w:w="509"/>
        <w:gridCol w:w="420"/>
        <w:gridCol w:w="225"/>
        <w:gridCol w:w="621"/>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876"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档案数字化专项工作经费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3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8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3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8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13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13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8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对我局2019年纸质档案和人事档案进行数字化及档案整理工作，促进档案信息化基础设施建设。</w:t>
            </w:r>
          </w:p>
        </w:tc>
        <w:tc>
          <w:tcPr>
            <w:tcW w:w="3785"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通过公开征集服务机构且由评审小组打分的方式选出服务机构，顺利完成年初预计工作任务。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工作任务数量</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预计完成一项档案整理工作</w:t>
            </w:r>
          </w:p>
        </w:tc>
        <w:tc>
          <w:tcPr>
            <w:tcW w:w="10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合规性</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按流程遴选中介结构，合规完成计划工作</w:t>
            </w:r>
          </w:p>
        </w:tc>
        <w:tc>
          <w:tcPr>
            <w:tcW w:w="10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实现预期指标</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11月底之前完成</w:t>
            </w:r>
          </w:p>
        </w:tc>
        <w:tc>
          <w:tcPr>
            <w:tcW w:w="10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成本支出</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项目预算控制数3.05万元</w:t>
            </w:r>
          </w:p>
        </w:tc>
        <w:tc>
          <w:tcPr>
            <w:tcW w:w="10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实际执行数3.05万元</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完整性、便利性</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保障我局档案资料的完整性，为日后档案工作查询工作提供了便利</w:t>
            </w:r>
          </w:p>
        </w:tc>
        <w:tc>
          <w:tcPr>
            <w:tcW w:w="10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对服务机构是否满意</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得到我局办公人员的认可</w:t>
            </w:r>
          </w:p>
        </w:tc>
        <w:tc>
          <w:tcPr>
            <w:tcW w:w="10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7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94.8</w:t>
            </w: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10194" w:type="dxa"/>
        <w:jc w:val="center"/>
        <w:tblLayout w:type="fixed"/>
        <w:tblCellMar>
          <w:top w:w="0" w:type="dxa"/>
          <w:left w:w="108" w:type="dxa"/>
          <w:bottom w:w="0" w:type="dxa"/>
          <w:right w:w="108" w:type="dxa"/>
        </w:tblCellMar>
      </w:tblPr>
      <w:tblGrid>
        <w:gridCol w:w="585"/>
        <w:gridCol w:w="741"/>
        <w:gridCol w:w="1105"/>
        <w:gridCol w:w="727"/>
        <w:gridCol w:w="1127"/>
        <w:gridCol w:w="1053"/>
        <w:gridCol w:w="1028"/>
        <w:gridCol w:w="1118"/>
        <w:gridCol w:w="279"/>
        <w:gridCol w:w="467"/>
        <w:gridCol w:w="408"/>
        <w:gridCol w:w="273"/>
        <w:gridCol w:w="573"/>
        <w:gridCol w:w="710"/>
      </w:tblGrid>
      <w:tr>
        <w:tblPrEx>
          <w:tblCellMar>
            <w:top w:w="0" w:type="dxa"/>
            <w:left w:w="108" w:type="dxa"/>
            <w:bottom w:w="0" w:type="dxa"/>
            <w:right w:w="108" w:type="dxa"/>
          </w:tblCellMar>
        </w:tblPrEx>
        <w:trPr>
          <w:trHeight w:val="306" w:hRule="exact"/>
          <w:jc w:val="center"/>
        </w:trPr>
        <w:tc>
          <w:tcPr>
            <w:tcW w:w="13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86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大型商场租金补贴审核工作经费</w:t>
            </w:r>
          </w:p>
        </w:tc>
      </w:tr>
      <w:tr>
        <w:tblPrEx>
          <w:tblCellMar>
            <w:top w:w="0" w:type="dxa"/>
            <w:left w:w="108" w:type="dxa"/>
            <w:bottom w:w="0" w:type="dxa"/>
            <w:right w:w="108" w:type="dxa"/>
          </w:tblCellMar>
        </w:tblPrEx>
        <w:trPr>
          <w:trHeight w:val="306" w:hRule="exact"/>
          <w:jc w:val="center"/>
        </w:trPr>
        <w:tc>
          <w:tcPr>
            <w:tcW w:w="13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504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39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3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504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39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32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20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9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7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0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39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7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0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39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7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87" w:hRule="exact"/>
          <w:jc w:val="center"/>
        </w:trPr>
        <w:tc>
          <w:tcPr>
            <w:tcW w:w="13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9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8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9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78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2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4" w:hRule="atLeas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8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年度设定目标：为积极应对新冠肺炎疫情，落实我区大型商业在疫情期间政策经营，保证百姓生活品质。</w:t>
            </w:r>
          </w:p>
        </w:tc>
        <w:tc>
          <w:tcPr>
            <w:tcW w:w="3828"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年度总体目标完成情况综述：鼓励大型商场为入驻中小微企业减免租金，19家商场减免租金超亿元，有序开展了疫情期间大型商场租金补贴工作，补贴总额1500余万元。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553"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适用于在丰台区域内依法经营、注册、纳税的面积在1万平米以上的大型商业、购物中心，疫情期间能正常经营，且企业必须有对本商场有租金减免行为的商业企业和购物中心企业。</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7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通过第三方机构推进落实，经商务局认定区域综合贡献突出的大型商场、购物中心，为入驻中小微租户减免租金的，按规定额度予以一定补偿，对第三方机构按比例支付一定服务费用。</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74"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补贴企业数量，每家大型商业、购物中心补贴金额已经确定，下一步资金到位，尽快支付第三方机构服务费用5万元。</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服务费用5万元。</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实际执行5万元</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带动我区社会消费品零售额回升，增加税收收入。</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9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提振消费信心，营造消费氛围。</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90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进一步优化营商环境，增强我区经济发展的可持续性。</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8.2</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48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93.2</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10400" w:type="dxa"/>
        <w:jc w:val="center"/>
        <w:tblLayout w:type="fixed"/>
        <w:tblCellMar>
          <w:top w:w="0" w:type="dxa"/>
          <w:left w:w="108" w:type="dxa"/>
          <w:bottom w:w="0" w:type="dxa"/>
          <w:right w:w="108" w:type="dxa"/>
        </w:tblCellMar>
      </w:tblPr>
      <w:tblGrid>
        <w:gridCol w:w="585"/>
        <w:gridCol w:w="701"/>
        <w:gridCol w:w="780"/>
        <w:gridCol w:w="1190"/>
        <w:gridCol w:w="776"/>
        <w:gridCol w:w="112"/>
        <w:gridCol w:w="920"/>
        <w:gridCol w:w="2870"/>
        <w:gridCol w:w="91"/>
        <w:gridCol w:w="522"/>
        <w:gridCol w:w="255"/>
        <w:gridCol w:w="275"/>
        <w:gridCol w:w="381"/>
        <w:gridCol w:w="942"/>
      </w:tblGrid>
      <w:tr>
        <w:tblPrEx>
          <w:tblCellMar>
            <w:top w:w="0" w:type="dxa"/>
            <w:left w:w="108" w:type="dxa"/>
            <w:bottom w:w="0" w:type="dxa"/>
            <w:right w:w="108" w:type="dxa"/>
          </w:tblCellMar>
        </w:tblPrEx>
        <w:trPr>
          <w:trHeight w:val="306" w:hRule="exact"/>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911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参加中国国际服务贸易交易会经费</w:t>
            </w:r>
          </w:p>
        </w:tc>
      </w:tr>
      <w:tr>
        <w:tblPrEx>
          <w:tblCellMar>
            <w:top w:w="0" w:type="dxa"/>
            <w:left w:w="108" w:type="dxa"/>
            <w:bottom w:w="0" w:type="dxa"/>
            <w:right w:w="108" w:type="dxa"/>
          </w:tblCellMar>
        </w:tblPrEx>
        <w:trPr>
          <w:trHeight w:val="306" w:hRule="exact"/>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296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李蕊</w:t>
            </w:r>
          </w:p>
        </w:tc>
        <w:tc>
          <w:tcPr>
            <w:tcW w:w="296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15811082886</w:t>
            </w:r>
          </w:p>
        </w:tc>
      </w:tr>
      <w:tr>
        <w:tblPrEx>
          <w:tblCellMar>
            <w:top w:w="0" w:type="dxa"/>
            <w:left w:w="108" w:type="dxa"/>
            <w:bottom w:w="0" w:type="dxa"/>
            <w:right w:w="108" w:type="dxa"/>
          </w:tblCellMar>
        </w:tblPrEx>
        <w:trPr>
          <w:trHeight w:val="567" w:hRule="exact"/>
          <w:jc w:val="center"/>
        </w:trPr>
        <w:tc>
          <w:tcPr>
            <w:tcW w:w="12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年初预算数</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全年预算数</w:t>
            </w:r>
          </w:p>
        </w:tc>
        <w:tc>
          <w:tcPr>
            <w:tcW w:w="296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7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2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8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w:t>
            </w:r>
          </w:p>
        </w:tc>
        <w:tc>
          <w:tcPr>
            <w:tcW w:w="296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0.67</w:t>
            </w:r>
          </w:p>
        </w:tc>
        <w:tc>
          <w:tcPr>
            <w:tcW w:w="77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FF"/>
                <w:kern w:val="0"/>
                <w:szCs w:val="21"/>
              </w:rPr>
            </w:pPr>
            <w:r>
              <w:rPr>
                <w:rFonts w:hint="eastAsia" w:ascii="仿宋_GB2312" w:hAnsi="宋体" w:eastAsia="仿宋_GB2312" w:cs="宋体"/>
                <w:kern w:val="0"/>
                <w:szCs w:val="21"/>
              </w:rPr>
              <w:t>10</w:t>
            </w:r>
          </w:p>
        </w:tc>
        <w:tc>
          <w:tcPr>
            <w:tcW w:w="6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0.4%</w:t>
            </w:r>
          </w:p>
        </w:tc>
        <w:tc>
          <w:tcPr>
            <w:tcW w:w="9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0.4</w:t>
            </w:r>
          </w:p>
        </w:tc>
      </w:tr>
      <w:tr>
        <w:tblPrEx>
          <w:tblCellMar>
            <w:top w:w="0" w:type="dxa"/>
            <w:left w:w="108" w:type="dxa"/>
            <w:bottom w:w="0" w:type="dxa"/>
            <w:right w:w="108" w:type="dxa"/>
          </w:tblCellMar>
        </w:tblPrEx>
        <w:trPr>
          <w:trHeight w:val="601" w:hRule="exact"/>
          <w:jc w:val="center"/>
        </w:trPr>
        <w:tc>
          <w:tcPr>
            <w:tcW w:w="12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8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w:t>
            </w:r>
          </w:p>
        </w:tc>
        <w:tc>
          <w:tcPr>
            <w:tcW w:w="296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0.67</w:t>
            </w:r>
          </w:p>
        </w:tc>
        <w:tc>
          <w:tcPr>
            <w:tcW w:w="77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0.4% </w:t>
            </w:r>
          </w:p>
        </w:tc>
        <w:tc>
          <w:tcPr>
            <w:tcW w:w="9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2" w:hRule="exact"/>
          <w:jc w:val="center"/>
        </w:trPr>
        <w:tc>
          <w:tcPr>
            <w:tcW w:w="12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8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96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2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8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96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47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533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06" w:hRule="atLeas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47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参加中国国际服务贸易交易会，组建丰台交易团，建设丰台区分会场，宣传我区优势发展产业；参加北京主题日推介，开展招商引资，组织企业积极参与服贸会，促进项目签约。</w:t>
            </w:r>
          </w:p>
        </w:tc>
        <w:tc>
          <w:tcPr>
            <w:tcW w:w="5336"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因服贸会升格，按照组委会要求，北京各区不再设立分会场；组建了丰台交易团，成立招商小组，对接联系服务贸会参展企业；组织195家企业线上参展，会期完成项目签约2.6亿元；组织1.1万名群众到会实地参观。</w:t>
            </w:r>
          </w:p>
        </w:tc>
      </w:tr>
      <w:tr>
        <w:tblPrEx>
          <w:tblCellMar>
            <w:top w:w="0" w:type="dxa"/>
            <w:left w:w="108" w:type="dxa"/>
            <w:bottom w:w="0" w:type="dxa"/>
            <w:right w:w="108" w:type="dxa"/>
          </w:tblCellMar>
        </w:tblPrEx>
        <w:trPr>
          <w:trHeight w:val="687"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ind w:leftChars="-26" w:right="-111" w:rightChars="-53" w:hanging="54" w:hangingChars="26"/>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483"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设立丰台分会场；组建丰台交易团，组织不少于100家企业线上参展，促进会期签约额不少于1亿元。</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组建了丰台交易团，组织195家企业线上参展，会期完成项目签约2.6亿元，达成预期目标。</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因服贸会升格，按照组委会要求，北京各区不再设立分会场</w:t>
            </w:r>
          </w:p>
        </w:tc>
      </w:tr>
      <w:tr>
        <w:tblPrEx>
          <w:tblCellMar>
            <w:top w:w="0" w:type="dxa"/>
            <w:left w:w="108" w:type="dxa"/>
            <w:bottom w:w="0" w:type="dxa"/>
            <w:right w:w="108" w:type="dxa"/>
          </w:tblCellMar>
        </w:tblPrEx>
        <w:trPr>
          <w:trHeight w:val="1050"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20"/>
                <w:szCs w:val="21"/>
              </w:rPr>
            </w:pPr>
            <w:r>
              <w:rPr>
                <w:rFonts w:hint="eastAsia" w:ascii="仿宋_GB2312" w:hAnsi="宋体" w:eastAsia="仿宋_GB2312" w:cs="宋体"/>
                <w:kern w:val="0"/>
                <w:sz w:val="20"/>
                <w:szCs w:val="21"/>
              </w:rPr>
              <w:t>参加北京主题日活动，对我区丽泽金融商务区进行推介；开展招商引资，对接联系企业。</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参加北京主题日活动，对我区丽泽金融商务区进行推介，成立招商小组，对接联系服务贸会参展企业，完成预期目标</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12月底前完成</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11月底已完成。</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预算控制在1万元以内</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实际执行0.67万元</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促进更多的项目在会期签约落地。</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根据后续跟进，项目都已签约落地。基本完成预期目标。</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组织我区群众到会参观，扩大服贸会影响力。</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组织1.1万名群众到现场参观，深入了解服贸会。完成预期目标。</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7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通过服贸会平台，广泛宣传丰台各领域发展成果，扩大招商渠道。</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各类媒体刊发、转载相关报道3600篇（条）,全方位呈现丰台区金融、科技、文化、旅游领域发展成果，展现未来发展前景，极大提高了我区知名度</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6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为企业搭建平台，获得参与企业的一致好评</w:t>
            </w:r>
          </w:p>
        </w:tc>
        <w:tc>
          <w:tcPr>
            <w:tcW w:w="10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基本完成预期目标</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93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30" w:type="dxa"/>
            <w:gridSpan w:val="2"/>
            <w:tcBorders>
              <w:top w:val="single" w:color="auto" w:sz="4" w:space="0"/>
              <w:left w:val="nil"/>
              <w:bottom w:val="single" w:color="auto" w:sz="4" w:space="0"/>
              <w:right w:val="single" w:color="auto" w:sz="4" w:space="0"/>
            </w:tcBorders>
            <w:vAlign w:val="center"/>
          </w:tcPr>
          <w:p>
            <w:pPr>
              <w:widowControl/>
              <w:spacing w:line="240" w:lineRule="exact"/>
              <w:ind w:leftChars="-33" w:right="-105" w:rightChars="-50" w:hanging="69" w:hangingChars="33"/>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90.2</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10692" w:type="dxa"/>
        <w:jc w:val="center"/>
        <w:tblLayout w:type="fixed"/>
        <w:tblCellMar>
          <w:top w:w="0" w:type="dxa"/>
          <w:left w:w="108" w:type="dxa"/>
          <w:bottom w:w="0" w:type="dxa"/>
          <w:right w:w="108" w:type="dxa"/>
        </w:tblCellMar>
      </w:tblPr>
      <w:tblGrid>
        <w:gridCol w:w="585"/>
        <w:gridCol w:w="762"/>
        <w:gridCol w:w="765"/>
        <w:gridCol w:w="1280"/>
        <w:gridCol w:w="972"/>
        <w:gridCol w:w="274"/>
        <w:gridCol w:w="1027"/>
        <w:gridCol w:w="2629"/>
        <w:gridCol w:w="639"/>
        <w:gridCol w:w="165"/>
        <w:gridCol w:w="525"/>
        <w:gridCol w:w="321"/>
        <w:gridCol w:w="748"/>
      </w:tblGrid>
      <w:tr>
        <w:tblPrEx>
          <w:tblCellMar>
            <w:top w:w="0" w:type="dxa"/>
            <w:left w:w="108" w:type="dxa"/>
            <w:bottom w:w="0" w:type="dxa"/>
            <w:right w:w="108" w:type="dxa"/>
          </w:tblCellMar>
        </w:tblPrEx>
        <w:trPr>
          <w:trHeight w:val="306" w:hRule="exact"/>
          <w:jc w:val="center"/>
        </w:trPr>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9345"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参加第三届中国国际进口博览会经费</w:t>
            </w:r>
          </w:p>
        </w:tc>
      </w:tr>
      <w:tr>
        <w:tblPrEx>
          <w:tblCellMar>
            <w:top w:w="0" w:type="dxa"/>
            <w:left w:w="108" w:type="dxa"/>
            <w:bottom w:w="0" w:type="dxa"/>
            <w:right w:w="108" w:type="dxa"/>
          </w:tblCellMar>
        </w:tblPrEx>
        <w:trPr>
          <w:trHeight w:val="306" w:hRule="exact"/>
          <w:jc w:val="center"/>
        </w:trPr>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1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262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9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1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李蕊</w:t>
            </w:r>
          </w:p>
        </w:tc>
        <w:tc>
          <w:tcPr>
            <w:tcW w:w="262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9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15811082886</w:t>
            </w:r>
          </w:p>
        </w:tc>
      </w:tr>
      <w:tr>
        <w:tblPrEx>
          <w:tblCellMar>
            <w:top w:w="0" w:type="dxa"/>
            <w:left w:w="108" w:type="dxa"/>
            <w:bottom w:w="0" w:type="dxa"/>
            <w:right w:w="108" w:type="dxa"/>
          </w:tblCellMar>
        </w:tblPrEx>
        <w:trPr>
          <w:trHeight w:val="491" w:hRule="atLeast"/>
          <w:jc w:val="center"/>
        </w:trPr>
        <w:tc>
          <w:tcPr>
            <w:tcW w:w="13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262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4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62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6.55</w:t>
            </w:r>
          </w:p>
        </w:tc>
        <w:tc>
          <w:tcPr>
            <w:tcW w:w="8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65.5%</w:t>
            </w:r>
          </w:p>
        </w:tc>
        <w:tc>
          <w:tcPr>
            <w:tcW w:w="7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r>
      <w:tr>
        <w:tblPrEx>
          <w:tblCellMar>
            <w:top w:w="0" w:type="dxa"/>
            <w:left w:w="108" w:type="dxa"/>
            <w:bottom w:w="0" w:type="dxa"/>
            <w:right w:w="108" w:type="dxa"/>
          </w:tblCellMar>
        </w:tblPrEx>
        <w:trPr>
          <w:trHeight w:val="601" w:hRule="exact"/>
          <w:jc w:val="center"/>
        </w:trPr>
        <w:tc>
          <w:tcPr>
            <w:tcW w:w="13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62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6.55</w:t>
            </w:r>
          </w:p>
        </w:tc>
        <w:tc>
          <w:tcPr>
            <w:tcW w:w="8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2" w:hRule="exact"/>
          <w:jc w:val="center"/>
        </w:trPr>
        <w:tc>
          <w:tcPr>
            <w:tcW w:w="13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62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62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1" w:hRule="atLeas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8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502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30" w:hRule="atLeas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8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参加第三届中国国际进口博览会，组建丰台交分团，组织专业采购商参观交流，积极争取参加北京日主题活动，利用进博会平台开展招商引资。</w:t>
            </w:r>
          </w:p>
        </w:tc>
        <w:tc>
          <w:tcPr>
            <w:tcW w:w="5027"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组建了丰台交易分团，组织70余家采购商到场参加商业洽谈及参观交流，参加北京日主题活动，对丽泽金融商务区进行推介，组建丰台交易分团招商小组，与100余家企业建立联系，促成会期意向成交700万美元。</w:t>
            </w:r>
          </w:p>
        </w:tc>
      </w:tr>
      <w:tr>
        <w:tblPrEx>
          <w:tblCellMar>
            <w:top w:w="0" w:type="dxa"/>
            <w:left w:w="108" w:type="dxa"/>
            <w:bottom w:w="0" w:type="dxa"/>
            <w:right w:w="108" w:type="dxa"/>
          </w:tblCellMar>
        </w:tblPrEx>
        <w:trPr>
          <w:trHeight w:val="743"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95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组织不少于50家采购商到会，对接参会企业不少于60家。</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组织70余家采购商到场参加商业洽谈及参观交流，与100余家企业建立联系。完成预期目标。</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参加北京主题日活动，对我区丽泽金融商务区进行推介；开展招商引资，对接联系企业。</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参加北京主题日活动，对我区丽泽金融商务区进行推介，与100余家企业建立联系。完成预期目标</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12月底前完成</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11底前已完成</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预算控制在10万元以内</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实际执行0.65万元</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促进更多的项目在会期签约。</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基本完成预期目标</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18.6</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3"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组织采购商到场洽谈参观交流。</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组织70余家采购商到场参加商业洽谈及参观交流，完成预期目标</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73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通过进博会平台，广泛宣传丰台，开展招商引资。</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0"/>
                <w:szCs w:val="21"/>
              </w:rPr>
            </w:pPr>
            <w:r>
              <w:rPr>
                <w:rFonts w:ascii="仿宋_GB2312" w:hAnsi="宋体" w:eastAsia="仿宋_GB2312" w:cs="宋体"/>
                <w:kern w:val="0"/>
                <w:sz w:val="20"/>
                <w:szCs w:val="21"/>
              </w:rPr>
              <w:t>在中宣部学习强国平台，北京电视台、北京日报客户端、《丰台报》等主流媒体，人民网、腾讯、网易、搜狐等各大综合门户网站刊发丰台交易分团新闻20余条（次）</w:t>
            </w:r>
            <w:r>
              <w:rPr>
                <w:rFonts w:hint="eastAsia" w:ascii="仿宋_GB2312" w:hAnsi="宋体" w:eastAsia="仿宋_GB2312" w:cs="宋体"/>
                <w:kern w:val="0"/>
                <w:sz w:val="20"/>
                <w:szCs w:val="21"/>
              </w:rPr>
              <w:t>,基本完成预期目标</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5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为企业搭建平台，获得参与企业的一致好评</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26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基本完成预期目标</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9.4 </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829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92.1</w:t>
            </w:r>
          </w:p>
        </w:tc>
        <w:tc>
          <w:tcPr>
            <w:tcW w:w="106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pPr w:leftFromText="180" w:rightFromText="180" w:vertAnchor="text" w:horzAnchor="page" w:tblpX="1412" w:tblpY="77"/>
        <w:tblOverlap w:val="never"/>
        <w:tblW w:w="10050" w:type="dxa"/>
        <w:tblInd w:w="0" w:type="dxa"/>
        <w:tblLayout w:type="fixed"/>
        <w:tblCellMar>
          <w:top w:w="0" w:type="dxa"/>
          <w:left w:w="108" w:type="dxa"/>
          <w:bottom w:w="0" w:type="dxa"/>
          <w:right w:w="108" w:type="dxa"/>
        </w:tblCellMar>
      </w:tblPr>
      <w:tblGrid>
        <w:gridCol w:w="668"/>
        <w:gridCol w:w="789"/>
        <w:gridCol w:w="1098"/>
        <w:gridCol w:w="806"/>
        <w:gridCol w:w="708"/>
        <w:gridCol w:w="419"/>
        <w:gridCol w:w="1462"/>
        <w:gridCol w:w="1619"/>
        <w:gridCol w:w="572"/>
        <w:gridCol w:w="859"/>
        <w:gridCol w:w="1050"/>
      </w:tblGrid>
      <w:tr>
        <w:tblPrEx>
          <w:tblCellMar>
            <w:top w:w="0" w:type="dxa"/>
            <w:left w:w="108" w:type="dxa"/>
            <w:bottom w:w="0" w:type="dxa"/>
            <w:right w:w="108" w:type="dxa"/>
          </w:tblCellMar>
        </w:tblPrEx>
        <w:trPr>
          <w:trHeight w:val="306" w:hRule="exact"/>
        </w:trPr>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593"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菜篮子工程项目补助经费</w:t>
            </w:r>
          </w:p>
        </w:tc>
      </w:tr>
      <w:tr>
        <w:tblPrEx>
          <w:tblCellMar>
            <w:top w:w="0" w:type="dxa"/>
            <w:left w:w="108" w:type="dxa"/>
            <w:bottom w:w="0" w:type="dxa"/>
            <w:right w:w="108" w:type="dxa"/>
          </w:tblCellMar>
        </w:tblPrEx>
        <w:trPr>
          <w:trHeight w:val="306" w:hRule="exact"/>
        </w:trPr>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北京市丰台区商务局</w:t>
            </w:r>
          </w:p>
        </w:tc>
        <w:tc>
          <w:tcPr>
            <w:tcW w:w="1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8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北京市丰台区商务局</w:t>
            </w:r>
          </w:p>
        </w:tc>
      </w:tr>
      <w:tr>
        <w:tblPrEx>
          <w:tblCellMar>
            <w:top w:w="0" w:type="dxa"/>
            <w:left w:w="108" w:type="dxa"/>
            <w:bottom w:w="0" w:type="dxa"/>
            <w:right w:w="108" w:type="dxa"/>
          </w:tblCellMar>
        </w:tblPrEx>
        <w:trPr>
          <w:trHeight w:val="306" w:hRule="exact"/>
        </w:trPr>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陈龙</w:t>
            </w:r>
          </w:p>
        </w:tc>
        <w:tc>
          <w:tcPr>
            <w:tcW w:w="1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8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63831120</w:t>
            </w:r>
          </w:p>
        </w:tc>
      </w:tr>
      <w:tr>
        <w:tblPrEx>
          <w:tblCellMar>
            <w:top w:w="0" w:type="dxa"/>
            <w:left w:w="108" w:type="dxa"/>
            <w:bottom w:w="0" w:type="dxa"/>
            <w:right w:w="108" w:type="dxa"/>
          </w:tblCellMar>
        </w:tblPrEx>
        <w:trPr>
          <w:trHeight w:val="567" w:hRule="exact"/>
        </w:trPr>
        <w:tc>
          <w:tcPr>
            <w:tcW w:w="145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7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trPr>
        <w:tc>
          <w:tcPr>
            <w:tcW w:w="145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897.4</w:t>
            </w:r>
          </w:p>
        </w:tc>
        <w:tc>
          <w:tcPr>
            <w:tcW w:w="14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897.4</w:t>
            </w:r>
          </w:p>
        </w:tc>
        <w:tc>
          <w:tcPr>
            <w:tcW w:w="1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810.4002</w:t>
            </w:r>
          </w:p>
        </w:tc>
        <w:tc>
          <w:tcPr>
            <w:tcW w:w="57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90.3%</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9.03</w:t>
            </w:r>
          </w:p>
        </w:tc>
      </w:tr>
      <w:tr>
        <w:tblPrEx>
          <w:tblCellMar>
            <w:top w:w="0" w:type="dxa"/>
            <w:left w:w="108" w:type="dxa"/>
            <w:bottom w:w="0" w:type="dxa"/>
            <w:right w:w="108" w:type="dxa"/>
          </w:tblCellMar>
        </w:tblPrEx>
        <w:trPr>
          <w:trHeight w:val="513" w:hRule="atLeast"/>
        </w:trPr>
        <w:tc>
          <w:tcPr>
            <w:tcW w:w="145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897.4</w:t>
            </w:r>
          </w:p>
        </w:tc>
        <w:tc>
          <w:tcPr>
            <w:tcW w:w="14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897.4</w:t>
            </w:r>
          </w:p>
        </w:tc>
        <w:tc>
          <w:tcPr>
            <w:tcW w:w="1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810.4002</w:t>
            </w:r>
          </w:p>
        </w:tc>
        <w:tc>
          <w:tcPr>
            <w:tcW w:w="57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90.3%</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1" w:hRule="exact"/>
        </w:trPr>
        <w:tc>
          <w:tcPr>
            <w:tcW w:w="145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45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2" w:hRule="exact"/>
        </w:trPr>
        <w:tc>
          <w:tcPr>
            <w:tcW w:w="66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8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0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20" w:hRule="exact"/>
        </w:trPr>
        <w:tc>
          <w:tcPr>
            <w:tcW w:w="6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82"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根据《丰台区蔬菜零售网点</w:t>
            </w:r>
            <w:r>
              <w:rPr>
                <w:rFonts w:ascii="仿宋_GB2312" w:hAnsi="宋体" w:eastAsia="仿宋_GB2312" w:cs="宋体"/>
                <w:kern w:val="0"/>
                <w:szCs w:val="21"/>
              </w:rPr>
              <w:t>建设支持补助办法》</w:t>
            </w:r>
            <w:r>
              <w:rPr>
                <w:rFonts w:hint="eastAsia" w:ascii="仿宋_GB2312" w:hAnsi="宋体" w:eastAsia="仿宋_GB2312" w:cs="宋体"/>
                <w:kern w:val="0"/>
                <w:szCs w:val="21"/>
              </w:rPr>
              <w:t>，对2020年新建网点给予资金补助，同时，对2018年，2019年已建网点继续支持。</w:t>
            </w:r>
          </w:p>
        </w:tc>
        <w:tc>
          <w:tcPr>
            <w:tcW w:w="4100"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2020年度新建便民菜店6家，对2018年，2019年23家便民菜店进行运营补助。</w:t>
            </w:r>
          </w:p>
        </w:tc>
      </w:tr>
      <w:tr>
        <w:tblPrEx>
          <w:tblCellMar>
            <w:top w:w="0" w:type="dxa"/>
            <w:left w:w="108" w:type="dxa"/>
            <w:bottom w:w="0" w:type="dxa"/>
            <w:right w:w="108" w:type="dxa"/>
          </w:tblCellMar>
        </w:tblPrEx>
        <w:trPr>
          <w:trHeight w:val="673" w:hRule="exac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88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308"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符合支持的新建及已建网点数量</w:t>
            </w:r>
          </w:p>
        </w:tc>
        <w:tc>
          <w:tcPr>
            <w:tcW w:w="1881"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新建便民菜店，对2018年，2019年27家便民菜店进行继续支持。</w:t>
            </w:r>
          </w:p>
        </w:tc>
        <w:tc>
          <w:tcPr>
            <w:tcW w:w="161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新建便民菜店6家，2018年，2019年23家便民菜店进行继续支持。</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6"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网点品牌、连锁化率</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重点支持品牌、连锁便民菜店。</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资金补助菜店均为品牌、连锁便民菜店。</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0" w:hRule="exac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2020年10月底</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2020年10月底</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49"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资金补助金额</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不超过便民菜店投入总额的50%，单个菜店建设补助不超过50万元，运营补助不超过30万元。</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补助金额均符合要求。</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蔬菜供应</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织密蔬菜零售网络</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为群众提供优质的蔬菜供应。</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5" w:hRule="exac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便民利民</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服务质量提升</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提高网点服务质量</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2" w:hRule="exac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环境秩序</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改善环境秩序</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环境整洁</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9" w:hRule="exac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分期拨付</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持续经营满三年以上</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持续经营满三年以上</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8"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14"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群众满意度</w:t>
            </w:r>
          </w:p>
        </w:tc>
        <w:tc>
          <w:tcPr>
            <w:tcW w:w="1881"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群众满意度</w:t>
            </w:r>
          </w:p>
        </w:tc>
        <w:tc>
          <w:tcPr>
            <w:tcW w:w="1619"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群众满意度较高</w:t>
            </w:r>
          </w:p>
        </w:tc>
        <w:tc>
          <w:tcPr>
            <w:tcW w:w="572"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trPr>
        <w:tc>
          <w:tcPr>
            <w:tcW w:w="756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90.03</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352" w:type="dxa"/>
        <w:jc w:val="center"/>
        <w:tblLayout w:type="fixed"/>
        <w:tblCellMar>
          <w:top w:w="0" w:type="dxa"/>
          <w:left w:w="108" w:type="dxa"/>
          <w:bottom w:w="0" w:type="dxa"/>
          <w:right w:w="108" w:type="dxa"/>
        </w:tblCellMar>
      </w:tblPr>
      <w:tblGrid>
        <w:gridCol w:w="585"/>
        <w:gridCol w:w="975"/>
        <w:gridCol w:w="1105"/>
        <w:gridCol w:w="727"/>
        <w:gridCol w:w="775"/>
        <w:gridCol w:w="1275"/>
        <w:gridCol w:w="1439"/>
        <w:gridCol w:w="211"/>
        <w:gridCol w:w="329"/>
        <w:gridCol w:w="375"/>
        <w:gridCol w:w="345"/>
        <w:gridCol w:w="501"/>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92"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财务内部审计专项工作经费 </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88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6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88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6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78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6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16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16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1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8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通过内部审计，着力反映内部资金使用情况，全面客观地评价预算执行效果和预算管理水平，推进提高财务管理的科学化和规范化水平。</w:t>
            </w:r>
          </w:p>
        </w:tc>
        <w:tc>
          <w:tcPr>
            <w:tcW w:w="391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完成内部审计工作，对出现的问题及时进行整改，提高了财务管理水平。</w:t>
            </w:r>
          </w:p>
        </w:tc>
      </w:tr>
      <w:tr>
        <w:tblPrEx>
          <w:tblCellMar>
            <w:top w:w="0" w:type="dxa"/>
            <w:left w:w="108" w:type="dxa"/>
            <w:bottom w:w="0" w:type="dxa"/>
            <w:right w:w="108" w:type="dxa"/>
          </w:tblCellMar>
        </w:tblPrEx>
        <w:trPr>
          <w:trHeight w:val="97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4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0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形成年度审计报告</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1份</w:t>
            </w:r>
          </w:p>
        </w:tc>
        <w:tc>
          <w:tcPr>
            <w:tcW w:w="14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1份</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0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内部审计有关规定</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按照有关规定开展内部审计</w:t>
            </w:r>
          </w:p>
        </w:tc>
        <w:tc>
          <w:tcPr>
            <w:tcW w:w="14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严格按照内部审计有关规定对我局进行全面内部审计</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0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11月底</w:t>
            </w:r>
          </w:p>
        </w:tc>
        <w:tc>
          <w:tcPr>
            <w:tcW w:w="14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于11月底前全部完成</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0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审计费用</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不超过5.2万元</w:t>
            </w:r>
          </w:p>
        </w:tc>
        <w:tc>
          <w:tcPr>
            <w:tcW w:w="14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5.2万元</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0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资金保障</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确保有效保障资金</w:t>
            </w:r>
          </w:p>
        </w:tc>
        <w:tc>
          <w:tcPr>
            <w:tcW w:w="14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财务收支真实、合规</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0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规范内控</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完善单位内控规范</w:t>
            </w:r>
          </w:p>
        </w:tc>
        <w:tc>
          <w:tcPr>
            <w:tcW w:w="14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加强机关财务管理，规范财务行为，完善内控制度</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1"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015"/>
        <w:gridCol w:w="112"/>
        <w:gridCol w:w="1043"/>
        <w:gridCol w:w="1095"/>
        <w:gridCol w:w="121"/>
        <w:gridCol w:w="494"/>
        <w:gridCol w:w="210"/>
        <w:gridCol w:w="300"/>
        <w:gridCol w:w="5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部门运转-聘用人员经费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0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21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0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21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0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21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0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21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7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7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7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聘用一名工作人员配合我局政务服务管理科完成相关工作。</w:t>
            </w:r>
          </w:p>
        </w:tc>
        <w:tc>
          <w:tcPr>
            <w:tcW w:w="347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完成一名工作人员聘用工作，配合我局政务服务管理科相关工作。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聘用人员</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工作质量</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完成工作任务</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按时完成各项工作任务</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聘用费支出进度</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按季度支出</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正常按季度支出</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聘用费用</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不超过7.2万元</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全年聘用经费7.2万元</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服务群众</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完成各项业务办理</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基本完成</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聘用单位满意度</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基本满意</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基本满意</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5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2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W w:w="9322" w:type="dxa"/>
        <w:jc w:val="center"/>
        <w:tblLayout w:type="fixed"/>
        <w:tblCellMar>
          <w:top w:w="0" w:type="dxa"/>
          <w:left w:w="108" w:type="dxa"/>
          <w:bottom w:w="0" w:type="dxa"/>
          <w:right w:w="108" w:type="dxa"/>
        </w:tblCellMar>
      </w:tblPr>
      <w:tblGrid>
        <w:gridCol w:w="585"/>
        <w:gridCol w:w="844"/>
        <w:gridCol w:w="1236"/>
        <w:gridCol w:w="727"/>
        <w:gridCol w:w="1127"/>
        <w:gridCol w:w="210"/>
        <w:gridCol w:w="922"/>
        <w:gridCol w:w="1118"/>
        <w:gridCol w:w="585"/>
        <w:gridCol w:w="735"/>
        <w:gridCol w:w="239"/>
        <w:gridCol w:w="994"/>
      </w:tblGrid>
      <w:tr>
        <w:tblPrEx>
          <w:tblCellMar>
            <w:top w:w="0" w:type="dxa"/>
            <w:left w:w="108" w:type="dxa"/>
            <w:bottom w:w="0" w:type="dxa"/>
            <w:right w:w="108" w:type="dxa"/>
          </w:tblCellMar>
        </w:tblPrEx>
        <w:trPr>
          <w:trHeight w:val="306" w:hRule="exact"/>
          <w:jc w:val="center"/>
        </w:trPr>
        <w:tc>
          <w:tcPr>
            <w:tcW w:w="14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893"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北京消费券第四批区级经费</w:t>
            </w:r>
          </w:p>
        </w:tc>
      </w:tr>
      <w:tr>
        <w:tblPrEx>
          <w:tblCellMar>
            <w:top w:w="0" w:type="dxa"/>
            <w:left w:w="108" w:type="dxa"/>
            <w:bottom w:w="0" w:type="dxa"/>
            <w:right w:w="108" w:type="dxa"/>
          </w:tblCellMar>
        </w:tblPrEx>
        <w:trPr>
          <w:trHeight w:val="306" w:hRule="exact"/>
          <w:jc w:val="center"/>
        </w:trPr>
        <w:tc>
          <w:tcPr>
            <w:tcW w:w="14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2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5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4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2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5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42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9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50"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1522.481482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1522.481482</w:t>
            </w: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1522.481482</w:t>
            </w:r>
          </w:p>
        </w:tc>
        <w:tc>
          <w:tcPr>
            <w:tcW w:w="5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9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1522.481482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1522.481482</w:t>
            </w: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1522.481482</w:t>
            </w:r>
          </w:p>
        </w:tc>
        <w:tc>
          <w:tcPr>
            <w:tcW w:w="5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7"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7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2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年度设定目标：落实《北京市财政局 北京市商务局关于缴纳北京消费券第四批区级负担资金的通知》（京财经建〔2020〕2575号）要求，于12月25日前将区级资金直接拨付到各平台公司账户。促进消费增长、营造良好的消费氛围。</w:t>
            </w:r>
          </w:p>
        </w:tc>
        <w:tc>
          <w:tcPr>
            <w:tcW w:w="3671"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年度总体目标完成情况综述：按时拨付给各平台公司共计</w:t>
            </w:r>
            <w:r>
              <w:rPr>
                <w:rFonts w:ascii="仿宋_GB2312" w:hAnsi="宋体" w:eastAsia="仿宋_GB2312" w:cs="宋体"/>
                <w:kern w:val="0"/>
                <w:szCs w:val="21"/>
              </w:rPr>
              <w:t>1522.481482</w:t>
            </w:r>
            <w:r>
              <w:rPr>
                <w:rFonts w:hint="eastAsia" w:ascii="仿宋_GB2312" w:hAnsi="宋体" w:eastAsia="仿宋_GB2312" w:cs="宋体"/>
                <w:kern w:val="0"/>
                <w:szCs w:val="21"/>
              </w:rPr>
              <w:t>万元。北京消费券的发放营造了良好的消费氛围，第四批消费券拉动我区实现社零额4.13亿元。</w:t>
            </w:r>
          </w:p>
        </w:tc>
      </w:tr>
      <w:tr>
        <w:tblPrEx>
          <w:tblCellMar>
            <w:top w:w="0" w:type="dxa"/>
            <w:left w:w="108" w:type="dxa"/>
            <w:bottom w:w="0" w:type="dxa"/>
            <w:right w:w="108" w:type="dxa"/>
          </w:tblCellMar>
        </w:tblPrEx>
        <w:trPr>
          <w:trHeight w:val="96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3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0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拨付北京消费券第四批区级负担资金至6家平台公司。</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严格落实京财经建〔2020〕2575号文件要求。</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2020年12月25日前完成。</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1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京东、小米、国美、苏宁、美团、饿了么平台分别为1059.239006万元、122.988329万元、55.182161万元、55.756977万元、167.458020万元、61.856989万元。</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按预期执行</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已按预期执行。</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促进消费增长、带动商业行业收入增长。</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营造良好的消费氛围，助力复工复产。</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塑造丰台促进消费形象。</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6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消费者使用北京消费券基本满意。</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47" w:hRule="exact"/>
          <w:jc w:val="center"/>
        </w:trPr>
        <w:tc>
          <w:tcPr>
            <w:tcW w:w="676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94.8</w:t>
            </w:r>
          </w:p>
        </w:tc>
        <w:tc>
          <w:tcPr>
            <w:tcW w:w="12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W w:w="9374" w:type="dxa"/>
        <w:jc w:val="center"/>
        <w:tblLayout w:type="fixed"/>
        <w:tblCellMar>
          <w:top w:w="0" w:type="dxa"/>
          <w:left w:w="108" w:type="dxa"/>
          <w:bottom w:w="0" w:type="dxa"/>
          <w:right w:w="108" w:type="dxa"/>
        </w:tblCellMar>
      </w:tblPr>
      <w:tblGrid>
        <w:gridCol w:w="585"/>
        <w:gridCol w:w="675"/>
        <w:gridCol w:w="1110"/>
        <w:gridCol w:w="1022"/>
        <w:gridCol w:w="1127"/>
        <w:gridCol w:w="281"/>
        <w:gridCol w:w="851"/>
        <w:gridCol w:w="1127"/>
        <w:gridCol w:w="587"/>
        <w:gridCol w:w="117"/>
        <w:gridCol w:w="543"/>
        <w:gridCol w:w="303"/>
        <w:gridCol w:w="1046"/>
      </w:tblGrid>
      <w:tr>
        <w:tblPrEx>
          <w:tblCellMar>
            <w:top w:w="0" w:type="dxa"/>
            <w:left w:w="108" w:type="dxa"/>
            <w:bottom w:w="0" w:type="dxa"/>
            <w:right w:w="108" w:type="dxa"/>
          </w:tblCellMar>
        </w:tblPrEx>
        <w:trPr>
          <w:trHeight w:val="306" w:hRule="exac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14"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北京消费券第三批区级经费</w:t>
            </w:r>
          </w:p>
        </w:tc>
      </w:tr>
      <w:tr>
        <w:tblPrEx>
          <w:tblCellMar>
            <w:top w:w="0" w:type="dxa"/>
            <w:left w:w="108" w:type="dxa"/>
            <w:bottom w:w="0" w:type="dxa"/>
            <w:right w:w="108" w:type="dxa"/>
          </w:tblCellMar>
        </w:tblPrEx>
        <w:trPr>
          <w:trHeight w:val="306" w:hRule="exac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2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0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50"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1394.236676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1394.236676</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1394.236676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1394.236676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1394.236676</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1394.236676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2"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2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年度设定目标：落实《北京市财政局 北京市商务局关于缴纳北京消费券第三批区级负担资金的通知》（京财经建〔2020〕2389号）要求，于12月20日前将区级资金直接拨付到各平台公司账户。促进消费增长、营造良好的消费氛围。</w:t>
            </w:r>
          </w:p>
        </w:tc>
        <w:tc>
          <w:tcPr>
            <w:tcW w:w="3723"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年度总体目标完成情况综述：按时拨付给各平台公司共计</w:t>
            </w:r>
            <w:r>
              <w:rPr>
                <w:rFonts w:ascii="仿宋_GB2312" w:hAnsi="宋体" w:eastAsia="仿宋_GB2312" w:cs="宋体"/>
                <w:kern w:val="0"/>
                <w:szCs w:val="21"/>
              </w:rPr>
              <w:t>1394.236676</w:t>
            </w:r>
            <w:r>
              <w:rPr>
                <w:rFonts w:hint="eastAsia" w:ascii="仿宋_GB2312" w:hAnsi="宋体" w:eastAsia="仿宋_GB2312" w:cs="宋体"/>
                <w:kern w:val="0"/>
                <w:szCs w:val="21"/>
              </w:rPr>
              <w:t>万元。北京消费券的发放营造了良好的消费氛围，第三批消费券拉动我区实现社零额4.04亿元。</w:t>
            </w:r>
          </w:p>
        </w:tc>
      </w:tr>
      <w:tr>
        <w:tblPrEx>
          <w:tblCellMar>
            <w:top w:w="0" w:type="dxa"/>
            <w:left w:w="108" w:type="dxa"/>
            <w:bottom w:w="0" w:type="dxa"/>
            <w:right w:w="108" w:type="dxa"/>
          </w:tblCellMar>
        </w:tblPrEx>
        <w:trPr>
          <w:trHeight w:val="72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7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拨付北京消费券第三批区级负担资金至6家平台公司。</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严格落实京财经建〔2020〕2389号文件要求。</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2020年12月20日前完成。</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8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京东、小米、国美、苏宁、美团、饿了么平台分别为799.190026万元、264.899529万元、50.629120万元、120.095859万元、96.140013、63.282129万元。</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按预期执行</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已按预期执行。</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将促进消费增长、带动商业行业收入增长。</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营造良好的消费氛围，助力复工复产。</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塑造丰台促进消费形象。</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43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消费者使用北京消费券基本满意。</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2" w:hRule="exact"/>
          <w:jc w:val="center"/>
        </w:trPr>
        <w:tc>
          <w:tcPr>
            <w:tcW w:w="677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94.8</w:t>
            </w:r>
          </w:p>
        </w:tc>
        <w:tc>
          <w:tcPr>
            <w:tcW w:w="13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207" w:type="dxa"/>
        <w:jc w:val="center"/>
        <w:tblLayout w:type="fixed"/>
        <w:tblCellMar>
          <w:top w:w="0" w:type="dxa"/>
          <w:left w:w="108" w:type="dxa"/>
          <w:bottom w:w="0" w:type="dxa"/>
          <w:right w:w="108" w:type="dxa"/>
        </w:tblCellMar>
      </w:tblPr>
      <w:tblGrid>
        <w:gridCol w:w="585"/>
        <w:gridCol w:w="727"/>
        <w:gridCol w:w="1095"/>
        <w:gridCol w:w="985"/>
        <w:gridCol w:w="1127"/>
        <w:gridCol w:w="93"/>
        <w:gridCol w:w="900"/>
        <w:gridCol w:w="1140"/>
        <w:gridCol w:w="126"/>
        <w:gridCol w:w="519"/>
        <w:gridCol w:w="185"/>
        <w:gridCol w:w="460"/>
        <w:gridCol w:w="386"/>
        <w:gridCol w:w="879"/>
      </w:tblGrid>
      <w:tr>
        <w:tblPrEx>
          <w:tblCellMar>
            <w:top w:w="0" w:type="dxa"/>
            <w:left w:w="108" w:type="dxa"/>
            <w:bottom w:w="0" w:type="dxa"/>
            <w:right w:w="108" w:type="dxa"/>
          </w:tblCellMar>
        </w:tblPrEx>
        <w:trPr>
          <w:trHeight w:val="306" w:hRule="exact"/>
          <w:jc w:val="center"/>
        </w:trPr>
        <w:tc>
          <w:tcPr>
            <w:tcW w:w="13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89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北京消费券第二批区级经费</w:t>
            </w:r>
          </w:p>
        </w:tc>
      </w:tr>
      <w:tr>
        <w:tblPrEx>
          <w:tblCellMar>
            <w:top w:w="0" w:type="dxa"/>
            <w:left w:w="108" w:type="dxa"/>
            <w:bottom w:w="0" w:type="dxa"/>
            <w:right w:w="108" w:type="dxa"/>
          </w:tblCellMar>
        </w:tblPrEx>
        <w:trPr>
          <w:trHeight w:val="306" w:hRule="exact"/>
          <w:jc w:val="center"/>
        </w:trPr>
        <w:tc>
          <w:tcPr>
            <w:tcW w:w="13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0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3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0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31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7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50" w:hRule="exact"/>
          <w:jc w:val="center"/>
        </w:trPr>
        <w:tc>
          <w:tcPr>
            <w:tcW w:w="13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1571.112921</w:t>
            </w:r>
          </w:p>
        </w:tc>
        <w:tc>
          <w:tcPr>
            <w:tcW w:w="9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1571.112921</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1571.112921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7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1571.112921</w:t>
            </w:r>
          </w:p>
        </w:tc>
        <w:tc>
          <w:tcPr>
            <w:tcW w:w="9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1571.112921</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1571.112921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2" w:hRule="exact"/>
          <w:jc w:val="center"/>
        </w:trPr>
        <w:tc>
          <w:tcPr>
            <w:tcW w:w="13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2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9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1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27"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年度设定目标：落实《北京市财政局 北京市商务局关于缴纳北京消费券第二批区级负担资金的通知》（京财经建〔2020〕2171号）要求，于11月20日前将区级资金直接拨付到各平台公司账户。促进消费增长、营造良好的消费氛围。</w:t>
            </w:r>
          </w:p>
        </w:tc>
        <w:tc>
          <w:tcPr>
            <w:tcW w:w="3695"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年度总体目标完成情况综述：按时拨付给各平台公司共计</w:t>
            </w:r>
            <w:r>
              <w:rPr>
                <w:rFonts w:ascii="仿宋_GB2312" w:hAnsi="宋体" w:eastAsia="仿宋_GB2312" w:cs="宋体"/>
                <w:kern w:val="0"/>
                <w:szCs w:val="21"/>
              </w:rPr>
              <w:t>1571.112921</w:t>
            </w:r>
            <w:r>
              <w:rPr>
                <w:rFonts w:hint="eastAsia" w:ascii="仿宋_GB2312" w:hAnsi="宋体" w:eastAsia="仿宋_GB2312" w:cs="宋体"/>
                <w:kern w:val="0"/>
                <w:szCs w:val="21"/>
              </w:rPr>
              <w:t>万元。北京消费券的发放营造了良好的消费氛围，第二批消费券拉动我区实现社零额5.03亿元。</w:t>
            </w:r>
          </w:p>
        </w:tc>
      </w:tr>
      <w:tr>
        <w:tblPrEx>
          <w:tblCellMar>
            <w:top w:w="0" w:type="dxa"/>
            <w:left w:w="108" w:type="dxa"/>
            <w:bottom w:w="0" w:type="dxa"/>
            <w:right w:w="108" w:type="dxa"/>
          </w:tblCellMar>
        </w:tblPrEx>
        <w:trPr>
          <w:trHeight w:val="100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7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拨付北京消费券第二批区级负担资金至4家平台公司。</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严格落实京财经建〔2020〕2171号文件要求。</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2020年11月20日前完成。</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京东8,506,596.87元、小米3,925,422.71元、国美777,548.8元、苏宁2,501,560.83元。</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按预期执行</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已按预期执行。</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促进消费增长、带动商业行业收入增长。</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营造良好的消费氛围，助力复工复产。</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塑造丰台促进消费形象。</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0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消费者使用北京消费券基本满意。</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77" w:hRule="exact"/>
          <w:jc w:val="center"/>
        </w:trPr>
        <w:tc>
          <w:tcPr>
            <w:tcW w:w="665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94.8</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W w:w="971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1066"/>
        <w:gridCol w:w="61"/>
        <w:gridCol w:w="526"/>
        <w:gridCol w:w="178"/>
        <w:gridCol w:w="527"/>
        <w:gridCol w:w="319"/>
        <w:gridCol w:w="139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5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北京消费季之约“惠”丰台促消费活动经费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94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牛格非</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94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3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3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3" w:hRule="atLeas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06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987" w:hRule="atLeas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年度设定目标：促进消费增长，实现社会消费品零售增速提升。</w:t>
            </w:r>
          </w:p>
        </w:tc>
        <w:tc>
          <w:tcPr>
            <w:tcW w:w="406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年度总体目标完成情况综述：丰台消费季以“约惠丰台 感受丰范”为主题，围绕七夕、国庆、中秋、重阳节、双十一、双十二、跨年等节日节庆节点，聚焦夜经济、直播带货、新能源汽车、花卉文化、冰雪运动等消费热点，精心组织开展了百余项商旅文体等多个领域的线上线下结合促消费活动，促进了消费增长。</w:t>
            </w:r>
          </w:p>
        </w:tc>
      </w:tr>
      <w:tr>
        <w:tblPrEx>
          <w:tblCellMar>
            <w:top w:w="0" w:type="dxa"/>
            <w:left w:w="108" w:type="dxa"/>
            <w:bottom w:w="0" w:type="dxa"/>
            <w:right w:w="108" w:type="dxa"/>
          </w:tblCellMar>
        </w:tblPrEx>
        <w:trPr>
          <w:trHeight w:val="97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6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促进社会消费品零售额增长。</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18.8</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提升丰台消费供给品质。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促消费活动将持续到10月，每月均开展系列主题活动。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已按时完成</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政府搭建平台，涉及策划、活动筹办、宣传等经费。各企业负责各自活动经费。</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实际执行100万元</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促进我区消费增长，带动商业、旅游、文化、体育等行业的收入增长。</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营造良好的消费氛围。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塑造丰台消费品牌和消费形象，打造消费地标。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通过参与活动，提升我区企业的知晓度。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0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已达成预期目标</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1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w:t>
            </w:r>
          </w:p>
        </w:tc>
        <w:tc>
          <w:tcPr>
            <w:tcW w:w="1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918" w:type="dxa"/>
        <w:jc w:val="center"/>
        <w:tblLayout w:type="fixed"/>
        <w:tblCellMar>
          <w:top w:w="0" w:type="dxa"/>
          <w:left w:w="108" w:type="dxa"/>
          <w:bottom w:w="0" w:type="dxa"/>
          <w:right w:w="108" w:type="dxa"/>
        </w:tblCellMar>
      </w:tblPr>
      <w:tblGrid>
        <w:gridCol w:w="585"/>
        <w:gridCol w:w="825"/>
        <w:gridCol w:w="1105"/>
        <w:gridCol w:w="727"/>
        <w:gridCol w:w="1127"/>
        <w:gridCol w:w="564"/>
        <w:gridCol w:w="849"/>
        <w:gridCol w:w="1597"/>
        <w:gridCol w:w="279"/>
        <w:gridCol w:w="284"/>
        <w:gridCol w:w="420"/>
        <w:gridCol w:w="270"/>
        <w:gridCol w:w="576"/>
        <w:gridCol w:w="710"/>
      </w:tblGrid>
      <w:tr>
        <w:tblPrEx>
          <w:tblCellMar>
            <w:top w:w="0" w:type="dxa"/>
            <w:left w:w="108" w:type="dxa"/>
            <w:bottom w:w="0" w:type="dxa"/>
            <w:right w:w="108" w:type="dxa"/>
          </w:tblCellMar>
        </w:tblPrEx>
        <w:trPr>
          <w:trHeight w:val="306" w:hRule="exact"/>
          <w:jc w:val="center"/>
        </w:trPr>
        <w:tc>
          <w:tcPr>
            <w:tcW w:w="141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50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丰台区商务综合发展研究经费（服务业扩大开放研究）</w:t>
            </w:r>
          </w:p>
        </w:tc>
      </w:tr>
      <w:tr>
        <w:tblPrEx>
          <w:tblCellMar>
            <w:top w:w="0" w:type="dxa"/>
            <w:left w:w="108" w:type="dxa"/>
            <w:bottom w:w="0" w:type="dxa"/>
            <w:right w:w="108" w:type="dxa"/>
          </w:tblCellMar>
        </w:tblPrEx>
        <w:trPr>
          <w:trHeight w:val="306" w:hRule="exact"/>
          <w:jc w:val="center"/>
        </w:trPr>
        <w:tc>
          <w:tcPr>
            <w:tcW w:w="141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7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8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41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7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宋莉</w:t>
            </w:r>
          </w:p>
        </w:tc>
        <w:tc>
          <w:tcPr>
            <w:tcW w:w="18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63837090</w:t>
            </w:r>
          </w:p>
        </w:tc>
      </w:tr>
      <w:tr>
        <w:tblPrEx>
          <w:tblCellMar>
            <w:top w:w="0" w:type="dxa"/>
            <w:left w:w="108" w:type="dxa"/>
            <w:bottom w:w="0" w:type="dxa"/>
            <w:right w:w="108" w:type="dxa"/>
          </w:tblCellMar>
        </w:tblPrEx>
        <w:trPr>
          <w:trHeight w:val="567" w:hRule="exact"/>
          <w:jc w:val="center"/>
        </w:trPr>
        <w:tc>
          <w:tcPr>
            <w:tcW w:w="141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8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8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8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2" w:hRule="exact"/>
          <w:jc w:val="center"/>
        </w:trPr>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8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9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3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4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97"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探索丰台区服务扩大开放路径、政策、措施，形成“丰台区服务业扩大开放研究报告”等研究成果。</w:t>
            </w:r>
          </w:p>
        </w:tc>
        <w:tc>
          <w:tcPr>
            <w:tcW w:w="4136" w:type="dxa"/>
            <w:gridSpan w:val="7"/>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color w:val="000000"/>
                <w:kern w:val="0"/>
                <w:szCs w:val="21"/>
              </w:rPr>
              <w:t>形成《丰台区深化北京市新一轮服务业扩大开放综合试点建设国家服务业扩大开放综合示范区三年行动计划》</w:t>
            </w:r>
          </w:p>
        </w:tc>
      </w:tr>
      <w:tr>
        <w:tblPrEx>
          <w:tblCellMar>
            <w:top w:w="0" w:type="dxa"/>
            <w:left w:w="108" w:type="dxa"/>
            <w:bottom w:w="0" w:type="dxa"/>
            <w:right w:w="108" w:type="dxa"/>
          </w:tblCellMar>
        </w:tblPrEx>
        <w:trPr>
          <w:trHeight w:val="715"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形成《丰台区深化北京市新一轮服务业扩大开放综合试点建设国家服务业扩大开放综合示范区三年行动计划》</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提出丰台区服务扩大开放路径、政策、措施。</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已完成预期目标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已于10月底完成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预算控制在20万元以内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实际执行20万元</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2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联系服务企业，促进服务贸易高质量发展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对接联系企业，了解企业经营情况。基本达成预期目标。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为市级部门出台相关政策夯实基础</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基本达成实预期标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64"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深入挖掘我区服务贸易企业，加强企业对接。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对接联系企业，了解企业经营情况。基本达成预期目标。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74"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41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获得联系企业的一致好评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59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帮助企业申报统计监测补贴，达成预期目标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37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95.1</w:t>
            </w:r>
          </w:p>
        </w:tc>
        <w:tc>
          <w:tcPr>
            <w:tcW w:w="12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587" w:type="dxa"/>
        <w:jc w:val="center"/>
        <w:tblLayout w:type="fixed"/>
        <w:tblCellMar>
          <w:top w:w="0" w:type="dxa"/>
          <w:left w:w="108" w:type="dxa"/>
          <w:bottom w:w="0" w:type="dxa"/>
          <w:right w:w="108" w:type="dxa"/>
        </w:tblCellMar>
      </w:tblPr>
      <w:tblGrid>
        <w:gridCol w:w="585"/>
        <w:gridCol w:w="975"/>
        <w:gridCol w:w="1105"/>
        <w:gridCol w:w="727"/>
        <w:gridCol w:w="1060"/>
        <w:gridCol w:w="67"/>
        <w:gridCol w:w="1132"/>
        <w:gridCol w:w="1174"/>
        <w:gridCol w:w="279"/>
        <w:gridCol w:w="284"/>
        <w:gridCol w:w="420"/>
        <w:gridCol w:w="375"/>
        <w:gridCol w:w="471"/>
        <w:gridCol w:w="933"/>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2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专职安全员经费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45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李学兵</w:t>
            </w:r>
          </w:p>
        </w:tc>
        <w:tc>
          <w:tcPr>
            <w:tcW w:w="145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63831580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5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3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74.84</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74.84</w:t>
            </w:r>
          </w:p>
        </w:tc>
        <w:tc>
          <w:tcPr>
            <w:tcW w:w="145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72.73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97.18%</w:t>
            </w:r>
          </w:p>
        </w:tc>
        <w:tc>
          <w:tcPr>
            <w:tcW w:w="93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74.84</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74.84</w:t>
            </w:r>
          </w:p>
        </w:tc>
        <w:tc>
          <w:tcPr>
            <w:tcW w:w="145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72.73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97.18%</w:t>
            </w:r>
          </w:p>
        </w:tc>
        <w:tc>
          <w:tcPr>
            <w:tcW w:w="93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5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5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3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0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年初设定目标：确保专职安全员经费按时足额发放</w:t>
            </w:r>
          </w:p>
        </w:tc>
        <w:tc>
          <w:tcPr>
            <w:tcW w:w="393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年度总体目标完成情况综述:按照区安委会的要求，按时发放。</w:t>
            </w:r>
          </w:p>
        </w:tc>
      </w:tr>
      <w:tr>
        <w:tblPrEx>
          <w:tblCellMar>
            <w:top w:w="0" w:type="dxa"/>
            <w:left w:w="108" w:type="dxa"/>
            <w:bottom w:w="0" w:type="dxa"/>
            <w:right w:w="108" w:type="dxa"/>
          </w:tblCellMar>
        </w:tblPrEx>
        <w:trPr>
          <w:trHeight w:val="108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安全员人数</w:t>
            </w:r>
          </w:p>
        </w:tc>
        <w:tc>
          <w:tcPr>
            <w:tcW w:w="119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1174"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工作质量</w:t>
            </w:r>
          </w:p>
        </w:tc>
        <w:tc>
          <w:tcPr>
            <w:tcW w:w="1199" w:type="dxa"/>
            <w:gridSpan w:val="2"/>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确保专职安全员经费按时足发放。　</w:t>
            </w:r>
          </w:p>
        </w:tc>
        <w:tc>
          <w:tcPr>
            <w:tcW w:w="1174"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按照区安委会的要求按时发放。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支付进度</w:t>
            </w:r>
          </w:p>
        </w:tc>
        <w:tc>
          <w:tcPr>
            <w:tcW w:w="119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12月前完成</w:t>
            </w:r>
          </w:p>
        </w:tc>
        <w:tc>
          <w:tcPr>
            <w:tcW w:w="1174"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支出数</w:t>
            </w:r>
          </w:p>
        </w:tc>
        <w:tc>
          <w:tcPr>
            <w:tcW w:w="119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项目预算控制数</w:t>
            </w:r>
            <w:r>
              <w:rPr>
                <w:rFonts w:hint="eastAsia" w:ascii="仿宋_GB2312" w:hAnsi="宋体" w:eastAsia="仿宋_GB2312" w:cs="宋体"/>
                <w:kern w:val="0"/>
                <w:szCs w:val="21"/>
              </w:rPr>
              <w:t>748404元</w:t>
            </w:r>
          </w:p>
        </w:tc>
        <w:tc>
          <w:tcPr>
            <w:tcW w:w="117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实际执行数</w:t>
            </w:r>
            <w:r>
              <w:rPr>
                <w:rFonts w:hint="eastAsia" w:ascii="仿宋_GB2312" w:hAnsi="宋体" w:eastAsia="仿宋_GB2312" w:cs="宋体"/>
                <w:kern w:val="0"/>
                <w:szCs w:val="21"/>
              </w:rPr>
              <w:t>727272元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19.44</w:t>
            </w:r>
          </w:p>
        </w:tc>
        <w:tc>
          <w:tcPr>
            <w:tcW w:w="1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工作人员满意度</w:t>
            </w:r>
          </w:p>
        </w:tc>
        <w:tc>
          <w:tcPr>
            <w:tcW w:w="119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完成</w:t>
            </w:r>
          </w:p>
        </w:tc>
        <w:tc>
          <w:tcPr>
            <w:tcW w:w="117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满意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99.16</w:t>
            </w:r>
          </w:p>
        </w:tc>
        <w:tc>
          <w:tcPr>
            <w:tcW w:w="14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专职安全员和借调人员食堂管理费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3.78 </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根据机关事务管理处相关规定，按时缴纳6名专职安全员食堂管理费3.24万元，1名借调人员食堂管理费0.54万元。</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已按照相关规定，按时缴纳专职安全员和借调人员食堂管理费</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3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人员情况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6名专职安全员及1名借调人员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支付进度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6月前支付上11月前支付下半年半年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全部按时支付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费用情况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450元/月/人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共计3.78万元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745"/>
        <w:gridCol w:w="382"/>
        <w:gridCol w:w="1132"/>
        <w:gridCol w:w="848"/>
        <w:gridCol w:w="279"/>
        <w:gridCol w:w="284"/>
        <w:gridCol w:w="420"/>
        <w:gridCol w:w="420"/>
        <w:gridCol w:w="42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重点商务工作培训经费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李学兵、李蕊、宋莉</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63831580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32.52%</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3.25</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32.52%</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1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计划组织安全生产培训、外经贸培训、生活性服务业品质提升培训、服务业扩大开放综合试点政策培训</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组织开展了安全生产培训及服务业扩大开放相关培训</w:t>
            </w:r>
          </w:p>
        </w:tc>
      </w:tr>
      <w:tr>
        <w:tblPrEx>
          <w:tblCellMar>
            <w:top w:w="0" w:type="dxa"/>
            <w:left w:w="108" w:type="dxa"/>
            <w:bottom w:w="0" w:type="dxa"/>
            <w:right w:w="108" w:type="dxa"/>
          </w:tblCellMar>
        </w:tblPrEx>
        <w:trPr>
          <w:trHeight w:val="94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47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47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培训大类</w:t>
            </w:r>
          </w:p>
        </w:tc>
        <w:tc>
          <w:tcPr>
            <w:tcW w:w="15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4项</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2项</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47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工作质量</w:t>
            </w:r>
          </w:p>
        </w:tc>
        <w:tc>
          <w:tcPr>
            <w:tcW w:w="15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通过相关培训，做好政策讲解等</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47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5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上半年支出12.6%，下半年支出87.4%</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上半年完成15.13%，下半年完成17.35%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由于疫情原因，现场培训停止开展，部分资金未支出</w:t>
            </w:r>
          </w:p>
        </w:tc>
      </w:tr>
      <w:tr>
        <w:tblPrEx>
          <w:tblCellMar>
            <w:top w:w="0" w:type="dxa"/>
            <w:left w:w="108" w:type="dxa"/>
            <w:bottom w:w="0" w:type="dxa"/>
            <w:right w:w="108" w:type="dxa"/>
          </w:tblCellMar>
        </w:tblPrEx>
        <w:trPr>
          <w:trHeight w:val="15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47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5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预算控制数11.9万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实际执行数38650.20元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11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由于疫情原因，现场培训停止开展，部分资金未支出</w:t>
            </w: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47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参加培训人员</w:t>
            </w:r>
          </w:p>
        </w:tc>
        <w:tc>
          <w:tcPr>
            <w:tcW w:w="15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通过培训理解相关政策等</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69.75</w:t>
            </w:r>
          </w:p>
        </w:tc>
        <w:tc>
          <w:tcPr>
            <w:tcW w:w="11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471" w:type="dxa"/>
        <w:jc w:val="center"/>
        <w:tblLayout w:type="fixed"/>
        <w:tblCellMar>
          <w:top w:w="0" w:type="dxa"/>
          <w:left w:w="108" w:type="dxa"/>
          <w:bottom w:w="0" w:type="dxa"/>
          <w:right w:w="108" w:type="dxa"/>
        </w:tblCellMar>
      </w:tblPr>
      <w:tblGrid>
        <w:gridCol w:w="585"/>
        <w:gridCol w:w="717"/>
        <w:gridCol w:w="825"/>
        <w:gridCol w:w="1080"/>
        <w:gridCol w:w="185"/>
        <w:gridCol w:w="805"/>
        <w:gridCol w:w="735"/>
        <w:gridCol w:w="1725"/>
        <w:gridCol w:w="121"/>
        <w:gridCol w:w="434"/>
        <w:gridCol w:w="270"/>
        <w:gridCol w:w="375"/>
        <w:gridCol w:w="471"/>
        <w:gridCol w:w="1143"/>
      </w:tblGrid>
      <w:tr>
        <w:tblPrEx>
          <w:tblCellMar>
            <w:top w:w="0" w:type="dxa"/>
            <w:left w:w="108" w:type="dxa"/>
            <w:bottom w:w="0" w:type="dxa"/>
            <w:right w:w="108" w:type="dxa"/>
          </w:tblCellMar>
        </w:tblPrEx>
        <w:trPr>
          <w:trHeight w:val="306" w:hRule="exact"/>
          <w:jc w:val="center"/>
        </w:trPr>
        <w:tc>
          <w:tcPr>
            <w:tcW w:w="130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69"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商务行业安全生产专项经费</w:t>
            </w:r>
          </w:p>
        </w:tc>
      </w:tr>
      <w:tr>
        <w:tblPrEx>
          <w:tblCellMar>
            <w:top w:w="0" w:type="dxa"/>
            <w:left w:w="108" w:type="dxa"/>
            <w:bottom w:w="0" w:type="dxa"/>
            <w:right w:w="108" w:type="dxa"/>
          </w:tblCellMar>
        </w:tblPrEx>
        <w:trPr>
          <w:trHeight w:val="306" w:hRule="exact"/>
          <w:jc w:val="center"/>
        </w:trPr>
        <w:tc>
          <w:tcPr>
            <w:tcW w:w="130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63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8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30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63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李学兵</w:t>
            </w:r>
          </w:p>
        </w:tc>
        <w:tc>
          <w:tcPr>
            <w:tcW w:w="18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63831580</w:t>
            </w:r>
          </w:p>
        </w:tc>
      </w:tr>
      <w:tr>
        <w:tblPrEx>
          <w:tblCellMar>
            <w:top w:w="0" w:type="dxa"/>
            <w:left w:w="108" w:type="dxa"/>
            <w:bottom w:w="0" w:type="dxa"/>
            <w:right w:w="108" w:type="dxa"/>
          </w:tblCellMar>
        </w:tblPrEx>
        <w:trPr>
          <w:trHeight w:val="857" w:hRule="exact"/>
          <w:jc w:val="center"/>
        </w:trPr>
        <w:tc>
          <w:tcPr>
            <w:tcW w:w="130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9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0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7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8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41" w:hRule="exact"/>
          <w:jc w:val="center"/>
        </w:trPr>
        <w:tc>
          <w:tcPr>
            <w:tcW w:w="13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90"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80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7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18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99.96%</w:t>
            </w:r>
          </w:p>
        </w:tc>
        <w:tc>
          <w:tcPr>
            <w:tcW w:w="11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r>
      <w:tr>
        <w:tblPrEx>
          <w:tblCellMar>
            <w:top w:w="0" w:type="dxa"/>
            <w:left w:w="108" w:type="dxa"/>
            <w:bottom w:w="0" w:type="dxa"/>
            <w:right w:w="108" w:type="dxa"/>
          </w:tblCellMar>
        </w:tblPrEx>
        <w:trPr>
          <w:trHeight w:val="601" w:hRule="exact"/>
          <w:jc w:val="center"/>
        </w:trPr>
        <w:tc>
          <w:tcPr>
            <w:tcW w:w="13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9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80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7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18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99.96%</w:t>
            </w:r>
          </w:p>
        </w:tc>
        <w:tc>
          <w:tcPr>
            <w:tcW w:w="11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2" w:hRule="exact"/>
          <w:jc w:val="center"/>
        </w:trPr>
        <w:tc>
          <w:tcPr>
            <w:tcW w:w="13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9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80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9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80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3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34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53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1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34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年初设定目标：聘请第三方安全生产专业机构协助做好我区商务行业安全生产隐患排查工作</w:t>
            </w:r>
          </w:p>
        </w:tc>
        <w:tc>
          <w:tcPr>
            <w:tcW w:w="453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年度总体目标完成情况综述:排查我区可能存在安全隐患的各类型企业共计</w:t>
            </w:r>
            <w:r>
              <w:rPr>
                <w:rFonts w:hint="eastAsia" w:ascii="仿宋_GB2312" w:hAnsi="仿宋_GB2312" w:eastAsia="仿宋_GB2312" w:cs="仿宋_GB2312"/>
                <w:bCs/>
                <w:kern w:val="0"/>
                <w:szCs w:val="21"/>
              </w:rPr>
              <w:t>340</w:t>
            </w:r>
            <w:r>
              <w:rPr>
                <w:rFonts w:hint="eastAsia" w:ascii="仿宋_GB2312" w:hAnsi="仿宋_GB2312" w:eastAsia="仿宋_GB2312" w:cs="仿宋_GB2312"/>
                <w:color w:val="000000"/>
                <w:kern w:val="0"/>
                <w:szCs w:val="21"/>
              </w:rPr>
              <w:t>家，并总结出工作中存在的问题，完成隐患问题闭环管理。</w:t>
            </w:r>
          </w:p>
        </w:tc>
      </w:tr>
      <w:tr>
        <w:tblPrEx>
          <w:tblCellMar>
            <w:top w:w="0" w:type="dxa"/>
            <w:left w:w="108" w:type="dxa"/>
            <w:bottom w:w="0" w:type="dxa"/>
            <w:right w:w="108" w:type="dxa"/>
          </w:tblCellMar>
        </w:tblPrEx>
        <w:trPr>
          <w:trHeight w:val="94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2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9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排查企业数量</w:t>
            </w:r>
          </w:p>
        </w:tc>
        <w:tc>
          <w:tcPr>
            <w:tcW w:w="1725" w:type="dxa"/>
            <w:gridSpan w:val="3"/>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预计完成340家企业的安全隐患排查工作。　</w:t>
            </w:r>
          </w:p>
        </w:tc>
        <w:tc>
          <w:tcPr>
            <w:tcW w:w="1725"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实际完成340家企业安全隐患排查工作。</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完成质量</w:t>
            </w:r>
          </w:p>
        </w:tc>
        <w:tc>
          <w:tcPr>
            <w:tcW w:w="1725" w:type="dxa"/>
            <w:gridSpan w:val="3"/>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对排查的安全隐患进行整改</w:t>
            </w:r>
          </w:p>
        </w:tc>
        <w:tc>
          <w:tcPr>
            <w:tcW w:w="1725"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大部分进行整改</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工作进度</w:t>
            </w:r>
          </w:p>
        </w:tc>
        <w:tc>
          <w:tcPr>
            <w:tcW w:w="172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12月前完成</w:t>
            </w:r>
          </w:p>
        </w:tc>
        <w:tc>
          <w:tcPr>
            <w:tcW w:w="1725"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按时完成</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支出数</w:t>
            </w:r>
          </w:p>
        </w:tc>
        <w:tc>
          <w:tcPr>
            <w:tcW w:w="172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项目预算控制数27万元</w:t>
            </w:r>
          </w:p>
        </w:tc>
        <w:tc>
          <w:tcPr>
            <w:tcW w:w="172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实际执行数</w:t>
            </w:r>
            <w:r>
              <w:rPr>
                <w:rFonts w:hint="eastAsia" w:ascii="仿宋_GB2312" w:hAnsi="宋体" w:eastAsia="仿宋_GB2312" w:cs="宋体"/>
                <w:kern w:val="0"/>
                <w:szCs w:val="21"/>
              </w:rPr>
              <w:t>26.986</w:t>
            </w:r>
            <w:r>
              <w:rPr>
                <w:rFonts w:hint="eastAsia" w:ascii="仿宋_GB2312" w:hAnsi="仿宋_GB2312" w:eastAsia="仿宋_GB2312" w:cs="仿宋_GB2312"/>
                <w:color w:val="000000"/>
                <w:kern w:val="0"/>
                <w:szCs w:val="21"/>
              </w:rPr>
              <w:t>万元（隐患排查范围扩大19年支出24.70万元；20年支出6.14万元）</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经济效益</w:t>
            </w:r>
          </w:p>
        </w:tc>
        <w:tc>
          <w:tcPr>
            <w:tcW w:w="172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为了我区商业企业安全生产，加强企业安全意识</w:t>
            </w:r>
          </w:p>
        </w:tc>
        <w:tc>
          <w:tcPr>
            <w:tcW w:w="172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基本达成预期指标</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72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获得我区各类型商业企业好评</w:t>
            </w:r>
          </w:p>
        </w:tc>
        <w:tc>
          <w:tcPr>
            <w:tcW w:w="172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基本达成预期指标　</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5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6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9633" w:type="dxa"/>
        <w:jc w:val="center"/>
        <w:tblLayout w:type="fixed"/>
        <w:tblCellMar>
          <w:top w:w="0" w:type="dxa"/>
          <w:left w:w="108" w:type="dxa"/>
          <w:bottom w:w="0" w:type="dxa"/>
          <w:right w:w="108" w:type="dxa"/>
        </w:tblCellMar>
      </w:tblPr>
      <w:tblGrid>
        <w:gridCol w:w="585"/>
        <w:gridCol w:w="975"/>
        <w:gridCol w:w="1105"/>
        <w:gridCol w:w="727"/>
        <w:gridCol w:w="1015"/>
        <w:gridCol w:w="112"/>
        <w:gridCol w:w="1132"/>
        <w:gridCol w:w="1120"/>
        <w:gridCol w:w="166"/>
        <w:gridCol w:w="529"/>
        <w:gridCol w:w="300"/>
        <w:gridCol w:w="420"/>
        <w:gridCol w:w="426"/>
        <w:gridCol w:w="1021"/>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73"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网络租赁和维护费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杨卫丽</w:t>
            </w: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63833040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0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12.2</w:t>
            </w: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9.64</w:t>
            </w:r>
          </w:p>
        </w:tc>
        <w:tc>
          <w:tcPr>
            <w:tcW w:w="8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79.02%</w:t>
            </w:r>
          </w:p>
        </w:tc>
        <w:tc>
          <w:tcPr>
            <w:tcW w:w="10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12.2</w:t>
            </w: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9.64</w:t>
            </w:r>
          </w:p>
        </w:tc>
        <w:tc>
          <w:tcPr>
            <w:tcW w:w="8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79.02%</w:t>
            </w:r>
          </w:p>
        </w:tc>
        <w:tc>
          <w:tcPr>
            <w:tcW w:w="10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8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单位互联网接入服务费，确保办公用网络安全及稳定运行；</w:t>
            </w:r>
            <w:r>
              <w:rPr>
                <w:rFonts w:hint="eastAsia" w:ascii="仿宋_GB2312" w:hAnsi="宋体" w:eastAsia="仿宋_GB2312"/>
                <w:szCs w:val="21"/>
              </w:rPr>
              <w:t>短信平台服务费。</w:t>
            </w:r>
          </w:p>
        </w:tc>
        <w:tc>
          <w:tcPr>
            <w:tcW w:w="398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互联网稳定运行，保障办公网络安全稳定；短息平台运行稳定。</w:t>
            </w:r>
          </w:p>
        </w:tc>
      </w:tr>
      <w:tr>
        <w:tblPrEx>
          <w:tblCellMar>
            <w:top w:w="0" w:type="dxa"/>
            <w:left w:w="108" w:type="dxa"/>
            <w:bottom w:w="0" w:type="dxa"/>
            <w:right w:w="108" w:type="dxa"/>
          </w:tblCellMar>
        </w:tblPrEx>
        <w:trPr>
          <w:trHeight w:val="101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互联网接入服务</w:t>
            </w:r>
          </w:p>
        </w:tc>
        <w:tc>
          <w:tcPr>
            <w:tcW w:w="12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年度一次性服务</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短息平台服务</w:t>
            </w:r>
          </w:p>
        </w:tc>
        <w:tc>
          <w:tcPr>
            <w:tcW w:w="12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年度服务</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使用3个月</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使用频率较低，已于4月份停用短信平台</w:t>
            </w: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服务质量</w:t>
            </w:r>
          </w:p>
        </w:tc>
        <w:tc>
          <w:tcPr>
            <w:tcW w:w="12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安全稳定运行</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实现目标</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2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按合同约定支出</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按时支付相关费用</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预算成本</w:t>
            </w:r>
          </w:p>
        </w:tc>
        <w:tc>
          <w:tcPr>
            <w:tcW w:w="12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年度预算控制数12.2万元</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实际支出96358.2元</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是否满意</w:t>
            </w:r>
          </w:p>
        </w:tc>
        <w:tc>
          <w:tcPr>
            <w:tcW w:w="12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得到我局办公人员的认可</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7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93.3</w:t>
            </w:r>
          </w:p>
        </w:tc>
        <w:tc>
          <w:tcPr>
            <w:tcW w:w="14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（2020年度）</w:t>
      </w:r>
    </w:p>
    <w:tbl>
      <w:tblPr>
        <w:tblStyle w:val="9"/>
        <w:tblpPr w:leftFromText="180" w:rightFromText="180" w:vertAnchor="text" w:horzAnchor="page" w:tblpX="1515" w:tblpY="63"/>
        <w:tblOverlap w:val="never"/>
        <w:tblW w:w="9386" w:type="dxa"/>
        <w:tblInd w:w="0" w:type="dxa"/>
        <w:tblLayout w:type="fixed"/>
        <w:tblCellMar>
          <w:top w:w="0" w:type="dxa"/>
          <w:left w:w="108" w:type="dxa"/>
          <w:bottom w:w="0" w:type="dxa"/>
          <w:right w:w="108" w:type="dxa"/>
        </w:tblCellMar>
      </w:tblPr>
      <w:tblGrid>
        <w:gridCol w:w="585"/>
        <w:gridCol w:w="822"/>
        <w:gridCol w:w="960"/>
        <w:gridCol w:w="1025"/>
        <w:gridCol w:w="1238"/>
        <w:gridCol w:w="52"/>
        <w:gridCol w:w="788"/>
        <w:gridCol w:w="1471"/>
        <w:gridCol w:w="164"/>
        <w:gridCol w:w="725"/>
        <w:gridCol w:w="645"/>
        <w:gridCol w:w="201"/>
        <w:gridCol w:w="710"/>
      </w:tblGrid>
      <w:tr>
        <w:tblPrEx>
          <w:tblCellMar>
            <w:top w:w="0" w:type="dxa"/>
            <w:left w:w="108" w:type="dxa"/>
            <w:bottom w:w="0" w:type="dxa"/>
            <w:right w:w="108" w:type="dxa"/>
          </w:tblCellMar>
        </w:tblPrEx>
        <w:trPr>
          <w:trHeight w:val="306" w:hRule="exact"/>
        </w:trPr>
        <w:tc>
          <w:tcPr>
            <w:tcW w:w="14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79"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外经贸专项工作经费</w:t>
            </w:r>
          </w:p>
        </w:tc>
      </w:tr>
      <w:tr>
        <w:tblPrEx>
          <w:tblCellMar>
            <w:top w:w="0" w:type="dxa"/>
            <w:left w:w="108" w:type="dxa"/>
            <w:bottom w:w="0" w:type="dxa"/>
            <w:right w:w="108" w:type="dxa"/>
          </w:tblCellMar>
        </w:tblPrEx>
        <w:trPr>
          <w:trHeight w:val="306" w:hRule="exact"/>
        </w:trPr>
        <w:tc>
          <w:tcPr>
            <w:tcW w:w="14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6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4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trPr>
        <w:tc>
          <w:tcPr>
            <w:tcW w:w="14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6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李蕊</w:t>
            </w:r>
          </w:p>
        </w:tc>
        <w:tc>
          <w:tcPr>
            <w:tcW w:w="14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15811082886</w:t>
            </w:r>
          </w:p>
        </w:tc>
      </w:tr>
      <w:tr>
        <w:tblPrEx>
          <w:tblCellMar>
            <w:top w:w="0" w:type="dxa"/>
            <w:left w:w="108" w:type="dxa"/>
            <w:bottom w:w="0" w:type="dxa"/>
            <w:right w:w="108" w:type="dxa"/>
          </w:tblCellMar>
        </w:tblPrEx>
        <w:trPr>
          <w:trHeight w:val="767" w:hRule="exact"/>
        </w:trPr>
        <w:tc>
          <w:tcPr>
            <w:tcW w:w="14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78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trPr>
        <w:tc>
          <w:tcPr>
            <w:tcW w:w="1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8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64%</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6.4</w:t>
            </w:r>
          </w:p>
        </w:tc>
      </w:tr>
      <w:tr>
        <w:tblPrEx>
          <w:tblCellMar>
            <w:top w:w="0" w:type="dxa"/>
            <w:left w:w="108" w:type="dxa"/>
            <w:bottom w:w="0" w:type="dxa"/>
            <w:right w:w="108" w:type="dxa"/>
          </w:tblCellMar>
        </w:tblPrEx>
        <w:trPr>
          <w:trHeight w:val="296" w:hRule="exact"/>
        </w:trPr>
        <w:tc>
          <w:tcPr>
            <w:tcW w:w="1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8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30" w:hRule="exact"/>
        </w:trPr>
        <w:tc>
          <w:tcPr>
            <w:tcW w:w="1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66" w:hRule="exact"/>
        </w:trPr>
        <w:tc>
          <w:tcPr>
            <w:tcW w:w="1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8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1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57"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88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开展我区服务贸易统计监测</w:t>
            </w:r>
          </w:p>
        </w:tc>
        <w:tc>
          <w:tcPr>
            <w:tcW w:w="391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共39家服务贸易企业填报，填报金额2.9亿美元</w:t>
            </w:r>
          </w:p>
        </w:tc>
      </w:tr>
      <w:tr>
        <w:tblPrEx>
          <w:tblCellMar>
            <w:top w:w="0" w:type="dxa"/>
            <w:left w:w="108" w:type="dxa"/>
            <w:bottom w:w="0" w:type="dxa"/>
            <w:right w:w="108" w:type="dxa"/>
          </w:tblCellMar>
        </w:tblPrEx>
        <w:trPr>
          <w:trHeight w:val="100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0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开展服务贸易统计监测</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共39家服务贸易企业填报，填报金额2.9亿美元，已达到预期目标</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4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继续夯实完善我区服务贸易统计体系，了解掌握我区服务贸易发展情况</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已完成预期目标</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12月底前完成</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已于11月底完成</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预算控制在5万元以内</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实际执行3.2万元</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47"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联系服务企业，促进服务贸易高质量发展</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对接联系企业，了解企业经营情况。基本达成预期目标。</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为市级部门出台相关政策夯实基础</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基本达成实预期标</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0"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深入挖掘我区服务贸易企业，加强企业对接。</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对接联系企业，了解企业经营情况。基本达成预期目标。</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获得联系企业的一致好评</w:t>
            </w:r>
          </w:p>
        </w:tc>
        <w:tc>
          <w:tcPr>
            <w:tcW w:w="8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163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帮助企业申报统计监测补贴，达成预期目标</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07" w:hRule="exact"/>
        </w:trPr>
        <w:tc>
          <w:tcPr>
            <w:tcW w:w="7105"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95.1</w:t>
            </w:r>
          </w:p>
        </w:tc>
        <w:tc>
          <w:tcPr>
            <w:tcW w:w="9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pPr>
      <w:r>
        <w:br w:type="page"/>
      </w:r>
    </w:p>
    <w:p>
      <w:pPr>
        <w:spacing w:line="480" w:lineRule="exact"/>
        <w:jc w:val="center"/>
        <w:rPr>
          <w:rFonts w:ascii="方正小标宋简体" w:hAnsi="黑体" w:eastAsia="方正小标宋简体"/>
          <w:sz w:val="28"/>
          <w:szCs w:val="36"/>
        </w:rPr>
      </w:pPr>
      <w:r>
        <w:rPr>
          <w:rFonts w:hint="eastAsia" w:ascii="方正小标宋简体" w:hAnsi="黑体" w:eastAsia="方正小标宋简体"/>
          <w:sz w:val="28"/>
          <w:szCs w:val="36"/>
        </w:rPr>
        <w:t>项目支出绩效自评表</w:t>
      </w:r>
    </w:p>
    <w:p>
      <w:pPr>
        <w:spacing w:line="480" w:lineRule="exact"/>
        <w:jc w:val="center"/>
        <w:rPr>
          <w:rFonts w:ascii="仿宋_GB2312" w:hAnsi="宋体" w:eastAsia="仿宋_GB2312"/>
          <w:sz w:val="30"/>
          <w:szCs w:val="30"/>
        </w:rPr>
      </w:pPr>
      <w:r>
        <w:rPr>
          <w:rFonts w:hint="eastAsia" w:ascii="仿宋_GB2312" w:hAnsi="宋体" w:eastAsia="仿宋_GB2312"/>
          <w:sz w:val="28"/>
          <w:szCs w:val="28"/>
        </w:rPr>
        <w:t>（2020年度）</w:t>
      </w:r>
    </w:p>
    <w:tbl>
      <w:tblPr>
        <w:tblStyle w:val="9"/>
        <w:tblW w:w="10132" w:type="dxa"/>
        <w:jc w:val="center"/>
        <w:tblLayout w:type="fixed"/>
        <w:tblCellMar>
          <w:top w:w="0" w:type="dxa"/>
          <w:left w:w="108" w:type="dxa"/>
          <w:bottom w:w="0" w:type="dxa"/>
          <w:right w:w="108" w:type="dxa"/>
        </w:tblCellMar>
      </w:tblPr>
      <w:tblGrid>
        <w:gridCol w:w="477"/>
        <w:gridCol w:w="661"/>
        <w:gridCol w:w="1140"/>
        <w:gridCol w:w="724"/>
        <w:gridCol w:w="795"/>
        <w:gridCol w:w="1741"/>
        <w:gridCol w:w="1704"/>
        <w:gridCol w:w="641"/>
        <w:gridCol w:w="154"/>
        <w:gridCol w:w="540"/>
        <w:gridCol w:w="306"/>
        <w:gridCol w:w="1249"/>
      </w:tblGrid>
      <w:tr>
        <w:tblPrEx>
          <w:tblCellMar>
            <w:top w:w="0" w:type="dxa"/>
            <w:left w:w="108" w:type="dxa"/>
            <w:bottom w:w="0" w:type="dxa"/>
            <w:right w:w="108" w:type="dxa"/>
          </w:tblCellMar>
        </w:tblPrEx>
        <w:trPr>
          <w:trHeight w:val="306" w:hRule="exact"/>
          <w:jc w:val="center"/>
        </w:trPr>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994"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市场监测运行经费</w:t>
            </w:r>
          </w:p>
        </w:tc>
      </w:tr>
      <w:tr>
        <w:tblPrEx>
          <w:tblCellMar>
            <w:top w:w="0" w:type="dxa"/>
            <w:left w:w="108" w:type="dxa"/>
            <w:bottom w:w="0" w:type="dxa"/>
            <w:right w:w="108" w:type="dxa"/>
          </w:tblCellMar>
        </w:tblPrEx>
        <w:trPr>
          <w:trHeight w:val="306" w:hRule="exact"/>
          <w:jc w:val="center"/>
        </w:trPr>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0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c>
          <w:tcPr>
            <w:tcW w:w="170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89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丰台区商务局</w:t>
            </w:r>
          </w:p>
        </w:tc>
      </w:tr>
      <w:tr>
        <w:tblPrEx>
          <w:tblCellMar>
            <w:top w:w="0" w:type="dxa"/>
            <w:left w:w="108" w:type="dxa"/>
            <w:bottom w:w="0" w:type="dxa"/>
            <w:right w:w="108" w:type="dxa"/>
          </w:tblCellMar>
        </w:tblPrEx>
        <w:trPr>
          <w:trHeight w:val="306" w:hRule="exact"/>
          <w:jc w:val="center"/>
        </w:trPr>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0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张萍</w:t>
            </w:r>
          </w:p>
        </w:tc>
        <w:tc>
          <w:tcPr>
            <w:tcW w:w="170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89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63837200</w:t>
            </w:r>
          </w:p>
        </w:tc>
      </w:tr>
      <w:tr>
        <w:tblPrEx>
          <w:tblCellMar>
            <w:top w:w="0" w:type="dxa"/>
            <w:left w:w="108" w:type="dxa"/>
            <w:bottom w:w="0" w:type="dxa"/>
            <w:right w:w="108" w:type="dxa"/>
          </w:tblCellMar>
        </w:tblPrEx>
        <w:trPr>
          <w:trHeight w:val="782" w:hRule="exact"/>
          <w:jc w:val="center"/>
        </w:trPr>
        <w:tc>
          <w:tcPr>
            <w:tcW w:w="113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7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70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1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6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23.68</w:t>
            </w:r>
          </w:p>
        </w:tc>
        <w:tc>
          <w:tcPr>
            <w:tcW w:w="17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23.68</w:t>
            </w:r>
          </w:p>
        </w:tc>
        <w:tc>
          <w:tcPr>
            <w:tcW w:w="170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w:t>
            </w:r>
          </w:p>
        </w:tc>
        <w:tc>
          <w:tcPr>
            <w:tcW w:w="7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95.01%</w:t>
            </w: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r>
      <w:tr>
        <w:tblPrEx>
          <w:tblCellMar>
            <w:top w:w="0" w:type="dxa"/>
            <w:left w:w="108" w:type="dxa"/>
            <w:bottom w:w="0" w:type="dxa"/>
            <w:right w:w="108" w:type="dxa"/>
          </w:tblCellMar>
        </w:tblPrEx>
        <w:trPr>
          <w:trHeight w:val="601" w:hRule="exact"/>
          <w:jc w:val="center"/>
        </w:trPr>
        <w:tc>
          <w:tcPr>
            <w:tcW w:w="11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23.68</w:t>
            </w:r>
          </w:p>
        </w:tc>
        <w:tc>
          <w:tcPr>
            <w:tcW w:w="17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23.68</w:t>
            </w:r>
          </w:p>
        </w:tc>
        <w:tc>
          <w:tcPr>
            <w:tcW w:w="170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w:t>
            </w:r>
          </w:p>
        </w:tc>
        <w:tc>
          <w:tcPr>
            <w:tcW w:w="7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95.01%</w:t>
            </w: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37" w:hRule="exact"/>
          <w:jc w:val="center"/>
        </w:trPr>
        <w:tc>
          <w:tcPr>
            <w:tcW w:w="11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1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8" w:hRule="atLeast"/>
          <w:jc w:val="center"/>
        </w:trPr>
        <w:tc>
          <w:tcPr>
            <w:tcW w:w="47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5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94" w:hRule="atLeast"/>
          <w:jc w:val="center"/>
        </w:trPr>
        <w:tc>
          <w:tcPr>
            <w:tcW w:w="47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保障消费和生活必需品市场稳定运行，每日对生活必需品市场进行监测，做好重要节日、重大会议、重大活动的供应服务保障，增强精细化服务保障能力。</w:t>
            </w:r>
          </w:p>
        </w:tc>
        <w:tc>
          <w:tcPr>
            <w:tcW w:w="45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完成每日对生活必需品市场的日常监测，以及对元旦、春节、清明、端午等7个节假日全区消费和生活必需品市场运行情况监测，保障我区消费和生活必需品市场的稳定运行。</w:t>
            </w:r>
          </w:p>
        </w:tc>
      </w:tr>
      <w:tr>
        <w:tblPrEx>
          <w:tblCellMar>
            <w:top w:w="0" w:type="dxa"/>
            <w:left w:w="108" w:type="dxa"/>
            <w:bottom w:w="0" w:type="dxa"/>
            <w:right w:w="108" w:type="dxa"/>
          </w:tblCellMar>
        </w:tblPrEx>
        <w:trPr>
          <w:trHeight w:val="645" w:hRule="atLeas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756"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监测节假期数量</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全年完成对7个节假日监测</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达到预期指标值，完成对7个节假日的监测</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3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监测企业数量</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对30家商超、30家餐饮以及8家生活必需品企业开展监测</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达到预期监测企业数量指标值</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6"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生活必需品日常监测情况</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通过开展日常监测，了解辖区内生活必需品市场运行情况</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基本达到预期值，报告质量可再提高</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报告精细度有待于进一步提高</w:t>
            </w:r>
          </w:p>
        </w:tc>
      </w:tr>
      <w:tr>
        <w:tblPrEx>
          <w:tblCellMar>
            <w:top w:w="0" w:type="dxa"/>
            <w:left w:w="108" w:type="dxa"/>
            <w:bottom w:w="0" w:type="dxa"/>
            <w:right w:w="108" w:type="dxa"/>
          </w:tblCellMar>
        </w:tblPrEx>
        <w:trPr>
          <w:trHeight w:val="756"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节假日消费和生活必需品市场监测情况</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通过对节假日市场开展监测，掌握消费市场情况</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基本达到预期目标，监测范围可适当增加</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监测范围有待于进一步提高</w:t>
            </w:r>
          </w:p>
        </w:tc>
      </w:tr>
      <w:tr>
        <w:tblPrEx>
          <w:tblCellMar>
            <w:top w:w="0" w:type="dxa"/>
            <w:left w:w="108" w:type="dxa"/>
            <w:bottom w:w="0" w:type="dxa"/>
            <w:right w:w="108" w:type="dxa"/>
          </w:tblCellMar>
        </w:tblPrEx>
        <w:trPr>
          <w:trHeight w:val="715"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出具监测报告及时</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按时出具检测报告</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基本达到预期目标，报告出具时间仍需提高</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出具报告及时性有待进一步提高</w:t>
            </w:r>
          </w:p>
        </w:tc>
      </w:tr>
      <w:tr>
        <w:tblPrEx>
          <w:tblCellMar>
            <w:top w:w="0" w:type="dxa"/>
            <w:left w:w="108" w:type="dxa"/>
            <w:bottom w:w="0" w:type="dxa"/>
            <w:right w:w="108" w:type="dxa"/>
          </w:tblCellMar>
        </w:tblPrEx>
        <w:trPr>
          <w:trHeight w:val="61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基础数据采集费用</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预算花费分配合理</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预算花费分配合理</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监测相关服务费用</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预算花费分配合理</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预算花费分配合理</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3"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保障生活必需品市场稳定运行</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增强市场监测能力，有利于维护市场稳定运行</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6"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1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重大节日市场供应保障情况</w:t>
            </w:r>
          </w:p>
        </w:tc>
        <w:tc>
          <w:tcPr>
            <w:tcW w:w="17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增强服务保障能力，确保节日期间消费市场稳定</w:t>
            </w:r>
          </w:p>
        </w:tc>
        <w:tc>
          <w:tcPr>
            <w:tcW w:w="17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24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96.5</w:t>
            </w:r>
          </w:p>
        </w:tc>
        <w:tc>
          <w:tcPr>
            <w:tcW w:w="1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rPr>
          <w:rFonts w:hint="eastAsia" w:eastAsia="宋体"/>
          <w:lang w:val="en-US" w:eastAsia="zh-CN"/>
        </w:rPr>
      </w:pPr>
      <w:r>
        <w:rPr>
          <w:rFonts w:hint="eastAsia"/>
          <w:lang w:val="en-US" w:eastAsia="zh-CN"/>
        </w:rPr>
        <w:t xml:space="preserve"> </w:t>
      </w: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D6A1A"/>
    <w:multiLevelType w:val="singleLevel"/>
    <w:tmpl w:val="953D6A1A"/>
    <w:lvl w:ilvl="0" w:tentative="0">
      <w:start w:val="1"/>
      <w:numFmt w:val="decimal"/>
      <w:lvlText w:val="%1."/>
      <w:lvlJc w:val="left"/>
      <w:pPr>
        <w:tabs>
          <w:tab w:val="left" w:pos="312"/>
        </w:tabs>
      </w:pPr>
    </w:lvl>
  </w:abstractNum>
  <w:abstractNum w:abstractNumId="1">
    <w:nsid w:val="1F5298E1"/>
    <w:multiLevelType w:val="singleLevel"/>
    <w:tmpl w:val="1F5298E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05857"/>
    <w:rsid w:val="00011D72"/>
    <w:rsid w:val="00013CEC"/>
    <w:rsid w:val="00027CD5"/>
    <w:rsid w:val="00031717"/>
    <w:rsid w:val="00031849"/>
    <w:rsid w:val="00031B8E"/>
    <w:rsid w:val="00033A56"/>
    <w:rsid w:val="00033EC1"/>
    <w:rsid w:val="00034224"/>
    <w:rsid w:val="00040275"/>
    <w:rsid w:val="0004719C"/>
    <w:rsid w:val="00047F6E"/>
    <w:rsid w:val="00051B00"/>
    <w:rsid w:val="0005395D"/>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D6BFA"/>
    <w:rsid w:val="000E0B26"/>
    <w:rsid w:val="000E3291"/>
    <w:rsid w:val="000E56A1"/>
    <w:rsid w:val="000F08FE"/>
    <w:rsid w:val="000F2A48"/>
    <w:rsid w:val="000F49BE"/>
    <w:rsid w:val="0010016B"/>
    <w:rsid w:val="00100246"/>
    <w:rsid w:val="0010682D"/>
    <w:rsid w:val="001073C6"/>
    <w:rsid w:val="00107DB5"/>
    <w:rsid w:val="001128EF"/>
    <w:rsid w:val="0011483D"/>
    <w:rsid w:val="00115724"/>
    <w:rsid w:val="001274AC"/>
    <w:rsid w:val="00130995"/>
    <w:rsid w:val="00131FF9"/>
    <w:rsid w:val="00132320"/>
    <w:rsid w:val="001369A7"/>
    <w:rsid w:val="001428C5"/>
    <w:rsid w:val="001503D8"/>
    <w:rsid w:val="00157540"/>
    <w:rsid w:val="0017111F"/>
    <w:rsid w:val="00173CF6"/>
    <w:rsid w:val="00176C13"/>
    <w:rsid w:val="00177804"/>
    <w:rsid w:val="00180DAD"/>
    <w:rsid w:val="00181BD8"/>
    <w:rsid w:val="0018370E"/>
    <w:rsid w:val="001852E1"/>
    <w:rsid w:val="00191568"/>
    <w:rsid w:val="001A4277"/>
    <w:rsid w:val="001A7D2E"/>
    <w:rsid w:val="001B1DF9"/>
    <w:rsid w:val="001B1E93"/>
    <w:rsid w:val="001B375E"/>
    <w:rsid w:val="001B5E87"/>
    <w:rsid w:val="001B5E91"/>
    <w:rsid w:val="001B7988"/>
    <w:rsid w:val="001D78D9"/>
    <w:rsid w:val="001E0556"/>
    <w:rsid w:val="001E2355"/>
    <w:rsid w:val="001E2379"/>
    <w:rsid w:val="001E29A9"/>
    <w:rsid w:val="001F5857"/>
    <w:rsid w:val="0020531A"/>
    <w:rsid w:val="00206EC3"/>
    <w:rsid w:val="0021047C"/>
    <w:rsid w:val="00211E4E"/>
    <w:rsid w:val="00213D1C"/>
    <w:rsid w:val="00214C3A"/>
    <w:rsid w:val="00217517"/>
    <w:rsid w:val="00222628"/>
    <w:rsid w:val="0022396B"/>
    <w:rsid w:val="002253CB"/>
    <w:rsid w:val="002326DE"/>
    <w:rsid w:val="00234314"/>
    <w:rsid w:val="00241724"/>
    <w:rsid w:val="0024390C"/>
    <w:rsid w:val="00243EB9"/>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A68AC"/>
    <w:rsid w:val="002B19D0"/>
    <w:rsid w:val="002B3682"/>
    <w:rsid w:val="002B5464"/>
    <w:rsid w:val="002C0443"/>
    <w:rsid w:val="002C12FB"/>
    <w:rsid w:val="002C24BC"/>
    <w:rsid w:val="002D03C6"/>
    <w:rsid w:val="002D0FDF"/>
    <w:rsid w:val="002D3955"/>
    <w:rsid w:val="002D68A9"/>
    <w:rsid w:val="002D72D1"/>
    <w:rsid w:val="002E06AE"/>
    <w:rsid w:val="002E4B75"/>
    <w:rsid w:val="002E68DD"/>
    <w:rsid w:val="002F17C2"/>
    <w:rsid w:val="002F32EE"/>
    <w:rsid w:val="002F4054"/>
    <w:rsid w:val="002F5574"/>
    <w:rsid w:val="00301D20"/>
    <w:rsid w:val="00302B19"/>
    <w:rsid w:val="00303428"/>
    <w:rsid w:val="003038DE"/>
    <w:rsid w:val="003041A1"/>
    <w:rsid w:val="003053C4"/>
    <w:rsid w:val="003058A3"/>
    <w:rsid w:val="00307DA5"/>
    <w:rsid w:val="0031169D"/>
    <w:rsid w:val="0031170D"/>
    <w:rsid w:val="00313E14"/>
    <w:rsid w:val="003167DD"/>
    <w:rsid w:val="003213C1"/>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16C7"/>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2CD4"/>
    <w:rsid w:val="003C55FC"/>
    <w:rsid w:val="003D0EC3"/>
    <w:rsid w:val="003D7274"/>
    <w:rsid w:val="003E2ED0"/>
    <w:rsid w:val="003E4D82"/>
    <w:rsid w:val="003E5BC1"/>
    <w:rsid w:val="003F0D1B"/>
    <w:rsid w:val="003F1DD6"/>
    <w:rsid w:val="00401087"/>
    <w:rsid w:val="00402E26"/>
    <w:rsid w:val="004110BC"/>
    <w:rsid w:val="00411D17"/>
    <w:rsid w:val="004121B3"/>
    <w:rsid w:val="0041271F"/>
    <w:rsid w:val="0041688E"/>
    <w:rsid w:val="004170EF"/>
    <w:rsid w:val="0042093C"/>
    <w:rsid w:val="00421E43"/>
    <w:rsid w:val="004233DD"/>
    <w:rsid w:val="00423F0A"/>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0BC2"/>
    <w:rsid w:val="00461FA5"/>
    <w:rsid w:val="00463566"/>
    <w:rsid w:val="00464182"/>
    <w:rsid w:val="00471C52"/>
    <w:rsid w:val="0047460C"/>
    <w:rsid w:val="00474FF2"/>
    <w:rsid w:val="00480098"/>
    <w:rsid w:val="00481BD4"/>
    <w:rsid w:val="00484A93"/>
    <w:rsid w:val="00485B54"/>
    <w:rsid w:val="00485E12"/>
    <w:rsid w:val="004865DA"/>
    <w:rsid w:val="0048779C"/>
    <w:rsid w:val="00487AB7"/>
    <w:rsid w:val="00487ED0"/>
    <w:rsid w:val="0049193D"/>
    <w:rsid w:val="0049682C"/>
    <w:rsid w:val="004A168E"/>
    <w:rsid w:val="004A4EC7"/>
    <w:rsid w:val="004B0003"/>
    <w:rsid w:val="004C020A"/>
    <w:rsid w:val="004C03A3"/>
    <w:rsid w:val="004C0BF7"/>
    <w:rsid w:val="004C21FE"/>
    <w:rsid w:val="004C44B8"/>
    <w:rsid w:val="004C4913"/>
    <w:rsid w:val="004C73F4"/>
    <w:rsid w:val="004C7629"/>
    <w:rsid w:val="004D0D5D"/>
    <w:rsid w:val="004E27DD"/>
    <w:rsid w:val="004E3350"/>
    <w:rsid w:val="004E3911"/>
    <w:rsid w:val="004E5292"/>
    <w:rsid w:val="004F2C5B"/>
    <w:rsid w:val="004F610B"/>
    <w:rsid w:val="004F641B"/>
    <w:rsid w:val="004F71F3"/>
    <w:rsid w:val="00500D0B"/>
    <w:rsid w:val="005052FA"/>
    <w:rsid w:val="005069E1"/>
    <w:rsid w:val="00507E59"/>
    <w:rsid w:val="005122B5"/>
    <w:rsid w:val="00512DF2"/>
    <w:rsid w:val="0052381C"/>
    <w:rsid w:val="00525D1B"/>
    <w:rsid w:val="005346B3"/>
    <w:rsid w:val="005368DE"/>
    <w:rsid w:val="0054051C"/>
    <w:rsid w:val="00543E37"/>
    <w:rsid w:val="00546A84"/>
    <w:rsid w:val="00547BE2"/>
    <w:rsid w:val="0055353D"/>
    <w:rsid w:val="005606FD"/>
    <w:rsid w:val="0056187C"/>
    <w:rsid w:val="0056700F"/>
    <w:rsid w:val="00570350"/>
    <w:rsid w:val="00576B03"/>
    <w:rsid w:val="00591655"/>
    <w:rsid w:val="00591BEC"/>
    <w:rsid w:val="005940EA"/>
    <w:rsid w:val="00594448"/>
    <w:rsid w:val="005A1D6F"/>
    <w:rsid w:val="005A4D82"/>
    <w:rsid w:val="005A52A6"/>
    <w:rsid w:val="005B0DEC"/>
    <w:rsid w:val="005B368E"/>
    <w:rsid w:val="005B6E69"/>
    <w:rsid w:val="005C0015"/>
    <w:rsid w:val="005C0F5F"/>
    <w:rsid w:val="005C2BCE"/>
    <w:rsid w:val="005C2CA5"/>
    <w:rsid w:val="005C7062"/>
    <w:rsid w:val="005C7788"/>
    <w:rsid w:val="005D10B9"/>
    <w:rsid w:val="005D171C"/>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1B4E"/>
    <w:rsid w:val="006B2609"/>
    <w:rsid w:val="006B2750"/>
    <w:rsid w:val="006B3678"/>
    <w:rsid w:val="006B7390"/>
    <w:rsid w:val="006C0084"/>
    <w:rsid w:val="006C107D"/>
    <w:rsid w:val="006C3600"/>
    <w:rsid w:val="006C4534"/>
    <w:rsid w:val="006C4DA3"/>
    <w:rsid w:val="006C5205"/>
    <w:rsid w:val="006C7272"/>
    <w:rsid w:val="006C75F6"/>
    <w:rsid w:val="006D3F53"/>
    <w:rsid w:val="006D60AF"/>
    <w:rsid w:val="006F5FE4"/>
    <w:rsid w:val="00701651"/>
    <w:rsid w:val="0070304E"/>
    <w:rsid w:val="007049BF"/>
    <w:rsid w:val="00704E79"/>
    <w:rsid w:val="00707A26"/>
    <w:rsid w:val="0071120F"/>
    <w:rsid w:val="00716380"/>
    <w:rsid w:val="00722165"/>
    <w:rsid w:val="00724B1C"/>
    <w:rsid w:val="007428F0"/>
    <w:rsid w:val="00742B05"/>
    <w:rsid w:val="00747613"/>
    <w:rsid w:val="00750E0E"/>
    <w:rsid w:val="007512EF"/>
    <w:rsid w:val="007551AC"/>
    <w:rsid w:val="0076101C"/>
    <w:rsid w:val="00761A93"/>
    <w:rsid w:val="00763D87"/>
    <w:rsid w:val="007670B2"/>
    <w:rsid w:val="00771795"/>
    <w:rsid w:val="00774925"/>
    <w:rsid w:val="00781DFD"/>
    <w:rsid w:val="00791185"/>
    <w:rsid w:val="0079279F"/>
    <w:rsid w:val="00793E69"/>
    <w:rsid w:val="00797A67"/>
    <w:rsid w:val="007A063C"/>
    <w:rsid w:val="007A16B0"/>
    <w:rsid w:val="007A19EA"/>
    <w:rsid w:val="007A6092"/>
    <w:rsid w:val="007A60B7"/>
    <w:rsid w:val="007A64A6"/>
    <w:rsid w:val="007A7C89"/>
    <w:rsid w:val="007B1487"/>
    <w:rsid w:val="007B2A43"/>
    <w:rsid w:val="007B326F"/>
    <w:rsid w:val="007B6A58"/>
    <w:rsid w:val="007B6C06"/>
    <w:rsid w:val="007B7B78"/>
    <w:rsid w:val="007C1A07"/>
    <w:rsid w:val="007C32B1"/>
    <w:rsid w:val="007C6887"/>
    <w:rsid w:val="007C7A22"/>
    <w:rsid w:val="007C7C62"/>
    <w:rsid w:val="007D0E0F"/>
    <w:rsid w:val="007D1076"/>
    <w:rsid w:val="007D12B7"/>
    <w:rsid w:val="007D2A49"/>
    <w:rsid w:val="007D5E38"/>
    <w:rsid w:val="007D7AC4"/>
    <w:rsid w:val="007E0340"/>
    <w:rsid w:val="007E141D"/>
    <w:rsid w:val="007E1D4A"/>
    <w:rsid w:val="007E53C0"/>
    <w:rsid w:val="007E7703"/>
    <w:rsid w:val="007F0850"/>
    <w:rsid w:val="007F251D"/>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22C0"/>
    <w:rsid w:val="008337CB"/>
    <w:rsid w:val="00834A3C"/>
    <w:rsid w:val="00837658"/>
    <w:rsid w:val="00837CD4"/>
    <w:rsid w:val="008400EE"/>
    <w:rsid w:val="00840791"/>
    <w:rsid w:val="00845576"/>
    <w:rsid w:val="00850708"/>
    <w:rsid w:val="00851024"/>
    <w:rsid w:val="008526D7"/>
    <w:rsid w:val="00852CED"/>
    <w:rsid w:val="0086238C"/>
    <w:rsid w:val="008655DC"/>
    <w:rsid w:val="0086732D"/>
    <w:rsid w:val="00870183"/>
    <w:rsid w:val="00875726"/>
    <w:rsid w:val="00877F10"/>
    <w:rsid w:val="0088225D"/>
    <w:rsid w:val="00882F8D"/>
    <w:rsid w:val="00884FB0"/>
    <w:rsid w:val="008853A5"/>
    <w:rsid w:val="008902A5"/>
    <w:rsid w:val="008944DA"/>
    <w:rsid w:val="00894D78"/>
    <w:rsid w:val="00895B7B"/>
    <w:rsid w:val="008A6A18"/>
    <w:rsid w:val="008B033F"/>
    <w:rsid w:val="008B4003"/>
    <w:rsid w:val="008B5267"/>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4E21"/>
    <w:rsid w:val="008F55D9"/>
    <w:rsid w:val="009057DE"/>
    <w:rsid w:val="00905F97"/>
    <w:rsid w:val="00906FA3"/>
    <w:rsid w:val="0091239D"/>
    <w:rsid w:val="00912825"/>
    <w:rsid w:val="009129B8"/>
    <w:rsid w:val="00912B99"/>
    <w:rsid w:val="00912C78"/>
    <w:rsid w:val="00913E20"/>
    <w:rsid w:val="009351E9"/>
    <w:rsid w:val="00937862"/>
    <w:rsid w:val="0094089E"/>
    <w:rsid w:val="00942279"/>
    <w:rsid w:val="009524EB"/>
    <w:rsid w:val="00957AA2"/>
    <w:rsid w:val="00962013"/>
    <w:rsid w:val="00963942"/>
    <w:rsid w:val="009654F7"/>
    <w:rsid w:val="0096716C"/>
    <w:rsid w:val="009672B2"/>
    <w:rsid w:val="00971C66"/>
    <w:rsid w:val="00982515"/>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C7C6A"/>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04384"/>
    <w:rsid w:val="00A117CA"/>
    <w:rsid w:val="00A12225"/>
    <w:rsid w:val="00A14C18"/>
    <w:rsid w:val="00A174D7"/>
    <w:rsid w:val="00A25898"/>
    <w:rsid w:val="00A3071D"/>
    <w:rsid w:val="00A3182E"/>
    <w:rsid w:val="00A31A89"/>
    <w:rsid w:val="00A32F06"/>
    <w:rsid w:val="00A34934"/>
    <w:rsid w:val="00A34EFE"/>
    <w:rsid w:val="00A36546"/>
    <w:rsid w:val="00A403E1"/>
    <w:rsid w:val="00A4069C"/>
    <w:rsid w:val="00A429CB"/>
    <w:rsid w:val="00A44E87"/>
    <w:rsid w:val="00A5063C"/>
    <w:rsid w:val="00A52749"/>
    <w:rsid w:val="00A5422E"/>
    <w:rsid w:val="00A56EC1"/>
    <w:rsid w:val="00A61945"/>
    <w:rsid w:val="00A6350C"/>
    <w:rsid w:val="00A6370B"/>
    <w:rsid w:val="00A63A73"/>
    <w:rsid w:val="00A6655C"/>
    <w:rsid w:val="00A66CBB"/>
    <w:rsid w:val="00A6704E"/>
    <w:rsid w:val="00A67EA4"/>
    <w:rsid w:val="00A83AA1"/>
    <w:rsid w:val="00A9343A"/>
    <w:rsid w:val="00A9706C"/>
    <w:rsid w:val="00A973F4"/>
    <w:rsid w:val="00A97B34"/>
    <w:rsid w:val="00AA1B5C"/>
    <w:rsid w:val="00AA2482"/>
    <w:rsid w:val="00AA7A27"/>
    <w:rsid w:val="00AB3FB0"/>
    <w:rsid w:val="00AB465D"/>
    <w:rsid w:val="00AB5230"/>
    <w:rsid w:val="00AC114C"/>
    <w:rsid w:val="00AC1478"/>
    <w:rsid w:val="00AC6C2D"/>
    <w:rsid w:val="00AC6E17"/>
    <w:rsid w:val="00AD2FF3"/>
    <w:rsid w:val="00AD7764"/>
    <w:rsid w:val="00AD7FE2"/>
    <w:rsid w:val="00AE0DC7"/>
    <w:rsid w:val="00AE1284"/>
    <w:rsid w:val="00AE1B18"/>
    <w:rsid w:val="00AE7339"/>
    <w:rsid w:val="00AF1B0B"/>
    <w:rsid w:val="00AF242C"/>
    <w:rsid w:val="00AF3CC4"/>
    <w:rsid w:val="00AF5F8D"/>
    <w:rsid w:val="00B05903"/>
    <w:rsid w:val="00B12C7A"/>
    <w:rsid w:val="00B12E10"/>
    <w:rsid w:val="00B22BC3"/>
    <w:rsid w:val="00B25865"/>
    <w:rsid w:val="00B272B6"/>
    <w:rsid w:val="00B2771B"/>
    <w:rsid w:val="00B336E9"/>
    <w:rsid w:val="00B33AE5"/>
    <w:rsid w:val="00B34BDD"/>
    <w:rsid w:val="00B35BE5"/>
    <w:rsid w:val="00B46965"/>
    <w:rsid w:val="00B54ED0"/>
    <w:rsid w:val="00B55D47"/>
    <w:rsid w:val="00B6204E"/>
    <w:rsid w:val="00B649EC"/>
    <w:rsid w:val="00B64E2B"/>
    <w:rsid w:val="00B728DD"/>
    <w:rsid w:val="00B72D43"/>
    <w:rsid w:val="00B74121"/>
    <w:rsid w:val="00B80DC8"/>
    <w:rsid w:val="00B85FF0"/>
    <w:rsid w:val="00B86150"/>
    <w:rsid w:val="00B878F9"/>
    <w:rsid w:val="00B9044A"/>
    <w:rsid w:val="00B96076"/>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1A72"/>
    <w:rsid w:val="00BE34CA"/>
    <w:rsid w:val="00BF116A"/>
    <w:rsid w:val="00C0366F"/>
    <w:rsid w:val="00C0623C"/>
    <w:rsid w:val="00C06A07"/>
    <w:rsid w:val="00C132B6"/>
    <w:rsid w:val="00C21A6C"/>
    <w:rsid w:val="00C224D0"/>
    <w:rsid w:val="00C24A10"/>
    <w:rsid w:val="00C27003"/>
    <w:rsid w:val="00C27597"/>
    <w:rsid w:val="00C32BD4"/>
    <w:rsid w:val="00C32D1F"/>
    <w:rsid w:val="00C33E48"/>
    <w:rsid w:val="00C3618B"/>
    <w:rsid w:val="00C403FB"/>
    <w:rsid w:val="00C4316E"/>
    <w:rsid w:val="00C441A2"/>
    <w:rsid w:val="00C5076B"/>
    <w:rsid w:val="00C512D4"/>
    <w:rsid w:val="00C51CF4"/>
    <w:rsid w:val="00C531E2"/>
    <w:rsid w:val="00C57E34"/>
    <w:rsid w:val="00C604E7"/>
    <w:rsid w:val="00C64659"/>
    <w:rsid w:val="00C662E9"/>
    <w:rsid w:val="00C66C2D"/>
    <w:rsid w:val="00C66F47"/>
    <w:rsid w:val="00C71481"/>
    <w:rsid w:val="00C7190B"/>
    <w:rsid w:val="00C74C2A"/>
    <w:rsid w:val="00C76852"/>
    <w:rsid w:val="00C77210"/>
    <w:rsid w:val="00C777FA"/>
    <w:rsid w:val="00C77989"/>
    <w:rsid w:val="00C81E51"/>
    <w:rsid w:val="00C87B73"/>
    <w:rsid w:val="00C92444"/>
    <w:rsid w:val="00C92FBB"/>
    <w:rsid w:val="00C93327"/>
    <w:rsid w:val="00C97B4D"/>
    <w:rsid w:val="00CA22C2"/>
    <w:rsid w:val="00CA2DFC"/>
    <w:rsid w:val="00CA5602"/>
    <w:rsid w:val="00CA5CA9"/>
    <w:rsid w:val="00CA78E2"/>
    <w:rsid w:val="00CB1BBE"/>
    <w:rsid w:val="00CB65DB"/>
    <w:rsid w:val="00CB6BD9"/>
    <w:rsid w:val="00CB6EE7"/>
    <w:rsid w:val="00CC293A"/>
    <w:rsid w:val="00CC3DAD"/>
    <w:rsid w:val="00CE19F6"/>
    <w:rsid w:val="00CF366B"/>
    <w:rsid w:val="00CF5D9D"/>
    <w:rsid w:val="00CF606C"/>
    <w:rsid w:val="00CF7423"/>
    <w:rsid w:val="00D001F5"/>
    <w:rsid w:val="00D03E80"/>
    <w:rsid w:val="00D03F61"/>
    <w:rsid w:val="00D11576"/>
    <w:rsid w:val="00D15B9F"/>
    <w:rsid w:val="00D15DD6"/>
    <w:rsid w:val="00D16A83"/>
    <w:rsid w:val="00D25548"/>
    <w:rsid w:val="00D2601F"/>
    <w:rsid w:val="00D27759"/>
    <w:rsid w:val="00D30028"/>
    <w:rsid w:val="00D325D3"/>
    <w:rsid w:val="00D408D6"/>
    <w:rsid w:val="00D50AF0"/>
    <w:rsid w:val="00D511DD"/>
    <w:rsid w:val="00D55C2A"/>
    <w:rsid w:val="00D571C1"/>
    <w:rsid w:val="00D602F4"/>
    <w:rsid w:val="00D6457E"/>
    <w:rsid w:val="00D742E2"/>
    <w:rsid w:val="00D7580E"/>
    <w:rsid w:val="00D76CAF"/>
    <w:rsid w:val="00D87A39"/>
    <w:rsid w:val="00D87DAF"/>
    <w:rsid w:val="00D9446D"/>
    <w:rsid w:val="00D97FE2"/>
    <w:rsid w:val="00DA2994"/>
    <w:rsid w:val="00DB08E8"/>
    <w:rsid w:val="00DB0DED"/>
    <w:rsid w:val="00DB3073"/>
    <w:rsid w:val="00DB3BA9"/>
    <w:rsid w:val="00DB50FE"/>
    <w:rsid w:val="00DB5EDA"/>
    <w:rsid w:val="00DC2349"/>
    <w:rsid w:val="00DC3026"/>
    <w:rsid w:val="00DC66F6"/>
    <w:rsid w:val="00DD1EDB"/>
    <w:rsid w:val="00DD57AA"/>
    <w:rsid w:val="00DD61F9"/>
    <w:rsid w:val="00DE1578"/>
    <w:rsid w:val="00DE7F67"/>
    <w:rsid w:val="00DF0529"/>
    <w:rsid w:val="00DF0D0F"/>
    <w:rsid w:val="00DF13D6"/>
    <w:rsid w:val="00DF27D6"/>
    <w:rsid w:val="00DF2BEA"/>
    <w:rsid w:val="00DF4488"/>
    <w:rsid w:val="00DF5B98"/>
    <w:rsid w:val="00DF6FA8"/>
    <w:rsid w:val="00DF701E"/>
    <w:rsid w:val="00DF7BE5"/>
    <w:rsid w:val="00DF7CF6"/>
    <w:rsid w:val="00E00D49"/>
    <w:rsid w:val="00E019A8"/>
    <w:rsid w:val="00E03A46"/>
    <w:rsid w:val="00E03C6D"/>
    <w:rsid w:val="00E0476F"/>
    <w:rsid w:val="00E04899"/>
    <w:rsid w:val="00E0796F"/>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067F"/>
    <w:rsid w:val="00E8595B"/>
    <w:rsid w:val="00E915EC"/>
    <w:rsid w:val="00EA019C"/>
    <w:rsid w:val="00EA11B1"/>
    <w:rsid w:val="00EA2224"/>
    <w:rsid w:val="00EA7194"/>
    <w:rsid w:val="00EB1329"/>
    <w:rsid w:val="00EB2987"/>
    <w:rsid w:val="00EB2D75"/>
    <w:rsid w:val="00EB34BE"/>
    <w:rsid w:val="00EB571A"/>
    <w:rsid w:val="00EC2046"/>
    <w:rsid w:val="00EC2804"/>
    <w:rsid w:val="00EC3F79"/>
    <w:rsid w:val="00EC6138"/>
    <w:rsid w:val="00ED1DCF"/>
    <w:rsid w:val="00ED43C9"/>
    <w:rsid w:val="00ED7460"/>
    <w:rsid w:val="00EE2C60"/>
    <w:rsid w:val="00EE2E58"/>
    <w:rsid w:val="00EE487A"/>
    <w:rsid w:val="00EE565A"/>
    <w:rsid w:val="00EE734C"/>
    <w:rsid w:val="00EF579A"/>
    <w:rsid w:val="00EF6907"/>
    <w:rsid w:val="00EF6D91"/>
    <w:rsid w:val="00EF7C4E"/>
    <w:rsid w:val="00F01F54"/>
    <w:rsid w:val="00F04D4D"/>
    <w:rsid w:val="00F11DD8"/>
    <w:rsid w:val="00F12745"/>
    <w:rsid w:val="00F13766"/>
    <w:rsid w:val="00F16273"/>
    <w:rsid w:val="00F20A77"/>
    <w:rsid w:val="00F22C60"/>
    <w:rsid w:val="00F231A4"/>
    <w:rsid w:val="00F23252"/>
    <w:rsid w:val="00F27B2A"/>
    <w:rsid w:val="00F345D3"/>
    <w:rsid w:val="00F356ED"/>
    <w:rsid w:val="00F35909"/>
    <w:rsid w:val="00F359B5"/>
    <w:rsid w:val="00F37183"/>
    <w:rsid w:val="00F4144F"/>
    <w:rsid w:val="00F433F3"/>
    <w:rsid w:val="00F47F64"/>
    <w:rsid w:val="00F522D9"/>
    <w:rsid w:val="00F52F54"/>
    <w:rsid w:val="00F53584"/>
    <w:rsid w:val="00F5449B"/>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93C59"/>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522D"/>
    <w:rsid w:val="00FE6A2B"/>
    <w:rsid w:val="00FF0275"/>
    <w:rsid w:val="00FF07B3"/>
    <w:rsid w:val="00FF1E37"/>
    <w:rsid w:val="00FF7FE8"/>
    <w:rsid w:val="01572F42"/>
    <w:rsid w:val="02674D70"/>
    <w:rsid w:val="0587077A"/>
    <w:rsid w:val="06502673"/>
    <w:rsid w:val="07A54D5C"/>
    <w:rsid w:val="0A6F01AD"/>
    <w:rsid w:val="0C9E53B7"/>
    <w:rsid w:val="0CCC6B35"/>
    <w:rsid w:val="0DA10560"/>
    <w:rsid w:val="0F7B0EC6"/>
    <w:rsid w:val="159D4B35"/>
    <w:rsid w:val="15D60EB1"/>
    <w:rsid w:val="17B368F0"/>
    <w:rsid w:val="18020048"/>
    <w:rsid w:val="1E45065F"/>
    <w:rsid w:val="20462102"/>
    <w:rsid w:val="24786C26"/>
    <w:rsid w:val="24C5789B"/>
    <w:rsid w:val="26AF7080"/>
    <w:rsid w:val="280D2F75"/>
    <w:rsid w:val="2A9A6DC6"/>
    <w:rsid w:val="2B060B65"/>
    <w:rsid w:val="315E5F6E"/>
    <w:rsid w:val="34854586"/>
    <w:rsid w:val="3C190F36"/>
    <w:rsid w:val="3FAA3777"/>
    <w:rsid w:val="3FF47BB1"/>
    <w:rsid w:val="40E51FA0"/>
    <w:rsid w:val="425335AF"/>
    <w:rsid w:val="45BB2F43"/>
    <w:rsid w:val="4B1A19C7"/>
    <w:rsid w:val="4CA60C17"/>
    <w:rsid w:val="4D2165E2"/>
    <w:rsid w:val="4E1E3C89"/>
    <w:rsid w:val="4FAE58CE"/>
    <w:rsid w:val="50F605DF"/>
    <w:rsid w:val="565A0DE9"/>
    <w:rsid w:val="59623AC8"/>
    <w:rsid w:val="62424772"/>
    <w:rsid w:val="63422A2A"/>
    <w:rsid w:val="64D173EC"/>
    <w:rsid w:val="6E10567E"/>
    <w:rsid w:val="6E2C094B"/>
    <w:rsid w:val="70850BC6"/>
    <w:rsid w:val="770233C1"/>
    <w:rsid w:val="7D08410F"/>
    <w:rsid w:val="7D2E47A8"/>
    <w:rsid w:val="7DBD4694"/>
    <w:rsid w:val="7FC4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character" w:customStyle="1" w:styleId="13">
    <w:name w:val="页眉 Char"/>
    <w:link w:val="7"/>
    <w:qFormat/>
    <w:uiPriority w:val="0"/>
    <w:rPr>
      <w:rFonts w:ascii="Calibri" w:hAnsi="Calibri" w:eastAsia="宋体"/>
      <w:kern w:val="2"/>
      <w:sz w:val="18"/>
      <w:szCs w:val="18"/>
      <w:lang w:val="en-US" w:eastAsia="zh-CN" w:bidi="ar-SA"/>
    </w:rPr>
  </w:style>
  <w:style w:type="character" w:customStyle="1" w:styleId="14">
    <w:name w:val="页脚 Char"/>
    <w:link w:val="6"/>
    <w:uiPriority w:val="0"/>
    <w:rPr>
      <w:rFonts w:eastAsia="宋体"/>
      <w:kern w:val="2"/>
      <w:sz w:val="18"/>
      <w:szCs w:val="18"/>
      <w:lang w:val="en-US" w:eastAsia="zh-CN" w:bidi="ar-SA"/>
    </w:rPr>
  </w:style>
  <w:style w:type="paragraph" w:customStyle="1" w:styleId="15">
    <w:name w:val="Char Char Char Char Char Char Char"/>
    <w:basedOn w:val="1"/>
    <w:qFormat/>
    <w:uiPriority w:val="0"/>
    <w:rPr>
      <w:rFonts w:ascii="Tahoma" w:hAnsi="Tahoma"/>
      <w:sz w:val="24"/>
      <w:szCs w:val="20"/>
    </w:rPr>
  </w:style>
  <w:style w:type="paragraph" w:customStyle="1" w:styleId="16">
    <w:name w:val="Char1 Char Char Char"/>
    <w:basedOn w:val="1"/>
    <w:qFormat/>
    <w:uiPriority w:val="0"/>
    <w:pPr>
      <w:widowControl/>
      <w:spacing w:after="160" w:line="240" w:lineRule="exact"/>
      <w:jc w:val="left"/>
    </w:pPr>
    <w:rPr>
      <w:szCs w:val="20"/>
    </w:rPr>
  </w:style>
  <w:style w:type="paragraph" w:customStyle="1" w:styleId="17">
    <w:name w:val="Char"/>
    <w:basedOn w:val="1"/>
    <w:qFormat/>
    <w:uiPriority w:val="0"/>
    <w:rPr>
      <w:rFonts w:ascii="Tahoma" w:hAnsi="Tahoma"/>
      <w:sz w:val="24"/>
      <w:szCs w:val="20"/>
    </w:rPr>
  </w:style>
  <w:style w:type="paragraph" w:customStyle="1" w:styleId="18">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56</Pages>
  <Words>6093</Words>
  <Characters>34734</Characters>
  <Lines>289</Lines>
  <Paragraphs>81</Paragraphs>
  <TotalTime>3</TotalTime>
  <ScaleCrop>false</ScaleCrop>
  <LinksUpToDate>false</LinksUpToDate>
  <CharactersWithSpaces>40746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2021-06-22T08:44:00Z</dcterms:created>
  <dc:creator>常程</dc:creator>
  <cp:lastModifiedBy>Administrator</cp:lastModifiedBy>
  <cp:lastPrinted>2021-08-18T06:46:00Z</cp:lastPrinted>
  <dcterms:modified xsi:type="dcterms:W3CDTF">2023-10-08T02:24:39Z</dcterms:modified>
  <dc:title>北京市财政局关于做好向市人大常委会报送2015年度市级部门决算（草案）</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7A6F6466DB1740FE963698B404BEC6DF</vt:lpwstr>
  </property>
</Properties>
</file>