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北京市丰台区人民政府</w:t>
      </w:r>
    </w:p>
    <w:p>
      <w:pPr>
        <w:spacing w:line="56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不予受理行政复议申请决定书</w:t>
      </w:r>
    </w:p>
    <w:p>
      <w:pPr>
        <w:spacing w:line="560" w:lineRule="exact"/>
        <w:jc w:val="right"/>
        <w:rPr>
          <w:rFonts w:ascii="仿宋_GB2312" w:eastAsia="仿宋_GB2312"/>
          <w:sz w:val="32"/>
          <w:szCs w:val="32"/>
        </w:rPr>
      </w:pPr>
    </w:p>
    <w:p>
      <w:pPr>
        <w:spacing w:line="560" w:lineRule="exact"/>
        <w:jc w:val="right"/>
        <w:rPr>
          <w:rFonts w:ascii="仿宋_GB2312" w:eastAsia="仿宋_GB2312"/>
          <w:sz w:val="32"/>
          <w:szCs w:val="32"/>
        </w:rPr>
      </w:pPr>
      <w:r>
        <w:rPr>
          <w:rFonts w:hint="eastAsia" w:ascii="仿宋_GB2312" w:eastAsia="仿宋_GB2312"/>
          <w:sz w:val="32"/>
          <w:szCs w:val="32"/>
        </w:rPr>
        <w:t>丰政复字〔202</w:t>
      </w: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val="en-US" w:eastAsia="zh-CN"/>
        </w:rPr>
        <w:t>13</w:t>
      </w:r>
      <w:r>
        <w:rPr>
          <w:rFonts w:hint="eastAsia" w:ascii="仿宋_GB2312" w:eastAsia="仿宋_GB2312"/>
          <w:sz w:val="32"/>
          <w:szCs w:val="32"/>
        </w:rPr>
        <w:t>号</w:t>
      </w:r>
    </w:p>
    <w:p>
      <w:pPr>
        <w:spacing w:line="560" w:lineRule="exact"/>
        <w:jc w:val="right"/>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color w:val="000000"/>
          <w:sz w:val="32"/>
          <w:szCs w:val="32"/>
        </w:rPr>
        <w:t>申请人：</w:t>
      </w:r>
      <w:r>
        <w:rPr>
          <w:rFonts w:hint="eastAsia" w:ascii="仿宋_GB2312" w:eastAsia="仿宋_GB2312"/>
          <w:color w:val="000000"/>
          <w:sz w:val="32"/>
          <w:szCs w:val="32"/>
          <w:lang w:eastAsia="zh-CN"/>
        </w:rPr>
        <w:t>李某</w:t>
      </w:r>
      <w:r>
        <w:rPr>
          <w:rFonts w:hint="eastAsia" w:ascii="仿宋_GB2312" w:eastAsia="仿宋_GB2312"/>
          <w:sz w:val="32"/>
          <w:szCs w:val="32"/>
        </w:rPr>
        <w:t>。</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被申请人：北京市丰台区</w:t>
      </w:r>
      <w:bookmarkStart w:id="0" w:name="_GoBack"/>
      <w:bookmarkEnd w:id="0"/>
      <w:r>
        <w:rPr>
          <w:rFonts w:hint="eastAsia" w:ascii="仿宋_GB2312" w:eastAsia="仿宋_GB2312"/>
          <w:color w:val="000000"/>
          <w:sz w:val="32"/>
          <w:szCs w:val="32"/>
          <w:lang w:eastAsia="zh-CN"/>
        </w:rPr>
        <w:t>市场监督管理局</w:t>
      </w:r>
      <w:r>
        <w:rPr>
          <w:rFonts w:hint="eastAsia" w:ascii="仿宋_GB2312" w:eastAsia="仿宋_GB2312"/>
          <w:color w:val="000000"/>
          <w:sz w:val="32"/>
          <w:szCs w:val="32"/>
        </w:rPr>
        <w:t>。</w:t>
      </w:r>
    </w:p>
    <w:p>
      <w:pPr>
        <w:spacing w:line="560" w:lineRule="exact"/>
        <w:ind w:firstLine="640" w:firstLineChars="200"/>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申请人</w:t>
      </w:r>
      <w:r>
        <w:rPr>
          <w:rFonts w:hint="eastAsia" w:ascii="仿宋_GB2312" w:eastAsia="仿宋_GB2312"/>
          <w:color w:val="000000"/>
          <w:sz w:val="32"/>
          <w:szCs w:val="32"/>
          <w:lang w:eastAsia="zh-CN"/>
        </w:rPr>
        <w:t>请求确认被申请人未告知是否受理投诉以及未依法办理投诉案件的行政行为违法，责令被申请人限期履行投诉的受理和依法处理的法定职责。</w:t>
      </w:r>
      <w:r>
        <w:rPr>
          <w:rFonts w:hint="eastAsia" w:ascii="仿宋_GB2312" w:eastAsia="仿宋_GB2312"/>
          <w:color w:val="000000"/>
          <w:sz w:val="32"/>
          <w:szCs w:val="32"/>
        </w:rPr>
        <w:t>于202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日向本机关提出行政复议申请。经审查，本机关认为：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《中华人民共和国行政复议法》第九条</w:t>
      </w:r>
      <w:r>
        <w:rPr>
          <w:rFonts w:hint="eastAsia" w:ascii="仿宋_GB2312" w:eastAsia="仿宋_GB2312"/>
          <w:color w:val="000000"/>
          <w:sz w:val="32"/>
          <w:szCs w:val="32"/>
          <w:lang w:eastAsia="zh-CN"/>
        </w:rPr>
        <w:t>规定：</w:t>
      </w:r>
      <w:r>
        <w:rPr>
          <w:rFonts w:hint="eastAsia" w:ascii="仿宋_GB2312" w:eastAsia="仿宋_GB2312"/>
          <w:color w:val="000000"/>
          <w:sz w:val="32"/>
          <w:szCs w:val="32"/>
        </w:rPr>
        <w:t>“公民、法人或者其他组织认为具体行政行为侵犯其合法权益的，可以自知道该具体行政行为之日起六十日内提出行政复议申请；但是法律规定的申请期限超过六十日的除外”</w:t>
      </w:r>
      <w:r>
        <w:rPr>
          <w:rFonts w:hint="eastAsia" w:ascii="仿宋_GB2312" w:eastAsia="仿宋_GB2312"/>
          <w:color w:val="000000"/>
          <w:sz w:val="32"/>
          <w:szCs w:val="32"/>
          <w:lang w:eastAsia="zh-CN"/>
        </w:rPr>
        <w:t>。《市场监督管理行政处罚程序规定》第十八条第一款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市场监督管理行政处罚程序规定》第十四条“具有本办法规定的处理权限的市场监督管理部门，应当自收到投诉之日起七个工作日内作出受理或者不予受理的决定，并告知投诉人。”《市场监督管理投诉举报处理暂行办法》第三十一条规定：“市场监督管理部门应当按照市场监督管理行政处罚等有关规定处理举报。举报人实名举报的，有处理权限的市场监督管理部门还应当自作出是否立案决定之日起五个工作日内告知举报人。</w:t>
      </w:r>
      <w:r>
        <w:rPr>
          <w:rFonts w:hint="eastAsia" w:ascii="仿宋_GB2312" w:eastAsia="仿宋_GB2312"/>
          <w:color w:val="000000"/>
          <w:sz w:val="32"/>
          <w:szCs w:val="32"/>
        </w:rPr>
        <w:t>本案中，申请人于2</w:t>
      </w:r>
      <w:r>
        <w:rPr>
          <w:rFonts w:ascii="仿宋_GB2312" w:eastAsia="仿宋_GB2312"/>
          <w:color w:val="000000"/>
          <w:sz w:val="32"/>
          <w:szCs w:val="32"/>
        </w:rPr>
        <w:t>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日</w:t>
      </w:r>
      <w:r>
        <w:rPr>
          <w:rFonts w:hint="eastAsia" w:ascii="仿宋_GB2312" w:eastAsia="仿宋_GB2312"/>
          <w:color w:val="000000"/>
          <w:sz w:val="32"/>
          <w:szCs w:val="32"/>
          <w:lang w:eastAsia="zh-CN"/>
        </w:rPr>
        <w:t>通过北京</w:t>
      </w:r>
      <w:r>
        <w:rPr>
          <w:rFonts w:hint="eastAsia" w:ascii="仿宋_GB2312" w:eastAsia="仿宋_GB2312"/>
          <w:color w:val="000000"/>
          <w:sz w:val="32"/>
          <w:szCs w:val="32"/>
          <w:lang w:val="en-US" w:eastAsia="zh-CN"/>
        </w:rPr>
        <w:t>12345热线进行投诉</w:t>
      </w:r>
      <w:r>
        <w:rPr>
          <w:rFonts w:hint="eastAsia" w:ascii="仿宋_GB2312" w:eastAsia="仿宋_GB2312"/>
          <w:color w:val="000000"/>
          <w:sz w:val="32"/>
          <w:szCs w:val="32"/>
          <w:lang w:eastAsia="zh-CN"/>
        </w:rPr>
        <w:t>，</w:t>
      </w:r>
      <w:r>
        <w:rPr>
          <w:rFonts w:hint="eastAsia" w:ascii="仿宋_GB2312" w:eastAsia="仿宋_GB2312"/>
          <w:color w:val="000000"/>
          <w:sz w:val="32"/>
          <w:szCs w:val="32"/>
        </w:rPr>
        <w:t>于2</w:t>
      </w:r>
      <w:r>
        <w:rPr>
          <w:rFonts w:ascii="仿宋_GB2312" w:eastAsia="仿宋_GB2312"/>
          <w:color w:val="000000"/>
          <w:sz w:val="32"/>
          <w:szCs w:val="32"/>
        </w:rPr>
        <w:t>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日向本机关提出行政复议申请</w:t>
      </w:r>
      <w:r>
        <w:rPr>
          <w:rFonts w:hint="eastAsia" w:ascii="仿宋_GB2312" w:eastAsia="仿宋_GB2312"/>
          <w:color w:val="000000"/>
          <w:sz w:val="32"/>
          <w:szCs w:val="32"/>
          <w:lang w:eastAsia="zh-CN"/>
        </w:rPr>
        <w:t>，已</w:t>
      </w:r>
      <w:r>
        <w:rPr>
          <w:rFonts w:hint="eastAsia" w:ascii="仿宋_GB2312" w:eastAsia="仿宋_GB2312"/>
          <w:color w:val="000000"/>
          <w:sz w:val="32"/>
          <w:szCs w:val="32"/>
          <w:lang w:val="en-US" w:eastAsia="zh-CN"/>
        </w:rPr>
        <w:t>超过上述法定期限。</w:t>
      </w:r>
      <w:r>
        <w:rPr>
          <w:rFonts w:hint="eastAsia" w:ascii="仿宋_GB2312" w:eastAsia="仿宋_GB2312"/>
          <w:color w:val="000000"/>
          <w:sz w:val="32"/>
          <w:szCs w:val="32"/>
        </w:rPr>
        <w:t>不符合《中华人民共和国行政复议法》第九条之规定，亦不符合《中华人民共和国行政复议法实施条例》第二十八条第（四）项“行政复议申请符合下列规定的，应当予以受理：……（四）在法定申请期限内提出”规定的行政复议受理条件。</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根据《中华人民共和国行政复议法》第十七条第一款的规定，本机关决定不予受理。</w:t>
      </w:r>
    </w:p>
    <w:p>
      <w:pPr>
        <w:spacing w:line="560" w:lineRule="exact"/>
        <w:ind w:firstLine="640" w:firstLineChars="200"/>
        <w:rPr>
          <w:rFonts w:ascii="仿宋_GB2312" w:eastAsia="仿宋_GB2312"/>
          <w:color w:val="000000"/>
          <w:sz w:val="32"/>
          <w:szCs w:val="32"/>
        </w:rPr>
      </w:pPr>
      <w:r>
        <w:rPr>
          <w:rFonts w:hint="eastAsia" w:ascii="仿宋_GB2312" w:hAnsi="宋体" w:eastAsia="仿宋_GB2312"/>
          <w:kern w:val="0"/>
          <w:sz w:val="32"/>
          <w:szCs w:val="32"/>
        </w:rPr>
        <w:t>申请人如果不服本决定，</w:t>
      </w:r>
      <w:r>
        <w:rPr>
          <w:rFonts w:hint="eastAsia" w:ascii="仿宋_GB2312" w:eastAsia="仿宋_GB2312"/>
          <w:color w:val="000000"/>
          <w:sz w:val="32"/>
          <w:szCs w:val="32"/>
        </w:rPr>
        <w:t>可以自接到本决定书之日起15日内依法向</w:t>
      </w:r>
      <w:r>
        <w:rPr>
          <w:rFonts w:hint="eastAsia" w:ascii="仿宋_GB2312" w:hAnsi="宋体" w:eastAsia="仿宋_GB2312"/>
          <w:kern w:val="0"/>
          <w:sz w:val="32"/>
          <w:szCs w:val="32"/>
        </w:rPr>
        <w:t>北京市丰台区人民法院</w:t>
      </w:r>
      <w:r>
        <w:rPr>
          <w:rFonts w:hint="eastAsia" w:ascii="仿宋_GB2312" w:eastAsia="仿宋_GB2312"/>
          <w:color w:val="000000"/>
          <w:sz w:val="32"/>
          <w:szCs w:val="32"/>
        </w:rPr>
        <w:t>提起行政诉讼。</w:t>
      </w:r>
    </w:p>
    <w:p>
      <w:pPr>
        <w:spacing w:line="560" w:lineRule="exact"/>
        <w:rPr>
          <w:rFonts w:ascii="仿宋_GB2312" w:eastAsia="仿宋_GB2312"/>
          <w:color w:val="000000"/>
          <w:sz w:val="32"/>
          <w:szCs w:val="32"/>
        </w:rPr>
      </w:pPr>
    </w:p>
    <w:p>
      <w:pPr>
        <w:spacing w:line="560" w:lineRule="exact"/>
        <w:rPr>
          <w:rFonts w:ascii="仿宋_GB2312" w:eastAsia="仿宋_GB2312"/>
          <w:color w:val="000000"/>
          <w:sz w:val="32"/>
          <w:szCs w:val="32"/>
        </w:rPr>
      </w:pPr>
    </w:p>
    <w:p>
      <w:pPr>
        <w:spacing w:line="560" w:lineRule="exact"/>
        <w:rPr>
          <w:rFonts w:ascii="仿宋_GB2312" w:eastAsia="仿宋_GB2312"/>
          <w:color w:val="000000"/>
          <w:sz w:val="32"/>
          <w:szCs w:val="32"/>
        </w:rPr>
      </w:pPr>
    </w:p>
    <w:p>
      <w:pPr>
        <w:wordWrap w:val="0"/>
        <w:spacing w:line="560" w:lineRule="exact"/>
        <w:jc w:val="right"/>
        <w:rPr>
          <w:rFonts w:ascii="仿宋_GB2312" w:eastAsia="仿宋_GB2312"/>
          <w:sz w:val="32"/>
          <w:szCs w:val="32"/>
        </w:rPr>
      </w:pPr>
      <w:r>
        <w:rPr>
          <w:rFonts w:hint="eastAsia" w:ascii="仿宋_GB2312" w:eastAsia="仿宋_GB2312"/>
          <w:sz w:val="32"/>
          <w:szCs w:val="32"/>
        </w:rPr>
        <w:t>二〇二</w:t>
      </w:r>
      <w:r>
        <w:rPr>
          <w:rFonts w:hint="eastAsia" w:ascii="仿宋_GB2312" w:eastAsia="仿宋_GB2312"/>
          <w:sz w:val="32"/>
          <w:szCs w:val="32"/>
          <w:lang w:eastAsia="zh-CN"/>
        </w:rPr>
        <w:t>三</w:t>
      </w:r>
      <w:r>
        <w:rPr>
          <w:rFonts w:ascii="仿宋_GB2312" w:hAnsi="仿宋_GB2312" w:eastAsia="仿宋_GB2312" w:cs="仿宋_GB2312"/>
          <w:sz w:val="32"/>
        </w:rPr>
        <w:t>年</w:t>
      </w:r>
      <w:r>
        <w:rPr>
          <w:rFonts w:hint="eastAsia" w:ascii="仿宋_GB2312" w:eastAsia="仿宋_GB2312"/>
          <w:sz w:val="32"/>
          <w:szCs w:val="32"/>
          <w:lang w:eastAsia="zh-CN"/>
        </w:rPr>
        <w:t>一</w:t>
      </w:r>
      <w:r>
        <w:rPr>
          <w:rFonts w:hint="eastAsia" w:ascii="仿宋_GB2312" w:eastAsia="仿宋_GB2312"/>
          <w:sz w:val="32"/>
          <w:szCs w:val="32"/>
        </w:rPr>
        <w:t>月</w:t>
      </w:r>
      <w:r>
        <w:rPr>
          <w:rFonts w:hint="eastAsia" w:ascii="仿宋_GB2312" w:eastAsia="仿宋_GB2312"/>
          <w:sz w:val="32"/>
          <w:szCs w:val="32"/>
          <w:lang w:val="en-US" w:eastAsia="zh-CN"/>
        </w:rPr>
        <w:t>四</w:t>
      </w:r>
      <w:r>
        <w:rPr>
          <w:rFonts w:hint="eastAsia" w:ascii="仿宋_GB2312" w:eastAsia="仿宋_GB2312"/>
          <w:sz w:val="32"/>
          <w:szCs w:val="32"/>
        </w:rPr>
        <w:t xml:space="preserve">日    </w:t>
      </w:r>
    </w:p>
    <w:p>
      <w:pPr>
        <w:spacing w:line="56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PAGE   \* MERGEFORMAT</w:instrText>
    </w:r>
    <w:r>
      <w:rPr>
        <w:rFonts w:hint="eastAsia" w:ascii="仿宋_GB2312" w:eastAsia="仿宋_GB2312"/>
        <w:sz w:val="24"/>
        <w:szCs w:val="24"/>
      </w:rPr>
      <w:fldChar w:fldCharType="separate"/>
    </w:r>
    <w:r>
      <w:rPr>
        <w:rFonts w:hint="eastAsia" w:ascii="仿宋_GB2312" w:eastAsia="仿宋_GB2312"/>
        <w:sz w:val="24"/>
        <w:szCs w:val="24"/>
        <w:lang w:val="zh-CN"/>
      </w:rPr>
      <w:t>1</w:t>
    </w:r>
    <w:r>
      <w:rPr>
        <w:rFonts w:hint="eastAsia" w:ascii="仿宋_GB2312" w:eastAsia="仿宋_GB2312"/>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F1F"/>
    <w:rsid w:val="00082DCE"/>
    <w:rsid w:val="00085EB3"/>
    <w:rsid w:val="000B1C3B"/>
    <w:rsid w:val="000E245C"/>
    <w:rsid w:val="00103B0E"/>
    <w:rsid w:val="001100BB"/>
    <w:rsid w:val="001D6D2D"/>
    <w:rsid w:val="002D012B"/>
    <w:rsid w:val="002E316E"/>
    <w:rsid w:val="002F0889"/>
    <w:rsid w:val="002F3394"/>
    <w:rsid w:val="003366F4"/>
    <w:rsid w:val="003B0F1F"/>
    <w:rsid w:val="003B23EB"/>
    <w:rsid w:val="00431429"/>
    <w:rsid w:val="0047165E"/>
    <w:rsid w:val="00503413"/>
    <w:rsid w:val="005908DA"/>
    <w:rsid w:val="00885965"/>
    <w:rsid w:val="009D081A"/>
    <w:rsid w:val="00A252C8"/>
    <w:rsid w:val="00A920DA"/>
    <w:rsid w:val="00A93D6B"/>
    <w:rsid w:val="00AD6D21"/>
    <w:rsid w:val="00C20F94"/>
    <w:rsid w:val="00D25628"/>
    <w:rsid w:val="00D46C81"/>
    <w:rsid w:val="00D6200F"/>
    <w:rsid w:val="00D83C6F"/>
    <w:rsid w:val="00DD2E86"/>
    <w:rsid w:val="00DE01C0"/>
    <w:rsid w:val="00E220A2"/>
    <w:rsid w:val="00E331DB"/>
    <w:rsid w:val="00E55A17"/>
    <w:rsid w:val="00EC3E43"/>
    <w:rsid w:val="00FF08A1"/>
    <w:rsid w:val="0E5703B1"/>
    <w:rsid w:val="0E713BAE"/>
    <w:rsid w:val="10BD4036"/>
    <w:rsid w:val="17BD78C7"/>
    <w:rsid w:val="208B7423"/>
    <w:rsid w:val="2E28179D"/>
    <w:rsid w:val="3C592729"/>
    <w:rsid w:val="3D4E66FD"/>
    <w:rsid w:val="3DDB3E51"/>
    <w:rsid w:val="4F0E7D1E"/>
    <w:rsid w:val="51216445"/>
    <w:rsid w:val="526B6BA0"/>
    <w:rsid w:val="67DE1D5E"/>
    <w:rsid w:val="6DFF2053"/>
    <w:rsid w:val="6ED61E95"/>
    <w:rsid w:val="796517B7"/>
    <w:rsid w:val="7E685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Words>
  <Characters>548</Characters>
  <Lines>4</Lines>
  <Paragraphs>1</Paragraphs>
  <TotalTime>15</TotalTime>
  <ScaleCrop>false</ScaleCrop>
  <LinksUpToDate>false</LinksUpToDate>
  <CharactersWithSpaces>643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2019-11-15T09:22:00Z</dcterms:created>
  <dc:creator>何海妍</dc:creator>
  <cp:lastModifiedBy>HE</cp:lastModifiedBy>
  <cp:lastPrinted>2022-03-23T02:37:00Z</cp:lastPrinted>
  <dcterms:modified xsi:type="dcterms:W3CDTF">2025-05-21T02:26:58Z</dcterms:modified>
  <dc:title>北京市丰台区人民政府</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68B185A3D4F347ADBEB15D2DED64BE40</vt:lpwstr>
  </property>
</Properties>
</file>