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行政复议决定书</w:t>
      </w:r>
    </w:p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丰政复字〔2023〕45号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申请人：颜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被申请人：北京市公安局公安交通管理局丰台交通支队丰北大队，住所地北京市丰台区泥洼路3号。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申请人不服被申请人于2022年12月29日作出的“编号：1106021828182050”《公安交通管理简易程序处罚决定书》（以下简称《决定书》），于2023年1月10日向本机关申请行政复议，本机关依法予以受理，现已审理终结。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申请人请求：撤销被申请人作出的《决定书》。</w:t>
      </w:r>
    </w:p>
    <w:p>
      <w:pPr>
        <w:spacing w:line="54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申请人称：新冠阳性无法出门。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　　被申请人称：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2022年12月20日10时57分在右安门街道西头条处，当事人颜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ascii="仿宋_GB2312" w:eastAsia="仿宋_GB2312"/>
          <w:sz w:val="32"/>
          <w:szCs w:val="32"/>
        </w:rPr>
        <w:t>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汽车，实施机动车违反停车规定的违法行为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的规定，决定给予二百元的罚款。《决定书》认定事实清楚、证据确凿，适用法律正确，程序合法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经审理查明：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2022年12月20日在右安门街道西头条处，申请人驾驶京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轿车，实施机动车违反停车规定的违法行为。2022年12月29日，被申请人作出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上述事实有下列证据予以证明：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1、《行政复议申请书》等相关材料；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2、《行政复议答复书》等相关材料；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3、“编号：1106021828182050”《公安交通管理简易程序处罚决定书》；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4、交通技术监控记录资料等证明材料。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本机关认为：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道路交通安全法》第五十六条规定，机动车应当在规定地点停放。禁止在人行道上停放机动车；但是，依照本法第三十三条规定施划的停车泊位除外。在道路上临时停车的，不得妨碍其他车辆和行人通行。第九十条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者道路停车泊位的，不得妨碍其他车辆或者行人正常通行。第五十条规定，机动车在道路上临时停车时，应当遵守下列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本案中，被申请人认定申请人实施机动车违反停车规定的违法行为，该事实认定清楚，证据确凿充分。被申请人根据上述规定对申请人作出《决定书》，并无不当。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综上，根据《中华人民共和国行政复议法》第二十八条第一款第（一）项的规定，本机关决定如下：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维持被申请人于2022年12月29日作出的“编号：1106021828182050”《公安交通管理简易程序处罚决定书》。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申请人如对本决定不服，可以自收到本决定书之日起15日内依法向北京市丰台区人民法院提起行政诉讼。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二〇二三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年二月六日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2">
    <w:name w:val="页眉 字符"/>
    <w:basedOn w:val="30"/>
    <w:link w:val="18"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Administrator</cp:lastModifiedBy>
  <dcterms:modified xsi:type="dcterms:W3CDTF">2025-05-21T02:41:13Z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2052-11.8.2.12085</vt:lpwstr>
  </property>
  <property fmtid="{D5CDD505-2E9C-101B-9397-08002B2CF9AE}" pid="10" name="ICV">
    <vt:lpwstr>57AECEEB23CC4C349EA20D963180927A</vt:lpwstr>
  </property>
</Properties>
</file>