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6"/>
          <w:szCs w:val="36"/>
        </w:rPr>
      </w:pPr>
      <w:r>
        <w:rPr>
          <w:rFonts w:hint="eastAsia" w:ascii="方正小标宋简体" w:eastAsia="方正小标宋简体"/>
          <w:sz w:val="36"/>
          <w:szCs w:val="36"/>
        </w:rPr>
        <w:t>部门整体绩效评价报告</w:t>
      </w:r>
    </w:p>
    <w:p>
      <w:pPr>
        <w:spacing w:line="560" w:lineRule="exact"/>
        <w:jc w:val="center"/>
        <w:rPr>
          <w:rFonts w:ascii="方正小标宋简体" w:eastAsia="方正小标宋简体"/>
          <w:sz w:val="36"/>
          <w:szCs w:val="36"/>
        </w:rPr>
      </w:pPr>
    </w:p>
    <w:p>
      <w:pPr>
        <w:jc w:val="center"/>
        <w:rPr>
          <w:rFonts w:ascii="仿宋_GB2312"/>
          <w:szCs w:val="21"/>
        </w:rPr>
      </w:pPr>
      <w:r>
        <w:rPr>
          <w:rFonts w:hint="eastAsia" w:ascii="仿宋_GB2312"/>
        </w:rPr>
        <w:t xml:space="preserve"> </w:t>
      </w:r>
    </w:p>
    <w:p>
      <w:pPr>
        <w:spacing w:line="60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一、部门概况</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（一）机构设置及职责工作任务情况</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中共北京市丰台区委玉泉营街道工作委员会（简称玉泉营街道党工委）是区委的派出机关，北京市丰台区人民政府玉泉营街道办事处（简称玉泉营街道办事处）是区政府的派出机关。依据党内法规和法律、法规、规章，及上级党委、政府授权，代表区委、区政府对辖区党的建设、公共服务、城市管理、社会治理等行使综合管理职能，全面负责辖区地区性、社会性、群众性工作的统筹协调。</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玉泉营街道办事处的主要职责是：</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1.组织实施辖区与居（村）民生活密切相关的公共服务工作，落实卫生健康、养老助残、社会救助、住房保障、就业创业、文化教育、体育事业和法律服务等领域的相关法律法规和政策。</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 xml:space="preserve">2.组织实施辖区环境保护、秩序治理、街区更新、物业管理监督、应急管理等城市管理工作，营造辖区良好发展环境。 </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3.组织实施辖区平安建设工作，预防、排查、化解矛盾纠纷，维护社会和谐稳定。</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 xml:space="preserve">4.组织动员辖区单位和各类社会组织参与基层治理工作，统筹辖区资源，实现共建共治共享。 </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5.推进社区（村）发展建设，指导居（村）民委员会工作，支持和促进居（村）民依法自治，完善社区（村）服务功能，提升社区（村）治理水平。</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6.做好国防教育和兵役等工作。</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7.法律、法规、规章及市、区人民政府作出的决定、命令规定的其他职责。</w:t>
      </w:r>
    </w:p>
    <w:p>
      <w:pPr>
        <w:spacing w:line="600" w:lineRule="exact"/>
        <w:ind w:firstLine="640" w:firstLineChars="200"/>
        <w:rPr>
          <w:rFonts w:ascii="楷体_GB2312" w:eastAsia="楷体_GB2312"/>
          <w:sz w:val="32"/>
          <w:szCs w:val="32"/>
        </w:rPr>
      </w:pPr>
      <w:r>
        <w:rPr>
          <w:rFonts w:hint="eastAsia" w:ascii="楷体_GB2312" w:eastAsia="楷体_GB2312"/>
          <w:sz w:val="32"/>
          <w:szCs w:val="32"/>
        </w:rPr>
        <w:t>（二）部门整体绩效目标设立情况（包括绩效目标设立依据、目标与职责任务匹配情况、目标合理性等）。</w:t>
      </w:r>
    </w:p>
    <w:p>
      <w:pPr>
        <w:spacing w:line="600" w:lineRule="exact"/>
        <w:ind w:firstLine="640" w:firstLineChars="200"/>
        <w:rPr>
          <w:rFonts w:ascii="仿宋_GB2312" w:hAnsi="仿宋_GB2312" w:eastAsia="仿宋_GB2312" w:cs="仿宋_GB2312"/>
          <w:sz w:val="32"/>
          <w:szCs w:val="32"/>
        </w:rPr>
      </w:pPr>
      <w:r>
        <w:rPr>
          <w:rFonts w:hint="eastAsia" w:ascii="仿宋_GB2312" w:hAnsi="宋体" w:eastAsia="仿宋_GB2312"/>
          <w:color w:val="000000"/>
          <w:kern w:val="0"/>
          <w:sz w:val="32"/>
          <w:szCs w:val="32"/>
        </w:rPr>
        <w:t>玉泉营街道办事处部门整体绩效目标是结合部门职能、2023年年度重点工作任务等内容进行设置的，具体内容为：</w:t>
      </w:r>
      <w:r>
        <w:rPr>
          <w:rFonts w:hint="eastAsia" w:ascii="仿宋_GB2312" w:hAnsi="仿宋_GB2312" w:eastAsia="仿宋_GB2312" w:cs="仿宋_GB2312"/>
          <w:sz w:val="32"/>
          <w:szCs w:val="32"/>
        </w:rPr>
        <w:t>在丰台区委区政府和街道工委的坚强领导下，始终把党的政治建设摆在首位，充分发挥党建引领力，坚持政治统领、首位首抓，全面履行从严治党。加快推进重点项目建设，不断优化营商环境，完善集体经济管理，全力推进经济运行。持续整治区域环境，</w:t>
      </w:r>
      <w:r>
        <w:rPr>
          <w:rFonts w:ascii="仿宋_GB2312" w:hAnsi="仿宋_GB2312" w:eastAsia="仿宋_GB2312" w:cs="仿宋_GB2312"/>
          <w:sz w:val="32"/>
          <w:szCs w:val="32"/>
        </w:rPr>
        <w:t>推进</w:t>
      </w:r>
      <w:r>
        <w:rPr>
          <w:rFonts w:hint="eastAsia" w:ascii="仿宋_GB2312" w:hAnsi="仿宋_GB2312" w:eastAsia="仿宋_GB2312" w:cs="仿宋_GB2312"/>
          <w:sz w:val="32"/>
          <w:szCs w:val="32"/>
        </w:rPr>
        <w:t>拆违消除安全隐患、扎实做好防汛工作，着力推动辖区城市化和基层治理水平，不断概算城乡品质。</w:t>
      </w:r>
      <w:r>
        <w:rPr>
          <w:rFonts w:hint="eastAsia" w:ascii="仿宋_GB2312" w:hAnsi="宋体" w:eastAsia="仿宋_GB2312"/>
          <w:color w:val="000000"/>
          <w:kern w:val="0"/>
          <w:sz w:val="32"/>
          <w:szCs w:val="32"/>
        </w:rPr>
        <w:t>突出民生保障，持续做好社会保障工作，增进人民满意度、幸福感。持之以恒惠民生，促进社会事业协调发展。</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围绕整体绩效目标情况，玉泉营街道办事处分五个方面对整体绩效情况进行了分项设置，分别为：</w:t>
      </w:r>
    </w:p>
    <w:p>
      <w:pPr>
        <w:spacing w:line="56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w:t>
      </w:r>
      <w:r>
        <w:rPr>
          <w:rFonts w:ascii="仿宋_GB2312" w:hAnsi="宋体" w:eastAsia="仿宋_GB2312"/>
          <w:color w:val="000000"/>
          <w:kern w:val="0"/>
          <w:sz w:val="32"/>
          <w:szCs w:val="32"/>
        </w:rPr>
        <w:t>.</w:t>
      </w:r>
      <w:r>
        <w:rPr>
          <w:rFonts w:hint="eastAsia" w:ascii="仿宋_GB2312" w:hAnsi="仿宋_GB2312" w:eastAsia="仿宋_GB2312" w:cs="仿宋_GB2312"/>
          <w:sz w:val="32"/>
          <w:szCs w:val="32"/>
        </w:rPr>
        <w:t>党建引领提升基层治理创新。根据市区下发的专题学习重点内容相关要求，立足实际制定《2023年玉泉营街道党工委理论学习中心组学习计划》，坚持不懈强化理论武装。紧扣中央、市区等上级党组织关于意识形态工作责任制实施办法和细则精神，严格落实《中国共产党宣传工作条例》有关要求，制定《玉泉营街道党工委意识形态工作责任制实施方案》。全面推进社区党建工作协调委员会工作体系建设，完善“四个双向”机制，完善结对共建机制。</w:t>
      </w:r>
    </w:p>
    <w:p>
      <w:pPr>
        <w:spacing w:line="560" w:lineRule="exact"/>
        <w:ind w:firstLine="640" w:firstLineChars="200"/>
        <w:rPr>
          <w:rFonts w:eastAsia="仿宋_GB2312"/>
          <w:sz w:val="32"/>
          <w:szCs w:val="32"/>
        </w:rPr>
      </w:pPr>
      <w:r>
        <w:rPr>
          <w:rFonts w:hint="eastAsia" w:ascii="仿宋_GB2312" w:hAnsi="宋体" w:eastAsia="仿宋_GB2312"/>
          <w:color w:val="000000"/>
          <w:kern w:val="0"/>
          <w:sz w:val="32"/>
          <w:szCs w:val="32"/>
        </w:rPr>
        <w:t>2.全力以赴促进辖区经济增长，经济实力得到稳步提升。</w:t>
      </w:r>
      <w:r>
        <w:rPr>
          <w:rFonts w:hint="eastAsia" w:ascii="仿宋_GB2312" w:hAnsi="仿宋_GB2312" w:eastAsia="仿宋_GB2312" w:cs="仿宋_GB2312"/>
          <w:sz w:val="32"/>
          <w:szCs w:val="32"/>
        </w:rPr>
        <w:t>成立全区首个街道层级的企业发展联盟——玉泉营街道企业发展联盟，同时召开合作发展大会。促进企业间合作协作，更好为企业发展提供服务。成立工作专班，走访“服务包”企业，加强与26家“服务包”企业及辖区内各类型企业联系，积极为服务企业解决诉求。</w:t>
      </w:r>
      <w:r>
        <w:rPr>
          <w:rFonts w:hint="eastAsia" w:ascii="仿宋_GB2312" w:hAnsi="楷体_GB2312" w:eastAsia="仿宋_GB2312" w:cs="楷体_GB2312"/>
          <w:sz w:val="32"/>
          <w:szCs w:val="32"/>
        </w:rPr>
        <w:t>规划国家花卉展示交易中心等建设，聚焦花卉特色提供全要素保障、全流程服务，深耕历史文脉打造文创品牌，推动地区花卉特色产业“提档升级”。</w:t>
      </w:r>
    </w:p>
    <w:p>
      <w:pPr>
        <w:spacing w:line="600" w:lineRule="exact"/>
        <w:rPr>
          <w:rFonts w:ascii="仿宋_GB2312" w:hAnsi="宋体" w:eastAsia="仿宋_GB2312"/>
          <w:color w:val="000000"/>
          <w:kern w:val="0"/>
          <w:sz w:val="32"/>
          <w:szCs w:val="32"/>
        </w:rPr>
      </w:pPr>
      <w:r>
        <w:rPr>
          <w:rFonts w:hint="eastAsia" w:ascii="仿宋_GB2312" w:hAnsi="楷体_GB2312" w:eastAsia="仿宋_GB2312" w:cs="楷体_GB2312"/>
          <w:sz w:val="32"/>
          <w:szCs w:val="32"/>
        </w:rPr>
        <w:t>结合辖区内老旧厂房改造的产业园区，积极促进文创科技类企业发展。落实“街道管村”，推动实现村账街管。</w:t>
      </w:r>
    </w:p>
    <w:p>
      <w:pPr>
        <w:spacing w:line="600" w:lineRule="exact"/>
        <w:ind w:firstLine="640" w:firstLineChars="200"/>
        <w:rPr>
          <w:rFonts w:ascii="仿宋_GB2312" w:hAnsi="楷体_GB2312" w:eastAsia="仿宋_GB2312" w:cs="楷体_GB2312"/>
          <w:sz w:val="32"/>
          <w:szCs w:val="32"/>
        </w:rPr>
      </w:pPr>
      <w:r>
        <w:rPr>
          <w:rFonts w:hint="eastAsia" w:ascii="仿宋_GB2312" w:hAnsi="宋体" w:eastAsia="仿宋_GB2312"/>
          <w:color w:val="000000"/>
          <w:kern w:val="0"/>
          <w:sz w:val="32"/>
          <w:szCs w:val="32"/>
        </w:rPr>
        <w:t>3.持续并深入开展安全生产和火灾隐患大排查大整治工作。</w:t>
      </w:r>
      <w:r>
        <w:rPr>
          <w:rFonts w:hint="eastAsia" w:ascii="仿宋_GB2312" w:hAnsi="楷体_GB2312" w:eastAsia="仿宋_GB2312" w:cs="楷体_GB2312"/>
          <w:sz w:val="32"/>
          <w:szCs w:val="32"/>
        </w:rPr>
        <w:t>推广使用企安安系统，平房区拆违治乱消隐患百日攻坚等重点工作，同时抓好节假日期间应急值守、隐患排查治理工作，高效做好突发事件应对处置。扎实做好防汛和社会面维稳工作，认真落实“万无一失、精益求精”的指导思想，强化社会面安保防控，积极发动辖</w:t>
      </w:r>
      <w:r>
        <w:rPr>
          <w:rFonts w:hint="eastAsia" w:ascii="仿宋_GB2312" w:eastAsia="仿宋_GB2312" w:cs="仿宋_GB2312"/>
          <w:sz w:val="32"/>
          <w:szCs w:val="32"/>
        </w:rPr>
        <w:t>区生产经营单位参与志愿者工作，确保元旦、春节、两会、五一、六四、端午节、服贸会、十一及一带一路高峰论坛等重大节日活动期间社会面安全稳定。</w:t>
      </w:r>
    </w:p>
    <w:p>
      <w:pPr>
        <w:spacing w:line="600" w:lineRule="exact"/>
        <w:ind w:firstLine="640" w:firstLineChars="200"/>
        <w:rPr>
          <w:rFonts w:ascii="仿宋_GB2312" w:hAnsi="楷体_GB2312" w:eastAsia="仿宋_GB2312" w:cs="楷体_GB2312"/>
          <w:sz w:val="32"/>
          <w:szCs w:val="32"/>
        </w:rPr>
      </w:pPr>
      <w:r>
        <w:rPr>
          <w:rFonts w:hint="eastAsia" w:ascii="仿宋_GB2312" w:hAnsi="宋体" w:eastAsia="仿宋_GB2312"/>
          <w:color w:val="000000"/>
          <w:kern w:val="0"/>
          <w:sz w:val="32"/>
          <w:szCs w:val="32"/>
        </w:rPr>
        <w:t>4.</w:t>
      </w:r>
      <w:r>
        <w:rPr>
          <w:rFonts w:hint="eastAsia" w:ascii="仿宋_GB2312" w:eastAsia="仿宋_GB2312" w:cs="仿宋_GB2312"/>
          <w:sz w:val="32"/>
          <w:szCs w:val="32"/>
        </w:rPr>
        <w:t>充分发挥统筹规划对街道工作的引领作用，不断改善城乡品质。持续推进拆违治乱工作，抓好垃圾分类“关键小事”，引入第三方公司，负责桶站值守、周边环境维护等工作，并充分发挥执法力量在环境整治工作中的关键作用，加大对露天烧烤、乱丢垃圾、施工扬尘、无照经营等违法行为查处力度，有效提升辖区环境秩序，扎实推进人居环境提升工作。开展多项环境提升整治和综合整治工作，稳步推进乡村振兴。</w:t>
      </w:r>
    </w:p>
    <w:p>
      <w:pPr>
        <w:spacing w:line="600" w:lineRule="exact"/>
        <w:ind w:firstLine="640" w:firstLineChars="200"/>
        <w:rPr>
          <w:rFonts w:ascii="仿宋_GB2312" w:hAnsi="楷体_GB2312" w:eastAsia="仿宋_GB2312" w:cs="楷体_GB2312"/>
          <w:sz w:val="32"/>
          <w:szCs w:val="32"/>
        </w:rPr>
      </w:pPr>
      <w:r>
        <w:rPr>
          <w:rFonts w:hint="eastAsia" w:ascii="仿宋_GB2312" w:hAnsi="宋体" w:eastAsia="仿宋_GB2312"/>
          <w:color w:val="000000"/>
          <w:kern w:val="0"/>
          <w:sz w:val="32"/>
          <w:szCs w:val="32"/>
        </w:rPr>
        <w:t>5.</w:t>
      </w:r>
      <w:r>
        <w:rPr>
          <w:rFonts w:hint="eastAsia" w:ascii="仿宋_GB2312" w:hAnsi="楷体" w:eastAsia="仿宋_GB2312" w:cs="仿宋"/>
          <w:bCs/>
          <w:sz w:val="32"/>
          <w:szCs w:val="32"/>
        </w:rPr>
        <w:t>持之以恒推进民生工作，社会事业得到协调发展。全面抓好就业政策的宣传及落实，持续完善公共卫生体系，加强街道、居（村）委会公共卫生委员会建设。</w:t>
      </w:r>
      <w:r>
        <w:rPr>
          <w:rFonts w:hint="eastAsia" w:ascii="仿宋_GB2312" w:hAnsi="仿宋_GB2312" w:eastAsia="仿宋_GB2312" w:cs="仿宋_GB2312"/>
          <w:sz w:val="32"/>
          <w:szCs w:val="32"/>
        </w:rPr>
        <w:t>指</w:t>
      </w:r>
      <w:r>
        <w:rPr>
          <w:rFonts w:hint="eastAsia" w:ascii="仿宋" w:hAnsi="仿宋" w:eastAsia="仿宋" w:cs="仿宋"/>
          <w:sz w:val="32"/>
          <w:szCs w:val="32"/>
        </w:rPr>
        <w:t>导各社区利用公益金举办公益金活动和举办各类文化体育活动，稳步提高教育文体事业。</w:t>
      </w:r>
      <w:r>
        <w:rPr>
          <w:rFonts w:hint="eastAsia" w:ascii="仿宋_GB2312" w:hAnsi="宋体" w:eastAsia="仿宋_GB2312"/>
          <w:color w:val="000000"/>
          <w:kern w:val="0"/>
          <w:sz w:val="32"/>
          <w:szCs w:val="32"/>
        </w:rPr>
        <w:t>完善接诉即办工作机制。根据区委主要领导“4+4+5”工作指示，街</w:t>
      </w:r>
      <w:r>
        <w:rPr>
          <w:rFonts w:hint="eastAsia" w:ascii="仿宋_GB2312" w:eastAsia="仿宋_GB2312" w:cs="仿宋_GB2312"/>
          <w:sz w:val="32"/>
          <w:szCs w:val="32"/>
        </w:rPr>
        <w:t>道迅速行动，制定相关方案，研判具体措施，严格做到“四办、五关注”，形成了玉泉营街道接诉即办“1411”工作法。</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上述绩效目标及绩效指标与玉泉营街道办事处主要职责任务相匹配，目标合理，但绩效指标细化量化程度仍有待进一步完善。</w:t>
      </w:r>
    </w:p>
    <w:p>
      <w:pPr>
        <w:spacing w:line="600" w:lineRule="exact"/>
        <w:ind w:firstLine="640" w:firstLineChars="200"/>
        <w:rPr>
          <w:rFonts w:ascii="黑体" w:hAnsi="黑体" w:eastAsia="黑体"/>
          <w:color w:val="000000"/>
          <w:kern w:val="0"/>
          <w:sz w:val="32"/>
          <w:szCs w:val="32"/>
        </w:rPr>
      </w:pPr>
      <w:r>
        <w:rPr>
          <w:rFonts w:hint="eastAsia" w:ascii="黑体" w:hAnsi="黑体" w:eastAsia="黑体"/>
          <w:color w:val="000000"/>
          <w:kern w:val="0"/>
          <w:sz w:val="32"/>
          <w:szCs w:val="32"/>
        </w:rPr>
        <w:t>二、当年预算执行情况</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2023年全年预算数23386.153865万元，其中，基本支出预算数7988.767516万元，项目支出预算数15397.386349万元，其他支出预算数0.00万元。资金总体支出23006.861986万元，其中，基本支出7653.726522万元，项目支出15353.135464万元，其他支出0万元。预算执行率为98.38</w:t>
      </w:r>
      <w:r>
        <w:rPr>
          <w:rFonts w:ascii="仿宋_GB2312" w:hAnsi="宋体" w:eastAsia="仿宋_GB2312"/>
          <w:color w:val="000000"/>
          <w:kern w:val="0"/>
          <w:sz w:val="32"/>
          <w:szCs w:val="32"/>
        </w:rPr>
        <w:t>%</w:t>
      </w:r>
      <w:r>
        <w:rPr>
          <w:rFonts w:hint="eastAsia" w:ascii="仿宋_GB2312" w:hAnsi="宋体" w:eastAsia="仿宋_GB2312"/>
          <w:color w:val="000000"/>
          <w:kern w:val="0"/>
          <w:sz w:val="32"/>
          <w:szCs w:val="32"/>
        </w:rPr>
        <w:t>。</w:t>
      </w:r>
    </w:p>
    <w:p>
      <w:pPr>
        <w:spacing w:line="600" w:lineRule="exact"/>
        <w:ind w:left="105" w:leftChars="50" w:firstLine="480" w:firstLineChars="150"/>
        <w:rPr>
          <w:rFonts w:ascii="黑体" w:hAnsi="黑体" w:eastAsia="黑体"/>
          <w:color w:val="000000"/>
          <w:kern w:val="0"/>
          <w:sz w:val="32"/>
          <w:szCs w:val="32"/>
        </w:rPr>
      </w:pPr>
      <w:r>
        <w:rPr>
          <w:rFonts w:hint="eastAsia" w:ascii="黑体" w:hAnsi="黑体" w:eastAsia="黑体"/>
          <w:color w:val="000000"/>
          <w:kern w:val="0"/>
          <w:sz w:val="32"/>
          <w:szCs w:val="32"/>
        </w:rPr>
        <w:t>三、整体绩效目标实现情况</w:t>
      </w:r>
    </w:p>
    <w:p>
      <w:pPr>
        <w:spacing w:line="600" w:lineRule="exact"/>
        <w:ind w:left="105" w:leftChars="50" w:firstLine="480" w:firstLineChars="150"/>
        <w:rPr>
          <w:rFonts w:ascii="楷体_GB2312" w:hAnsi="Times New Roman" w:eastAsia="楷体_GB2312" w:cs="Times New Roman"/>
          <w:sz w:val="32"/>
          <w:szCs w:val="32"/>
        </w:rPr>
      </w:pPr>
      <w:r>
        <w:rPr>
          <w:rFonts w:hint="eastAsia" w:ascii="楷体_GB2312" w:eastAsia="楷体_GB2312"/>
          <w:sz w:val="32"/>
          <w:szCs w:val="32"/>
        </w:rPr>
        <w:t>（一）产出完成情况分析</w:t>
      </w:r>
    </w:p>
    <w:p>
      <w:pPr>
        <w:spacing w:line="600" w:lineRule="exact"/>
        <w:ind w:left="105" w:leftChars="50" w:firstLine="480" w:firstLineChars="15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1.产出数量</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2023年，玉泉营街道办事处工作取得新进展新成效，主要产出数量如下：</w:t>
      </w:r>
    </w:p>
    <w:p>
      <w:pPr>
        <w:numPr>
          <w:ilvl w:val="0"/>
          <w:numId w:val="1"/>
        </w:numPr>
        <w:spacing w:line="600" w:lineRule="exact"/>
        <w:ind w:left="105" w:leftChars="50" w:firstLine="480" w:firstLineChars="150"/>
        <w:rPr>
          <w:rFonts w:ascii="仿宋_GB2312" w:eastAsia="仿宋_GB2312"/>
          <w:color w:val="000000"/>
          <w:sz w:val="32"/>
          <w:szCs w:val="32"/>
        </w:rPr>
      </w:pPr>
      <w:r>
        <w:rPr>
          <w:rFonts w:hint="eastAsia" w:ascii="仿宋_GB2312" w:eastAsia="仿宋_GB2312"/>
          <w:color w:val="000000"/>
          <w:sz w:val="32"/>
          <w:szCs w:val="32"/>
        </w:rPr>
        <w:t>全年组织开展党工委理论学习中心组学习12次，邀请北京市委党校、丰台区委党校专家开展专题辅导报告2次，切实将学习成果转化为实现区域高质量发展的思路举措。发挥百姓宣讲团作用，面向基层、面向群众的开展各类宣讲活动11场，进一步引导广大党员干部把握精神实质、领会核心要义。</w:t>
      </w:r>
      <w:r>
        <w:rPr>
          <w:rFonts w:hint="eastAsia" w:ascii="仿宋_GB2312" w:hAnsi="仿宋_GB2312" w:eastAsia="仿宋_GB2312" w:cs="仿宋_GB2312"/>
          <w:sz w:val="32"/>
          <w:szCs w:val="32"/>
        </w:rPr>
        <w:t>党建工作协调委员会共梳理需求清单46项，资源清单43项，项目清单37项，完成项目37项。以聚焦城市精细化管理过程中的重难点问题为抓手，积极发挥“两网融合”的作用，发挥党组织和党员的带头示范作用，落实党员“双报到”工作机制，不断激发社区治理的内动力。</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hAnsi="仿宋_GB2312" w:eastAsia="仿宋_GB2312" w:cs="仿宋_GB2312"/>
          <w:sz w:val="32"/>
          <w:szCs w:val="32"/>
        </w:rPr>
        <w:t>2月18日成立全区首个街道层级的企业发展联盟——玉泉营街道企业发展联盟，同时召开合作发展大会。目前正筹建玉泉营街道子联盟，促进企业间合作协作，更好为企业发展提供服务。</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w:t>
      </w:r>
      <w:r>
        <w:rPr>
          <w:rFonts w:hint="eastAsia" w:ascii="仿宋_GB2312" w:hAnsi="仿宋_GB2312" w:eastAsia="仿宋_GB2312" w:cs="仿宋_GB2312"/>
          <w:sz w:val="32"/>
          <w:szCs w:val="32"/>
        </w:rPr>
        <w:t>以“87号文件”为切入口，成立工作专班，走访“服务包”企业，加强与26家“服务包”企业及辖区内各类型企业联系，今年共计为服务企业解决诉求53个，在3月服务包企业考核周期中，街道排名全区第一。建立重点税源服务企业台账，并做到持续更新，共计走访企业700家次。</w:t>
      </w:r>
    </w:p>
    <w:p>
      <w:pPr>
        <w:pStyle w:val="33"/>
        <w:ind w:left="0" w:leftChars="0" w:firstLine="640" w:firstLineChars="200"/>
        <w:rPr>
          <w:rFonts w:ascii="仿宋_GB2312" w:hAnsi="仿宋_GB2312" w:eastAsia="仿宋_GB2312" w:cs="仿宋_GB2312"/>
          <w:color w:val="auto"/>
          <w:sz w:val="32"/>
          <w:szCs w:val="32"/>
        </w:rPr>
      </w:pPr>
      <w:r>
        <w:rPr>
          <w:rFonts w:hint="eastAsia" w:ascii="仿宋_GB2312" w:eastAsia="仿宋_GB2312"/>
          <w:sz w:val="32"/>
          <w:szCs w:val="32"/>
        </w:rPr>
        <w:t>（4）</w:t>
      </w:r>
      <w:r>
        <w:rPr>
          <w:rFonts w:hint="eastAsia" w:ascii="仿宋_GB2312" w:hAnsi="仿宋_GB2312" w:eastAsia="仿宋_GB2312" w:cs="仿宋_GB2312"/>
          <w:color w:val="auto"/>
          <w:sz w:val="32"/>
          <w:szCs w:val="32"/>
        </w:rPr>
        <w:t xml:space="preserve">制定并下发《玉泉营街道平房区拆违治乱消隐患百日攻坚行动方案》，行动开展以来，已拆除辖区违法建设25处共11445 </w:t>
      </w:r>
      <w:r>
        <w:rPr>
          <w:rFonts w:hint="eastAsia" w:ascii="Segoe UI Symbol" w:hAnsi="Segoe UI Symbol" w:eastAsia="Segoe UI Symbol" w:cs="Segoe UI Symbol"/>
          <w:color w:val="auto"/>
          <w:sz w:val="32"/>
          <w:szCs w:val="32"/>
        </w:rPr>
        <w:t>㎡</w:t>
      </w:r>
      <w:r>
        <w:rPr>
          <w:rFonts w:hint="eastAsia" w:ascii="仿宋_GB2312" w:hAnsi="仿宋_GB2312" w:eastAsia="仿宋_GB2312" w:cs="仿宋_GB2312"/>
          <w:color w:val="auto"/>
          <w:sz w:val="32"/>
          <w:szCs w:val="32"/>
        </w:rPr>
        <w:t>、累计治乱5315</w:t>
      </w:r>
      <w:r>
        <w:rPr>
          <w:rFonts w:hint="eastAsia" w:ascii="Segoe UI Symbol" w:hAnsi="Segoe UI Symbol" w:eastAsia="Segoe UI Symbol" w:cs="Segoe UI Symbol"/>
          <w:color w:val="auto"/>
          <w:sz w:val="32"/>
          <w:szCs w:val="32"/>
        </w:rPr>
        <w:t>㎡</w:t>
      </w:r>
      <w:r>
        <w:rPr>
          <w:rFonts w:hint="eastAsia" w:ascii="仿宋_GB2312" w:hAnsi="仿宋_GB2312" w:eastAsia="仿宋_GB2312" w:cs="仿宋_GB2312"/>
          <w:color w:val="auto"/>
          <w:sz w:val="32"/>
          <w:szCs w:val="32"/>
        </w:rPr>
        <w:t>，疏解人口3200余人。</w:t>
      </w:r>
      <w:r>
        <w:rPr>
          <w:rFonts w:hint="eastAsia" w:ascii="仿宋_GB2312" w:hAnsi="仿宋_GB2312" w:eastAsia="仿宋_GB2312" w:cs="仿宋_GB2312"/>
          <w:sz w:val="32"/>
          <w:szCs w:val="32"/>
        </w:rPr>
        <w:t>线上线下回收违规电动三四轮车共445辆。</w:t>
      </w:r>
    </w:p>
    <w:p>
      <w:pPr>
        <w:spacing w:line="600" w:lineRule="exact"/>
        <w:ind w:firstLine="640"/>
        <w:rPr>
          <w:rFonts w:ascii="仿宋_GB2312" w:eastAsia="仿宋_GB2312"/>
          <w:color w:val="000000"/>
          <w:sz w:val="32"/>
          <w:szCs w:val="32"/>
        </w:rPr>
      </w:pPr>
      <w:r>
        <w:rPr>
          <w:rFonts w:hint="eastAsia" w:ascii="仿宋_GB2312" w:eastAsia="仿宋_GB2312"/>
          <w:color w:val="000000"/>
          <w:sz w:val="32"/>
          <w:szCs w:val="32"/>
        </w:rPr>
        <w:t>（5）</w:t>
      </w:r>
      <w:r>
        <w:rPr>
          <w:rFonts w:hint="eastAsia" w:ascii="仿宋_GB2312" w:eastAsia="仿宋_GB2312" w:cs="仿宋_GB2312"/>
          <w:sz w:val="32"/>
          <w:szCs w:val="32"/>
        </w:rPr>
        <w:t>狠抓群租房整治工作，全面细致摸排， 2023年群租房整治指标任务为整治14处群租房，已全部上账。积极推进综合整治工作，坚持每周四为联合执法日，共开展1</w:t>
      </w:r>
      <w:r>
        <w:rPr>
          <w:rFonts w:ascii="仿宋_GB2312" w:eastAsia="仿宋_GB2312" w:cs="仿宋_GB2312"/>
          <w:sz w:val="32"/>
          <w:szCs w:val="32"/>
        </w:rPr>
        <w:t>0</w:t>
      </w:r>
      <w:r>
        <w:rPr>
          <w:rFonts w:hint="eastAsia" w:ascii="仿宋_GB2312" w:eastAsia="仿宋_GB2312" w:cs="仿宋_GB2312"/>
          <w:sz w:val="32"/>
          <w:szCs w:val="32"/>
        </w:rPr>
        <w:t>波次整治，</w:t>
      </w:r>
      <w:r>
        <w:rPr>
          <w:rFonts w:ascii="仿宋_GB2312" w:eastAsia="仿宋_GB2312" w:cs="仿宋_GB2312"/>
          <w:sz w:val="32"/>
          <w:szCs w:val="32"/>
        </w:rPr>
        <w:t>40</w:t>
      </w:r>
      <w:r>
        <w:rPr>
          <w:rFonts w:hint="eastAsia" w:ascii="仿宋_GB2312" w:eastAsia="仿宋_GB2312" w:cs="仿宋_GB2312"/>
          <w:sz w:val="32"/>
          <w:szCs w:val="32"/>
        </w:rPr>
        <w:t>次联合执法，出动执法人员</w:t>
      </w:r>
      <w:r>
        <w:rPr>
          <w:rFonts w:ascii="仿宋_GB2312" w:eastAsia="仿宋_GB2312" w:cs="仿宋_GB2312"/>
          <w:sz w:val="32"/>
          <w:szCs w:val="32"/>
        </w:rPr>
        <w:t>840</w:t>
      </w:r>
      <w:r>
        <w:rPr>
          <w:rFonts w:hint="eastAsia" w:ascii="仿宋_GB2312" w:eastAsia="仿宋_GB2312" w:cs="仿宋_GB2312"/>
          <w:sz w:val="32"/>
          <w:szCs w:val="32"/>
        </w:rPr>
        <w:t>人次，执法车辆</w:t>
      </w:r>
      <w:r>
        <w:rPr>
          <w:rFonts w:ascii="仿宋_GB2312" w:eastAsia="仿宋_GB2312" w:cs="仿宋_GB2312"/>
          <w:sz w:val="32"/>
          <w:szCs w:val="32"/>
        </w:rPr>
        <w:t>130</w:t>
      </w:r>
      <w:r>
        <w:rPr>
          <w:rFonts w:hint="eastAsia" w:ascii="仿宋_GB2312" w:eastAsia="仿宋_GB2312" w:cs="仿宋_GB2312"/>
          <w:sz w:val="32"/>
          <w:szCs w:val="32"/>
        </w:rPr>
        <w:t>辆次，对重点点位开展多次综合整治，相关点位安全隐患逐步消除，地区安全形势持续向好。认真做好来信来访接待工作，接待受理群众来信来访879件、1074人次，组织矛盾纠纷排查3</w:t>
      </w:r>
      <w:r>
        <w:rPr>
          <w:rFonts w:ascii="仿宋_GB2312" w:eastAsia="仿宋_GB2312" w:cs="仿宋_GB2312"/>
          <w:sz w:val="32"/>
          <w:szCs w:val="32"/>
        </w:rPr>
        <w:t>8</w:t>
      </w:r>
      <w:r>
        <w:rPr>
          <w:rFonts w:hint="eastAsia" w:ascii="仿宋_GB2312" w:eastAsia="仿宋_GB2312" w:cs="仿宋_GB2312"/>
          <w:sz w:val="32"/>
          <w:szCs w:val="32"/>
        </w:rPr>
        <w:t>次，领导干部参与接访下访</w:t>
      </w:r>
      <w:r>
        <w:rPr>
          <w:rFonts w:ascii="仿宋_GB2312" w:eastAsia="仿宋_GB2312" w:cs="仿宋_GB2312"/>
          <w:sz w:val="32"/>
          <w:szCs w:val="32"/>
        </w:rPr>
        <w:t>75</w:t>
      </w:r>
      <w:r>
        <w:rPr>
          <w:rFonts w:hint="eastAsia" w:ascii="仿宋_GB2312" w:eastAsia="仿宋_GB2312" w:cs="仿宋_GB2312"/>
          <w:sz w:val="32"/>
          <w:szCs w:val="32"/>
        </w:rPr>
        <w:t>批次，实现信访事项的受理、办理、督办全过程公开。</w:t>
      </w:r>
    </w:p>
    <w:p>
      <w:pPr>
        <w:spacing w:line="600" w:lineRule="exact"/>
        <w:ind w:firstLine="640"/>
        <w:rPr>
          <w:rFonts w:ascii="仿宋_GB2312" w:eastAsia="仿宋_GB2312"/>
          <w:color w:val="000000"/>
          <w:sz w:val="32"/>
          <w:szCs w:val="32"/>
        </w:rPr>
      </w:pPr>
      <w:r>
        <w:rPr>
          <w:rFonts w:hint="eastAsia" w:ascii="仿宋_GB2312" w:eastAsia="仿宋_GB2312"/>
          <w:color w:val="000000"/>
          <w:sz w:val="32"/>
          <w:szCs w:val="32"/>
        </w:rPr>
        <w:t>（6）</w:t>
      </w:r>
      <w:r>
        <w:rPr>
          <w:rFonts w:hint="eastAsia" w:ascii="仿宋_GB2312" w:hAnsi="TEVMVT+FangSong_GB2312" w:eastAsia="仿宋_GB2312" w:cs="TEVMVT+FangSong_GB2312"/>
          <w:sz w:val="32"/>
          <w:szCs w:val="32"/>
        </w:rPr>
        <w:t>推进纪家庙和草桥集租房建设，纪家庙集租房项目建筑规模为42900平方米，超出的建筑规模经统筹由黄土岗村劳动力解决剩余指标，正在申报保租房计划书；草桥集租房项目已经完成项目建设，项目房屋共计3406套。</w:t>
      </w:r>
    </w:p>
    <w:p>
      <w:pPr>
        <w:pStyle w:val="4"/>
        <w:ind w:firstLine="640" w:firstLineChars="200"/>
        <w:jc w:val="both"/>
        <w:rPr>
          <w:rFonts w:ascii="仿宋_GB2312" w:eastAsia="仿宋_GB2312" w:cs="仿宋_GB2312"/>
          <w:sz w:val="32"/>
          <w:szCs w:val="32"/>
        </w:rPr>
      </w:pPr>
      <w:r>
        <w:rPr>
          <w:rFonts w:hint="eastAsia" w:ascii="仿宋_GB2312" w:eastAsia="仿宋_GB2312"/>
          <w:color w:val="000000"/>
          <w:kern w:val="2"/>
          <w:sz w:val="32"/>
          <w:szCs w:val="32"/>
        </w:rPr>
        <w:t>（7）</w:t>
      </w:r>
      <w:r>
        <w:rPr>
          <w:rFonts w:hint="eastAsia" w:ascii="仿宋_GB2312" w:eastAsia="仿宋_GB2312" w:cs="仿宋_GB2312"/>
          <w:sz w:val="32"/>
          <w:szCs w:val="32"/>
        </w:rPr>
        <w:t>持续推进马草河公共空间改造提升项目，以“乐享花香，活力水岸”为愿景，打造示范性“生活+”公共空间样板，实施面积102879.1平方米，其中水域面积29073.8平方米，陆地面积73805.3平方米，该项目已得到市发改委批复，预计于2024年7月前完成项目实施。积极跟进2024年丰台区“疏整促”项目申报，规划设计马草河（京开高速-花乡姐妹林）区域综合治理提升方案，规模4.16万平米。</w:t>
      </w:r>
    </w:p>
    <w:p>
      <w:pPr>
        <w:pStyle w:val="4"/>
        <w:ind w:firstLine="640" w:firstLineChars="200"/>
        <w:jc w:val="both"/>
        <w:rPr>
          <w:rFonts w:ascii="仿宋_GB2312" w:hAnsi="楷体" w:eastAsia="仿宋_GB2312" w:cs="仿宋"/>
          <w:bCs/>
          <w:sz w:val="32"/>
          <w:szCs w:val="32"/>
        </w:rPr>
      </w:pPr>
      <w:r>
        <w:rPr>
          <w:rFonts w:hint="eastAsia" w:ascii="仿宋_GB2312" w:eastAsia="仿宋_GB2312" w:cs="仿宋_GB2312"/>
          <w:sz w:val="32"/>
          <w:szCs w:val="32"/>
        </w:rPr>
        <w:t>（8）</w:t>
      </w:r>
      <w:r>
        <w:rPr>
          <w:rFonts w:hint="eastAsia" w:ascii="仿宋_GB2312" w:hAnsi="楷体" w:eastAsia="仿宋_GB2312" w:cs="仿宋"/>
          <w:bCs/>
          <w:sz w:val="32"/>
          <w:szCs w:val="32"/>
        </w:rPr>
        <w:t>累计为辖区城乡居民申请、享受灵活就业社会保险补贴129人，预计全部享受期内补贴金额582.59万元。持续做好辖区3939名社会化管理退休人员的日常管理服务工作，为社会化退休人员申请自采暖补贴50人，补贴金额4.5万元。扎实推进街道及社区村政务服务规范化建设。</w:t>
      </w:r>
    </w:p>
    <w:p>
      <w:pPr>
        <w:pStyle w:val="4"/>
        <w:ind w:firstLine="640" w:firstLineChars="200"/>
        <w:jc w:val="both"/>
        <w:rPr>
          <w:rFonts w:ascii="仿宋_GB2312" w:hAnsi="仿宋_GB2312" w:eastAsia="仿宋_GB2312" w:cs="仿宋_GB2312"/>
          <w:bCs/>
          <w:sz w:val="32"/>
          <w:szCs w:val="32"/>
        </w:rPr>
      </w:pPr>
      <w:r>
        <w:rPr>
          <w:rFonts w:hint="eastAsia" w:ascii="仿宋_GB2312" w:hAnsi="楷体" w:eastAsia="仿宋_GB2312" w:cs="仿宋"/>
          <w:bCs/>
          <w:sz w:val="32"/>
          <w:szCs w:val="32"/>
        </w:rPr>
        <w:t>（9）提升临时救助标准，按照“一户一策，精准救助”的原则，为11个困难家庭办理临时救助，发放临时救助金共计30488.02元。</w:t>
      </w:r>
      <w:r>
        <w:rPr>
          <w:rFonts w:hint="eastAsia" w:ascii="仿宋_GB2312" w:hAnsi="仿宋_GB2312" w:eastAsia="仿宋_GB2312" w:cs="仿宋_GB2312"/>
          <w:sz w:val="32"/>
          <w:szCs w:val="32"/>
        </w:rPr>
        <w:t>指导各社区利用公益金举办公益金活动87场次。圆满完成本年度99名非京籍儿童入学资格审核工作。严格监管各类培训行为，保证辖区无证学科类培训机构动态清零。举办各类文化体育活动39余场。认真开展全国第五次经济普查，已采集单位6057家，已清查个体户944家。</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2.产出质量</w:t>
      </w:r>
    </w:p>
    <w:p>
      <w:pPr>
        <w:ind w:firstLine="640" w:firstLineChars="200"/>
        <w:jc w:val="left"/>
        <w:rPr>
          <w:rFonts w:ascii="仿宋_GB2312" w:eastAsia="仿宋_GB2312"/>
          <w:color w:val="000000"/>
          <w:sz w:val="32"/>
          <w:szCs w:val="32"/>
        </w:rPr>
      </w:pPr>
      <w:r>
        <w:rPr>
          <w:rFonts w:hint="eastAsia" w:ascii="仿宋_GB2312" w:eastAsia="仿宋_GB2312"/>
          <w:color w:val="000000"/>
          <w:sz w:val="32"/>
          <w:szCs w:val="32"/>
        </w:rPr>
        <w:t>（1）2023年，玉泉营街道办事处聚焦楼宇产业园，为发展注入动力。</w:t>
      </w:r>
      <w:r>
        <w:rPr>
          <w:rFonts w:hint="eastAsia" w:ascii="仿宋_GB2312" w:hAnsi="楷体_GB2312" w:eastAsia="仿宋_GB2312" w:cs="楷体_GB2312"/>
          <w:sz w:val="32"/>
          <w:szCs w:val="32"/>
        </w:rPr>
        <w:t>街道目前有商务楼宇11家、产业园5家，共计16家。入驻企业共计970家，平均入驻率为73%。</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w:t>
      </w:r>
      <w:r>
        <w:rPr>
          <w:rFonts w:hint="eastAsia" w:ascii="仿宋_GB2312" w:eastAsia="仿宋_GB2312" w:cs="仿宋_GB2312"/>
          <w:sz w:val="32"/>
          <w:szCs w:val="32"/>
        </w:rPr>
        <w:t>推广安装使用企安安系统，</w:t>
      </w:r>
      <w:r>
        <w:rPr>
          <w:rFonts w:hint="eastAsia" w:ascii="仿宋_GB2312" w:hAnsi="仿宋_GB2312" w:eastAsia="仿宋_GB2312" w:cs="仿宋_GB2312"/>
          <w:sz w:val="32"/>
          <w:szCs w:val="32"/>
        </w:rPr>
        <w:t>累计部门开展检查次数5578，部门完成检查数4224，部门完成检查率99.65%；企业自查隐患数4045，企业自查隐患整改数4045，企业自查隐患整改率100%；部门检查隐患数547，部门检查隐患整改数528，部门检查隐患整改率96.53%。开展有限空间企业安全宣传教育和集中检查，共检查企业23家次，出动人员18人次，发现隐患数5个，消除隐患数5个。</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w:t>
      </w:r>
      <w:r>
        <w:rPr>
          <w:rFonts w:hint="eastAsia" w:ascii="仿宋_GB2312" w:eastAsia="仿宋_GB2312" w:cs="仿宋_GB2312"/>
          <w:sz w:val="32"/>
          <w:szCs w:val="32"/>
        </w:rPr>
        <w:t>持续推进拆违治乱工作，完成全年拆除量任务，拆除面积为9.08万平方米，完成率为103.3％，全区排名第21名；治乱工作共完成4.29万平方米，完成率为179％，全区排名第9名。抓好垃圾分类“关键小事”，本年度引入第三方公司，负责桶站值守、周边环境维护等工作，本年度垃圾分类考核成绩较2022年度有较大提高，最好成绩五月份考核全区第2。</w:t>
      </w:r>
    </w:p>
    <w:p>
      <w:pPr>
        <w:spacing w:line="560" w:lineRule="exact"/>
        <w:ind w:firstLine="640" w:firstLineChars="200"/>
        <w:rPr>
          <w:rFonts w:ascii="仿宋_GB2312" w:hAnsi="楷体" w:eastAsia="仿宋_GB2312" w:cs="仿宋"/>
          <w:bCs/>
          <w:sz w:val="32"/>
          <w:szCs w:val="32"/>
        </w:rPr>
      </w:pPr>
      <w:r>
        <w:rPr>
          <w:rFonts w:hint="eastAsia" w:ascii="仿宋_GB2312" w:eastAsia="仿宋_GB2312"/>
          <w:color w:val="000000"/>
          <w:sz w:val="32"/>
          <w:szCs w:val="32"/>
        </w:rPr>
        <w:t>（4）</w:t>
      </w:r>
      <w:r>
        <w:rPr>
          <w:rFonts w:hint="eastAsia" w:ascii="仿宋_GB2312" w:hAnsi="楷体" w:eastAsia="仿宋_GB2312" w:cs="仿宋"/>
          <w:bCs/>
          <w:sz w:val="32"/>
          <w:szCs w:val="32"/>
        </w:rPr>
        <w:t>辖区城镇登记失业率1.9</w:t>
      </w:r>
      <w:r>
        <w:rPr>
          <w:rFonts w:ascii="仿宋_GB2312" w:hAnsi="楷体" w:eastAsia="仿宋_GB2312" w:cs="仿宋"/>
          <w:bCs/>
          <w:sz w:val="32"/>
          <w:szCs w:val="32"/>
        </w:rPr>
        <w:t>3</w:t>
      </w:r>
      <w:r>
        <w:rPr>
          <w:rFonts w:hint="eastAsia" w:ascii="仿宋_GB2312" w:hAnsi="楷体" w:eastAsia="仿宋_GB2312" w:cs="仿宋"/>
          <w:bCs/>
          <w:sz w:val="32"/>
          <w:szCs w:val="32"/>
        </w:rPr>
        <w:t>%，较好控制在年度指标2.1%以内；城镇登记失业人员就业率6</w:t>
      </w:r>
      <w:r>
        <w:rPr>
          <w:rFonts w:ascii="仿宋_GB2312" w:hAnsi="楷体" w:eastAsia="仿宋_GB2312" w:cs="仿宋"/>
          <w:bCs/>
          <w:sz w:val="32"/>
          <w:szCs w:val="32"/>
        </w:rPr>
        <w:t>8</w:t>
      </w:r>
      <w:r>
        <w:rPr>
          <w:rFonts w:hint="eastAsia" w:ascii="仿宋_GB2312" w:hAnsi="楷体" w:eastAsia="仿宋_GB2312" w:cs="仿宋"/>
          <w:bCs/>
          <w:sz w:val="32"/>
          <w:szCs w:val="32"/>
        </w:rPr>
        <w:t>.</w:t>
      </w:r>
      <w:r>
        <w:rPr>
          <w:rFonts w:ascii="仿宋_GB2312" w:hAnsi="楷体" w:eastAsia="仿宋_GB2312" w:cs="仿宋"/>
          <w:bCs/>
          <w:sz w:val="32"/>
          <w:szCs w:val="32"/>
        </w:rPr>
        <w:t>43</w:t>
      </w:r>
      <w:r>
        <w:rPr>
          <w:rFonts w:hint="eastAsia" w:ascii="仿宋_GB2312" w:hAnsi="楷体" w:eastAsia="仿宋_GB2312" w:cs="仿宋"/>
          <w:bCs/>
          <w:sz w:val="32"/>
          <w:szCs w:val="32"/>
        </w:rPr>
        <w:t>%，完成年度任务指标68%的</w:t>
      </w:r>
      <w:r>
        <w:rPr>
          <w:rFonts w:ascii="仿宋_GB2312" w:hAnsi="楷体" w:eastAsia="仿宋_GB2312" w:cs="仿宋"/>
          <w:bCs/>
          <w:sz w:val="32"/>
          <w:szCs w:val="32"/>
        </w:rPr>
        <w:t>100</w:t>
      </w:r>
      <w:r>
        <w:rPr>
          <w:rFonts w:hint="eastAsia" w:ascii="仿宋_GB2312" w:hAnsi="楷体" w:eastAsia="仿宋_GB2312" w:cs="仿宋"/>
          <w:bCs/>
          <w:sz w:val="32"/>
          <w:szCs w:val="32"/>
        </w:rPr>
        <w:t>.</w:t>
      </w:r>
      <w:r>
        <w:rPr>
          <w:rFonts w:ascii="仿宋_GB2312" w:hAnsi="楷体" w:eastAsia="仿宋_GB2312" w:cs="仿宋"/>
          <w:bCs/>
          <w:sz w:val="32"/>
          <w:szCs w:val="32"/>
        </w:rPr>
        <w:t>63</w:t>
      </w:r>
      <w:r>
        <w:rPr>
          <w:rFonts w:hint="eastAsia" w:ascii="仿宋_GB2312" w:hAnsi="楷体" w:eastAsia="仿宋_GB2312" w:cs="仿宋"/>
          <w:bCs/>
          <w:sz w:val="32"/>
          <w:szCs w:val="32"/>
        </w:rPr>
        <w:t>%；农村劳动力就业参保</w:t>
      </w:r>
      <w:r>
        <w:rPr>
          <w:rFonts w:ascii="仿宋_GB2312" w:hAnsi="楷体" w:eastAsia="仿宋_GB2312" w:cs="仿宋"/>
          <w:bCs/>
          <w:sz w:val="32"/>
          <w:szCs w:val="32"/>
        </w:rPr>
        <w:t>116</w:t>
      </w:r>
      <w:r>
        <w:rPr>
          <w:rFonts w:hint="eastAsia" w:ascii="仿宋_GB2312" w:hAnsi="楷体" w:eastAsia="仿宋_GB2312" w:cs="仿宋"/>
          <w:bCs/>
          <w:sz w:val="32"/>
          <w:szCs w:val="32"/>
        </w:rPr>
        <w:t>人，完成年度100人指标任务的</w:t>
      </w:r>
      <w:r>
        <w:rPr>
          <w:rFonts w:ascii="仿宋_GB2312" w:hAnsi="楷体" w:eastAsia="仿宋_GB2312" w:cs="仿宋"/>
          <w:bCs/>
          <w:sz w:val="32"/>
          <w:szCs w:val="32"/>
        </w:rPr>
        <w:t>116</w:t>
      </w:r>
      <w:r>
        <w:rPr>
          <w:rFonts w:hint="eastAsia" w:ascii="仿宋_GB2312" w:hAnsi="楷体" w:eastAsia="仿宋_GB2312" w:cs="仿宋"/>
          <w:bCs/>
          <w:sz w:val="32"/>
          <w:szCs w:val="32"/>
        </w:rPr>
        <w:t>%，以上3项指标均位列全区前3名。</w:t>
      </w:r>
    </w:p>
    <w:p>
      <w:pPr>
        <w:spacing w:line="600" w:lineRule="exact"/>
        <w:ind w:left="105" w:leftChars="50" w:firstLine="480" w:firstLineChars="150"/>
        <w:rPr>
          <w:rFonts w:ascii="仿宋_GB2312" w:eastAsia="仿宋_GB2312"/>
          <w:color w:val="000000"/>
          <w:sz w:val="32"/>
          <w:szCs w:val="32"/>
        </w:rPr>
      </w:pPr>
      <w:r>
        <w:rPr>
          <w:rFonts w:hint="eastAsia" w:ascii="仿宋_GB2312" w:eastAsia="仿宋_GB2312"/>
          <w:color w:val="000000"/>
          <w:sz w:val="32"/>
          <w:szCs w:val="32"/>
        </w:rPr>
        <w:t>3.产出进度</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2023年玉泉营街道在区委区政府的正确领导下，紧紧围绕习近平新时代中国特色社会主义思想，深入贯彻党的二十大、二十届历次全会精神和习近平总书记对北京市系列讲话精神，主动融入丰台区“倍增追赶、合作发展”新格局，积极开展各项工作。在经济发展、安全生产、接诉即办、增强民生福祉等方面取得了显著的成绩。完成各项目标任务，如拆除违法建设、平原造林及美丽乡村绿化养护、各类补助发放等。</w:t>
      </w:r>
    </w:p>
    <w:p>
      <w:pPr>
        <w:spacing w:line="600" w:lineRule="exact"/>
        <w:ind w:left="105" w:leftChars="50" w:firstLine="480" w:firstLineChars="150"/>
        <w:rPr>
          <w:rFonts w:ascii="仿宋_GB2312" w:eastAsia="仿宋_GB2312"/>
          <w:color w:val="000000"/>
          <w:sz w:val="32"/>
          <w:szCs w:val="32"/>
        </w:rPr>
      </w:pPr>
      <w:r>
        <w:rPr>
          <w:rFonts w:hint="eastAsia" w:ascii="仿宋_GB2312" w:eastAsia="仿宋_GB2312"/>
          <w:color w:val="000000"/>
          <w:sz w:val="32"/>
          <w:szCs w:val="32"/>
        </w:rPr>
        <w:t xml:space="preserve">4.产出成本 </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2023年全年预算数23386.153865万元，其中，基本支出预算数7988.767516万元，项目支出预算数15397.386349万元。资金总体支出23006.861986万元，其中，基本支出7653.726522万元，项目支出15353.135464万元。预算执行率为98.38</w:t>
      </w:r>
      <w:r>
        <w:rPr>
          <w:rFonts w:ascii="仿宋_GB2312" w:hAnsi="宋体" w:eastAsia="仿宋_GB2312"/>
          <w:color w:val="000000"/>
          <w:kern w:val="0"/>
          <w:sz w:val="32"/>
          <w:szCs w:val="32"/>
        </w:rPr>
        <w:t>%</w:t>
      </w:r>
      <w:r>
        <w:rPr>
          <w:rFonts w:hint="eastAsia" w:ascii="仿宋_GB2312" w:hAnsi="宋体" w:eastAsia="仿宋_GB2312"/>
          <w:color w:val="000000"/>
          <w:kern w:val="0"/>
          <w:sz w:val="32"/>
          <w:szCs w:val="32"/>
        </w:rPr>
        <w:t>。</w:t>
      </w:r>
      <w:r>
        <w:rPr>
          <w:rFonts w:hint="eastAsia" w:ascii="仿宋_GB2312" w:eastAsia="仿宋_GB2312"/>
          <w:color w:val="000000"/>
          <w:sz w:val="32"/>
          <w:szCs w:val="32"/>
        </w:rPr>
        <w:t>结转结余总额为379.291879万元。玉泉营街道办事处通过集体决策、政府采购等成本控制手段，产出成本控制合理。</w:t>
      </w:r>
    </w:p>
    <w:p>
      <w:pPr>
        <w:spacing w:line="600" w:lineRule="exact"/>
        <w:ind w:left="105" w:leftChars="50" w:firstLine="480" w:firstLineChars="150"/>
        <w:rPr>
          <w:rFonts w:ascii="楷体_GB2312" w:hAnsi="Times New Roman" w:eastAsia="楷体_GB2312" w:cs="Times New Roman"/>
          <w:sz w:val="32"/>
          <w:szCs w:val="32"/>
        </w:rPr>
      </w:pPr>
      <w:r>
        <w:rPr>
          <w:rFonts w:hint="eastAsia" w:ascii="楷体_GB2312" w:eastAsia="楷体_GB2312"/>
          <w:sz w:val="32"/>
          <w:szCs w:val="32"/>
        </w:rPr>
        <w:t>（二）效果实现情况分析</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1.经济效益</w:t>
      </w:r>
    </w:p>
    <w:p>
      <w:pPr>
        <w:spacing w:line="600" w:lineRule="exact"/>
        <w:ind w:firstLine="640" w:firstLineChars="200"/>
        <w:rPr>
          <w:rFonts w:ascii="仿宋_GB2312" w:eastAsia="仿宋_GB2312" w:cs="仿宋_GB2312"/>
          <w:sz w:val="32"/>
          <w:szCs w:val="32"/>
        </w:rPr>
      </w:pPr>
      <w:r>
        <w:rPr>
          <w:rFonts w:hint="eastAsia" w:ascii="仿宋_GB2312" w:eastAsia="仿宋_GB2312" w:cs="仿宋_GB2312"/>
          <w:sz w:val="32"/>
          <w:szCs w:val="32"/>
        </w:rPr>
        <w:t>实现留区税收5.56亿元，指标任务全面完成，已完成全年任务的146%。积极走访，送策上门。以“87号文件”为切入口，成立工作专班，走访“服务包”企业，加强与26家“服务包”企业及辖区内各类型企业联系，今年共计为服务企业解决诉求53个，在3月服务包企业考核周期中，街道排名全区第一。建立重点税源服务企业台账，并做到持续更新，共计走访企业700家次。</w:t>
      </w:r>
    </w:p>
    <w:p>
      <w:pPr>
        <w:spacing w:line="600" w:lineRule="exact"/>
        <w:ind w:firstLine="640" w:firstLineChars="200"/>
        <w:rPr>
          <w:rFonts w:ascii="仿宋_GB2312" w:eastAsia="仿宋_GB2312"/>
          <w:color w:val="000000"/>
          <w:sz w:val="32"/>
          <w:szCs w:val="32"/>
        </w:rPr>
      </w:pPr>
      <w:r>
        <w:rPr>
          <w:rFonts w:hint="eastAsia" w:ascii="仿宋_GB2312" w:eastAsia="仿宋_GB2312" w:cs="仿宋_GB2312"/>
          <w:sz w:val="32"/>
          <w:szCs w:val="32"/>
        </w:rPr>
        <w:t>聚焦楼宇产业园，为发展注入动力。街道目前有商务楼宇11家</w:t>
      </w:r>
      <w:r>
        <w:rPr>
          <w:rFonts w:hint="eastAsia" w:ascii="仿宋_GB2312" w:eastAsia="仿宋_GB2312"/>
          <w:color w:val="000000"/>
          <w:sz w:val="32"/>
          <w:szCs w:val="32"/>
        </w:rPr>
        <w:t>、产业园5家，共计16家。入驻企业共计970家，平均入驻率为73%。</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2.社会效益</w:t>
      </w:r>
    </w:p>
    <w:p>
      <w:pPr>
        <w:adjustRightInd w:val="0"/>
        <w:snapToGrid w:val="0"/>
        <w:spacing w:line="560" w:lineRule="exact"/>
        <w:ind w:firstLine="640" w:firstLineChars="200"/>
        <w:rPr>
          <w:rFonts w:ascii="仿宋_GB2312" w:hAnsi="楷体_GB2312" w:eastAsia="仿宋_GB2312" w:cs="楷体_GB2312"/>
          <w:sz w:val="32"/>
          <w:szCs w:val="32"/>
        </w:rPr>
      </w:pPr>
      <w:r>
        <w:rPr>
          <w:rFonts w:hint="eastAsia" w:ascii="仿宋_GB2312" w:eastAsia="仿宋_GB2312"/>
          <w:color w:val="000000"/>
          <w:sz w:val="32"/>
          <w:szCs w:val="32"/>
        </w:rPr>
        <w:t>（1）围绕活力中心建设，打造花卉产业地标。推进花乡奥莱、草桥-花卉大观园活力中心建设，</w:t>
      </w:r>
      <w:r>
        <w:rPr>
          <w:rFonts w:hint="eastAsia" w:ascii="仿宋_GB2312" w:hAnsi="楷体_GB2312" w:eastAsia="仿宋_GB2312" w:cs="楷体_GB2312"/>
          <w:sz w:val="32"/>
          <w:szCs w:val="32"/>
        </w:rPr>
        <w:t>规划国家花卉展示交易中心，聚焦花卉特色提供全要素保障、全流程服务，深耕历史文脉打造文创品牌，推动地区花卉特色产业“提档升级”。积极规划建设黄土岗“花香源”花卉中心，以“产”带“销”，打破原有低端批发、单纯销售的业态模式，使黄土岗“花香源”花卉中心成为在花乡片区、京南区域、北京城市范围内的花卉重要供应中心。</w:t>
      </w:r>
    </w:p>
    <w:p>
      <w:pPr>
        <w:adjustRightInd w:val="0"/>
        <w:snapToGrid w:val="0"/>
        <w:spacing w:line="560" w:lineRule="exact"/>
        <w:ind w:firstLine="640" w:firstLineChars="200"/>
        <w:rPr>
          <w:rFonts w:ascii="仿宋_GB2312" w:hAnsi="楷体_GB2312" w:eastAsia="仿宋_GB2312" w:cs="楷体_GB2312"/>
          <w:sz w:val="32"/>
          <w:szCs w:val="32"/>
        </w:rPr>
      </w:pPr>
      <w:r>
        <w:rPr>
          <w:rFonts w:hint="eastAsia" w:ascii="仿宋_GB2312" w:hAnsi="楷体_GB2312" w:eastAsia="仿宋_GB2312" w:cs="楷体_GB2312"/>
          <w:sz w:val="32"/>
          <w:szCs w:val="32"/>
        </w:rPr>
        <w:t>（2）深入开展安全生产和火灾隐患大排查大整治工作，推广使用企安安系统、平房区拆违治乱消隐患百日攻坚等重点工作，同时抓好节假日期间应急值守、隐患排查治理工作，高效做好突发事件应对处置，坚定不移的消除安全隐患。</w:t>
      </w:r>
    </w:p>
    <w:p>
      <w:pPr>
        <w:adjustRightInd w:val="0"/>
        <w:snapToGrid w:val="0"/>
        <w:spacing w:line="560" w:lineRule="exact"/>
        <w:ind w:firstLine="640" w:firstLineChars="200"/>
        <w:rPr>
          <w:rFonts w:ascii="仿宋_GB2312" w:hAnsi="楷体_GB2312" w:eastAsia="仿宋_GB2312" w:cs="楷体_GB2312"/>
          <w:sz w:val="32"/>
          <w:szCs w:val="32"/>
        </w:rPr>
      </w:pPr>
      <w:r>
        <w:rPr>
          <w:rFonts w:hint="eastAsia" w:ascii="仿宋_GB2312" w:hAnsi="楷体_GB2312" w:eastAsia="仿宋_GB2312" w:cs="楷体_GB2312"/>
          <w:sz w:val="32"/>
          <w:szCs w:val="32"/>
        </w:rPr>
        <w:t>（3）</w:t>
      </w:r>
      <w:r>
        <w:rPr>
          <w:rFonts w:hint="eastAsia" w:ascii="仿宋_GB2312" w:eastAsia="仿宋_GB2312" w:cs="仿宋_GB2312"/>
          <w:sz w:val="32"/>
          <w:szCs w:val="32"/>
        </w:rPr>
        <w:t>认真落实“万无一失、精益求精”的指导思想，强化社会面安保防控，积极发动辖区生产经营单位参与志愿者工作，确保元旦、春节、两会、五一、六四、端午节、服贸会、十一及一带一路高峰论坛等重大节日活动期间社会面安全稳定。全员参与做好社会面维稳工作。</w:t>
      </w:r>
    </w:p>
    <w:p>
      <w:pPr>
        <w:spacing w:line="600" w:lineRule="exact"/>
        <w:ind w:firstLine="640" w:firstLineChars="200"/>
        <w:rPr>
          <w:rFonts w:ascii="仿宋_GB2312" w:hAnsi="宋体" w:eastAsia="仿宋_GB2312"/>
          <w:kern w:val="0"/>
          <w:sz w:val="32"/>
          <w:szCs w:val="32"/>
        </w:rPr>
      </w:pPr>
      <w:r>
        <w:rPr>
          <w:rFonts w:hint="eastAsia" w:ascii="仿宋_GB2312" w:hAnsi="楷体_GB2312" w:eastAsia="仿宋_GB2312" w:cs="楷体_GB2312"/>
          <w:sz w:val="32"/>
          <w:szCs w:val="32"/>
        </w:rPr>
        <w:t>（4）</w:t>
      </w:r>
      <w:r>
        <w:rPr>
          <w:rFonts w:hint="eastAsia" w:ascii="仿宋_GB2312" w:hAnsi="宋体" w:eastAsia="仿宋_GB2312"/>
          <w:kern w:val="0"/>
          <w:sz w:val="32"/>
          <w:szCs w:val="32"/>
        </w:rPr>
        <w:t>保障单位运转有序，人员经费发放到位，专款专用，严格预算管理;促进地区各项社会事业的发展，持续增进民生福祉。</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3.环境效益</w:t>
      </w:r>
    </w:p>
    <w:p>
      <w:pPr>
        <w:spacing w:line="560" w:lineRule="exact"/>
        <w:ind w:firstLine="640" w:firstLineChars="200"/>
        <w:rPr>
          <w:rFonts w:ascii="仿宋_GB2312" w:eastAsia="仿宋_GB2312"/>
          <w:color w:val="000000"/>
          <w:sz w:val="32"/>
          <w:szCs w:val="32"/>
        </w:rPr>
      </w:pPr>
      <w:r>
        <w:rPr>
          <w:rFonts w:hint="eastAsia" w:ascii="仿宋_GB2312" w:eastAsia="仿宋_GB2312" w:cs="仿宋_GB2312"/>
          <w:sz w:val="32"/>
          <w:szCs w:val="32"/>
        </w:rPr>
        <w:t>启用专项资金，对辖区161条背街小巷进行每日清扫并组织“回头看”专项行动，针对问题突出、人员密集、投诉较多的点位，组织多部门进行专项检查，确保问题不反弹。充分发挥执法力量在环境整治工作中的关键作用，加大对露天烧烤、乱丢垃圾、施工扬尘、无照经营等违法行为查处力度，有效提升辖区环境秩序，2023年度考评名列前茅。</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调各方面工作力量，联合各社区、村、花乡实业总公司及社会力量，以“街巷长”、“林长”、“河长”、“双段长”工作为抓手，合作发展，形成人居环境工作合力，5月份农村人居环境考核成绩全区第5名。同时针对创卫突出问题开展专项治理行动，结合季节特点进行病媒生物防制，改善城乡环境面貌，营造共建共治共享、全民健康的社会风气。</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4.可持续性影响</w:t>
      </w:r>
    </w:p>
    <w:p>
      <w:pPr>
        <w:adjustRightInd w:val="0"/>
        <w:snapToGrid w:val="0"/>
        <w:spacing w:line="560" w:lineRule="exact"/>
        <w:ind w:firstLine="640" w:firstLineChars="200"/>
        <w:rPr>
          <w:rFonts w:ascii="仿宋_GB2312" w:hAnsi="楷体_GB2312" w:eastAsia="仿宋_GB2312" w:cs="楷体_GB2312"/>
          <w:sz w:val="32"/>
          <w:szCs w:val="32"/>
        </w:rPr>
      </w:pPr>
      <w:r>
        <w:rPr>
          <w:rFonts w:hint="eastAsia" w:ascii="仿宋_GB2312" w:hAnsi="楷体_GB2312" w:eastAsia="仿宋_GB2312" w:cs="楷体_GB2312"/>
          <w:sz w:val="32"/>
          <w:szCs w:val="32"/>
        </w:rPr>
        <w:t>持续完善公共卫生体系，加强街道、居（村）委会公共卫生委员会建设，制定2023年度玉泉营街道公共卫生委员会任务清单，为辖区百姓提供优质、高效、便捷的公共卫生服务。重点对镇国寺北街一刻钟便民生活圈进行改造升级和城市服务功能更新，打造“阳光餐饮示范街区”，8月30日，镇国寺北街顺利通过验收，被评为市级控烟示范街区。持续推进万柳园小区上下水管线改造工程，力争解决老旧小区居民的生活不便问题。</w:t>
      </w:r>
    </w:p>
    <w:p>
      <w:pPr>
        <w:adjustRightInd w:val="0"/>
        <w:snapToGrid w:val="0"/>
        <w:spacing w:line="560" w:lineRule="exact"/>
        <w:ind w:firstLine="640" w:firstLineChars="200"/>
        <w:rPr>
          <w:rFonts w:ascii="仿宋_GB2312" w:hAnsi="楷体_GB2312" w:eastAsia="仿宋_GB2312" w:cs="楷体_GB2312"/>
          <w:sz w:val="32"/>
          <w:szCs w:val="32"/>
        </w:rPr>
      </w:pPr>
      <w:r>
        <w:rPr>
          <w:rFonts w:hint="eastAsia" w:ascii="仿宋_GB2312" w:eastAsia="仿宋_GB2312" w:cs="仿宋_GB2312"/>
          <w:sz w:val="32"/>
          <w:szCs w:val="32"/>
        </w:rPr>
        <w:t>建设玉泉营街道社区社会组织联合会，备案社区社会组织144个，每个社区挖掘了1个品牌社区社会组织，其中草桥社区“牵手桑榆”助老服务队被选为区级品牌社区社会组织。</w:t>
      </w:r>
      <w:r>
        <w:rPr>
          <w:rFonts w:hint="eastAsia" w:ascii="仿宋_GB2312" w:eastAsia="仿宋_GB2312" w:cs="仿宋_GB2312" w:hAnsiTheme="minorHAnsi"/>
          <w:sz w:val="32"/>
          <w:szCs w:val="32"/>
        </w:rPr>
        <w:t>以新建草桥欣园第三社区为契机，做好居委会选举工作，加强对新建社区各项工作的指导。圆满完成懋源</w:t>
      </w:r>
      <w:r>
        <w:rPr>
          <w:rFonts w:hint="eastAsia" w:ascii="仿宋" w:hAnsi="仿宋" w:eastAsia="仿宋" w:cs="微软雅黑"/>
          <w:sz w:val="32"/>
          <w:szCs w:val="32"/>
        </w:rPr>
        <w:t>璟</w:t>
      </w:r>
      <w:r>
        <w:rPr>
          <w:rFonts w:hint="eastAsia" w:ascii="仿宋_GB2312" w:hAnsi="仿宋_GB2312" w:eastAsia="仿宋_GB2312" w:cs="仿宋_GB2312"/>
          <w:sz w:val="32"/>
          <w:szCs w:val="32"/>
        </w:rPr>
        <w:t>岳小区业委会的建立，并同步开展恋日花都、草桥欣园三区业委会的成立工作，依法依规推进物业</w:t>
      </w:r>
      <w:r>
        <w:rPr>
          <w:rFonts w:hint="eastAsia" w:ascii="仿宋_GB2312" w:eastAsia="仿宋_GB2312" w:cs="仿宋_GB2312" w:hAnsiTheme="minorHAnsi"/>
          <w:sz w:val="32"/>
          <w:szCs w:val="32"/>
        </w:rPr>
        <w:t>项目物管会届满的换届工作。4月27日，街道组织召开物业联盟成立大会，联合区行业部门及街道各科室从行业知识、服务意识、管理能力等方面提供专业培训及沟通平台，从多维度提升物业服务质量。</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5.服务对象满意度</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玉泉营街道办事处2023年度绩效考评得分90.19分，其中,重点工作考评得分为61.46分</w:t>
      </w:r>
      <w:r>
        <w:rPr>
          <w:rFonts w:hint="eastAsia" w:ascii="仿宋_GB2312" w:hAnsi="宋体" w:eastAsia="仿宋_GB2312"/>
          <w:color w:val="000000"/>
          <w:kern w:val="0"/>
          <w:sz w:val="32"/>
          <w:szCs w:val="32"/>
        </w:rPr>
        <w:t>（街道镇平均分为61.68分）；综合管理考评得分为15.7分（街道镇平均分为15.73分）;综合评价考评得分为13.23分（街道镇平均分为13.28分）。加减分项减0.2分。</w:t>
      </w:r>
    </w:p>
    <w:p>
      <w:pPr>
        <w:spacing w:line="600" w:lineRule="exact"/>
        <w:ind w:firstLine="640" w:firstLineChars="200"/>
        <w:rPr>
          <w:rFonts w:ascii="仿宋_GB2312" w:hAnsi="黑体" w:eastAsia="仿宋_GB2312"/>
          <w:sz w:val="32"/>
          <w:szCs w:val="32"/>
        </w:rPr>
      </w:pPr>
      <w:r>
        <w:rPr>
          <w:rFonts w:hint="eastAsia" w:ascii="仿宋_GB2312" w:hAnsi="黑体" w:eastAsia="仿宋_GB2312"/>
          <w:sz w:val="32"/>
          <w:szCs w:val="32"/>
        </w:rPr>
        <w:t>玉泉营街道办事处2023年部门整体及部分项目暂未开展满意度调查工作，服务对象满意度完成情况暂不明确，但未收到群众或有关部门的投诉。</w:t>
      </w:r>
    </w:p>
    <w:p>
      <w:pPr>
        <w:spacing w:line="600" w:lineRule="exact"/>
        <w:ind w:left="105" w:leftChars="50" w:firstLine="480" w:firstLineChars="150"/>
        <w:rPr>
          <w:rFonts w:ascii="黑体" w:hAnsi="黑体" w:eastAsia="黑体"/>
          <w:color w:val="000000"/>
          <w:kern w:val="0"/>
          <w:sz w:val="32"/>
          <w:szCs w:val="32"/>
        </w:rPr>
      </w:pPr>
      <w:r>
        <w:rPr>
          <w:rFonts w:hint="eastAsia" w:ascii="黑体" w:hAnsi="黑体" w:eastAsia="黑体"/>
          <w:color w:val="000000"/>
          <w:kern w:val="0"/>
          <w:sz w:val="32"/>
          <w:szCs w:val="32"/>
        </w:rPr>
        <w:t>四、预算管理情况分析</w:t>
      </w:r>
    </w:p>
    <w:p>
      <w:pPr>
        <w:spacing w:line="600" w:lineRule="exact"/>
        <w:ind w:left="105" w:leftChars="50" w:firstLine="480" w:firstLineChars="150"/>
        <w:rPr>
          <w:rFonts w:ascii="楷体_GB2312" w:hAnsi="Times New Roman" w:eastAsia="楷体_GB2312" w:cs="Times New Roman"/>
          <w:sz w:val="32"/>
          <w:szCs w:val="32"/>
        </w:rPr>
      </w:pPr>
      <w:r>
        <w:rPr>
          <w:rFonts w:hint="eastAsia" w:ascii="楷体_GB2312" w:eastAsia="楷体_GB2312"/>
          <w:sz w:val="32"/>
          <w:szCs w:val="32"/>
        </w:rPr>
        <w:t>（一）财务管理</w:t>
      </w:r>
    </w:p>
    <w:p>
      <w:pPr>
        <w:spacing w:line="600" w:lineRule="exact"/>
        <w:ind w:left="105" w:leftChars="50" w:firstLine="480" w:firstLineChars="15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1.财务管理制度健全性</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制定《玉泉营街道工委、玉泉营街道财务管理制度（审议稿）》，其中包括预算管理制度、福利费使用管理规定、机关差旅费报销暂行规定、会议费管理实施细则、培训费管理实施细则、公务卡管理实施细则、财政项目专项资金管理办法、机关财务管理制度、现金提取和使用管理实施细则、机关票据管理制度及规定、政府购买服务项目管理暂行办法、政府采购管理制度、国有资产管理办法、合同管理制度等，制度建设较为健全，并且编制了玉泉营街道财政预算编制及预算执行、资金支出流程图，但缺少绩效跟踪管理办法等绩效管理办法，会计核算制度完整性有待加强。</w:t>
      </w:r>
    </w:p>
    <w:p>
      <w:pPr>
        <w:spacing w:line="600" w:lineRule="exact"/>
        <w:ind w:left="105" w:leftChars="50" w:firstLine="480" w:firstLineChars="15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2.资金使用合规性和安全性</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相关资金在使用过程中严格按照《玉泉营街道工委、玉泉营街道财务管理制度（审议稿）》等制度执行，制定了《玉泉营街道机关差旅费报销暂行规定》《玉泉营街道会议费管理实施细则》《玉泉营街道培训费管理实施细则》《玉泉营街道公务卡管理实施细则》《玉泉营街道现金提取和使用管理实施细则》《玉泉营街道机关票据管理制度及规定》等制度，严格执行单位“三重一大”制度，按规定的开支范围和标准执行预算，资金使用符合国家财经法规和财务管理制度规定以及有关专项资金管理办法的规定；资金严格按照丰台区财政局相关文件中批复的资金用途使用，不存在截留、挤占、挪用情况，但部分资金拨付的审批程序和手续不够完善。</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严格按照《政府采购法》《招标投标法》等有关规定，规范政府采购行为。政府采购工作均能按照采购政策、《玉泉营街道政府采购管理制度》《玉泉营街道工委、玉泉营街道财务管理制度（审议稿）》中玉泉营街道政府采购管理要求实施，资金使用符合政府采购的程序和流程。</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严格现金支出管理，凡纳入公务卡强制结算目录的财政授权支付公务支出项目，按规定通过银行转账或公务卡方式结算，原则上不再使用现金。确因特殊情况只能使用现金或支票的，须做到事先书面报单位领导审批。资金使用符合公务卡结算相关制度和规定。</w:t>
      </w:r>
    </w:p>
    <w:p>
      <w:pPr>
        <w:spacing w:line="600" w:lineRule="exact"/>
        <w:ind w:left="105" w:leftChars="50" w:firstLine="480" w:firstLineChars="15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3.会计基础信息完善性</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玉泉营街道办事处按照《中</w:t>
      </w:r>
      <w:r>
        <w:rPr>
          <w:rFonts w:hint="eastAsia" w:ascii="仿宋_GB2312" w:hAnsi="宋体" w:eastAsia="仿宋_GB2312"/>
          <w:color w:val="000000"/>
          <w:kern w:val="0"/>
          <w:sz w:val="32"/>
          <w:szCs w:val="32"/>
          <w:lang w:eastAsia="zh-CN"/>
        </w:rPr>
        <w:t>华</w:t>
      </w:r>
      <w:bookmarkStart w:id="0" w:name="_GoBack"/>
      <w:bookmarkEnd w:id="0"/>
      <w:r>
        <w:rPr>
          <w:rFonts w:hint="eastAsia" w:ascii="仿宋_GB2312" w:hAnsi="宋体" w:eastAsia="仿宋_GB2312"/>
          <w:color w:val="000000"/>
          <w:kern w:val="0"/>
          <w:sz w:val="32"/>
          <w:szCs w:val="32"/>
        </w:rPr>
        <w:t>人民共和国会计法》、《会计基础工作规范》文件要求执行，做好各项日常会计核算工作，认真审核原始凭证，严格执行审批流程和报销手续，及时处理会计账目，定期编制财务报表，完整归集会计档案，确保财务信息真实、完整。定期进行账目核对，做到账证、账账、账实相符。会计凭证、会计账簿、会计报告和其他会计资料按照国家规定定期整理归档，妥善保管，调阅和销毁符合规定，并由专人负责。</w:t>
      </w:r>
      <w:r>
        <w:rPr>
          <w:rFonts w:hint="eastAsia" w:ascii="仿宋_GB2312" w:hAnsi="宋体" w:eastAsia="仿宋_GB2312"/>
          <w:kern w:val="0"/>
          <w:sz w:val="32"/>
          <w:szCs w:val="32"/>
        </w:rPr>
        <w:t>玉泉营道办事处基础数据信息和会计信息资料真实、准确，但存在部分支出资金使用审批单签字不够完整。</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（二）资产管理</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玉泉营街道办事处制定了《玉泉营街道国有资产管理办法》，能够做到实物管理部门与财务管理部门分开设置，</w:t>
      </w:r>
      <w:r>
        <w:rPr>
          <w:rFonts w:hint="eastAsia" w:ascii="仿宋_GB2312" w:eastAsia="仿宋_GB2312"/>
          <w:sz w:val="32"/>
          <w:szCs w:val="32"/>
        </w:rPr>
        <w:t>建立固定资产实物台账，及时更新和维护固定资产动态管理信息系统，建立固定资产卡片，对固定资产进行统一分类编号，将国有资产管理责任落实到位。</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2023年不涉及资产对外投资的工作；资产经盘点，不存在因管理不当发生严重资产损失和丢失情况，不存在超标准配置资产；资产使用符合相关规范，不涉及出租、出借资产行为；2023年不涉及资产处置行为；其它资产管理制度办法执行规范。</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（三）绩效管理</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为进一步推动财政资金科学化、精细化管理，提高预算资金的使用效益，加强预算绩效运行监控，依据《北京市丰台区部门预算绩效运行监控管理办法》（丰财绩效〔</w:t>
      </w:r>
      <w:r>
        <w:rPr>
          <w:rFonts w:ascii="仿宋_GB2312" w:hAnsi="宋体" w:eastAsia="仿宋_GB2312"/>
          <w:color w:val="000000"/>
          <w:kern w:val="0"/>
          <w:sz w:val="32"/>
          <w:szCs w:val="32"/>
        </w:rPr>
        <w:t>2021</w:t>
      </w:r>
      <w:r>
        <w:rPr>
          <w:rFonts w:hint="eastAsia" w:ascii="仿宋_GB2312" w:hAnsi="宋体" w:eastAsia="仿宋_GB2312"/>
          <w:color w:val="000000"/>
          <w:kern w:val="0"/>
          <w:sz w:val="32"/>
          <w:szCs w:val="32"/>
        </w:rPr>
        <w:t>〕</w:t>
      </w:r>
      <w:r>
        <w:rPr>
          <w:rFonts w:ascii="仿宋_GB2312" w:hAnsi="宋体" w:eastAsia="仿宋_GB2312"/>
          <w:color w:val="000000"/>
          <w:kern w:val="0"/>
          <w:sz w:val="32"/>
          <w:szCs w:val="32"/>
        </w:rPr>
        <w:t>2517</w:t>
      </w:r>
      <w:r>
        <w:rPr>
          <w:rFonts w:hint="eastAsia" w:ascii="仿宋_GB2312" w:hAnsi="宋体" w:eastAsia="仿宋_GB2312"/>
          <w:color w:val="000000"/>
          <w:kern w:val="0"/>
          <w:sz w:val="32"/>
          <w:szCs w:val="32"/>
        </w:rPr>
        <w:t>号）要求，玉泉营街道办事处于2</w:t>
      </w:r>
      <w:r>
        <w:rPr>
          <w:rFonts w:ascii="仿宋_GB2312" w:hAnsi="宋体" w:eastAsia="仿宋_GB2312"/>
          <w:color w:val="000000"/>
          <w:kern w:val="0"/>
          <w:sz w:val="32"/>
          <w:szCs w:val="32"/>
        </w:rPr>
        <w:t>0</w:t>
      </w:r>
      <w:r>
        <w:rPr>
          <w:rFonts w:hint="eastAsia" w:ascii="仿宋_GB2312" w:hAnsi="宋体" w:eastAsia="仿宋_GB2312"/>
          <w:color w:val="000000"/>
          <w:kern w:val="0"/>
          <w:sz w:val="32"/>
          <w:szCs w:val="32"/>
        </w:rPr>
        <w:t>23年7-</w:t>
      </w:r>
      <w:r>
        <w:rPr>
          <w:rFonts w:ascii="仿宋_GB2312" w:hAnsi="宋体" w:eastAsia="仿宋_GB2312"/>
          <w:color w:val="000000"/>
          <w:kern w:val="0"/>
          <w:sz w:val="32"/>
          <w:szCs w:val="32"/>
        </w:rPr>
        <w:t>8</w:t>
      </w:r>
      <w:r>
        <w:rPr>
          <w:rFonts w:hint="eastAsia" w:ascii="仿宋_GB2312" w:hAnsi="宋体" w:eastAsia="仿宋_GB2312"/>
          <w:color w:val="000000"/>
          <w:kern w:val="0"/>
          <w:sz w:val="32"/>
          <w:szCs w:val="32"/>
        </w:rPr>
        <w:t>月，组织对预算项目开展绩效运行监控，对截至6月底的预算执行进度、绩效目标完成情况进行监控，对偏离绩效目标的原因进行分析，对全年绩效目标完成情况进行预计，并对预计年底不能完成目标的原因及拟采取的改进措施做出说明。但对绩效目标偏离情况进行矫正等措施有待加强。</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2</w:t>
      </w:r>
      <w:r>
        <w:rPr>
          <w:rFonts w:ascii="仿宋_GB2312" w:hAnsi="宋体" w:eastAsia="仿宋_GB2312"/>
          <w:color w:val="000000"/>
          <w:kern w:val="0"/>
          <w:sz w:val="32"/>
          <w:szCs w:val="32"/>
        </w:rPr>
        <w:t>0</w:t>
      </w:r>
      <w:r>
        <w:rPr>
          <w:rFonts w:hint="eastAsia" w:ascii="仿宋_GB2312" w:hAnsi="宋体" w:eastAsia="仿宋_GB2312"/>
          <w:color w:val="000000"/>
          <w:kern w:val="0"/>
          <w:sz w:val="32"/>
          <w:szCs w:val="32"/>
        </w:rPr>
        <w:t>24年，玉泉营街道办事处对2023年度部门项目实施了绩效评价，评价项目153个，部分项目根据项目实际情况进行合并评价，合并后为144个自评成果，占部门项目总数的100%，涉及金额15396.77万元</w:t>
      </w:r>
      <w:r>
        <w:rPr>
          <w:rFonts w:hint="eastAsia" w:ascii="仿宋_GB2312" w:hAnsi="宋体" w:eastAsia="仿宋_GB2312"/>
          <w:color w:val="000000"/>
          <w:kern w:val="0"/>
          <w:sz w:val="32"/>
          <w:szCs w:val="32"/>
          <w:lang w:eastAsia="zh-CN"/>
        </w:rPr>
        <w:t>（</w:t>
      </w:r>
      <w:r>
        <w:rPr>
          <w:rFonts w:hint="eastAsia" w:ascii="仿宋_GB2312" w:hAnsi="宋体" w:eastAsia="仿宋_GB2312"/>
          <w:color w:val="000000"/>
          <w:kern w:val="0"/>
          <w:sz w:val="32"/>
          <w:szCs w:val="32"/>
          <w:lang w:val="en-US" w:eastAsia="zh-CN"/>
        </w:rPr>
        <w:t>项目列表中</w:t>
      </w:r>
      <w:r>
        <w:rPr>
          <w:rFonts w:hint="eastAsia" w:ascii="仿宋_GB2312" w:hAnsi="宋体" w:eastAsia="仿宋_GB2312"/>
          <w:color w:val="000000"/>
          <w:kern w:val="0"/>
          <w:sz w:val="32"/>
          <w:szCs w:val="32"/>
          <w:lang w:eastAsia="zh-CN"/>
        </w:rPr>
        <w:t>）</w:t>
      </w:r>
      <w:r>
        <w:rPr>
          <w:rFonts w:hint="eastAsia" w:ascii="仿宋_GB2312" w:hAnsi="宋体" w:eastAsia="仿宋_GB2312"/>
          <w:color w:val="000000"/>
          <w:kern w:val="0"/>
          <w:sz w:val="32"/>
          <w:szCs w:val="32"/>
        </w:rPr>
        <w:t>。其中，部门评价项目1个，为右安路环境提升整治项目，涉及金额97.52万元，评价得分83.80分。单位自评项目144个，涉及金额15299.25万元，评价得分均在90（含）-100分。</w:t>
      </w:r>
    </w:p>
    <w:p>
      <w:pPr>
        <w:spacing w:line="560" w:lineRule="exact"/>
        <w:ind w:firstLine="640" w:firstLineChars="200"/>
        <w:rPr>
          <w:rFonts w:ascii="楷体_GB2312" w:eastAsia="楷体_GB2312"/>
          <w:sz w:val="32"/>
          <w:szCs w:val="32"/>
        </w:rPr>
      </w:pPr>
      <w:r>
        <w:rPr>
          <w:rFonts w:hint="eastAsia" w:ascii="楷体_GB2312" w:eastAsia="楷体_GB2312"/>
          <w:sz w:val="32"/>
          <w:szCs w:val="32"/>
        </w:rPr>
        <w:t>（四）结转结余率</w:t>
      </w:r>
    </w:p>
    <w:p>
      <w:pPr>
        <w:spacing w:line="600" w:lineRule="exact"/>
        <w:ind w:firstLine="640" w:firstLineChars="200"/>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玉泉营街道办事处2023年决算数据显示结转结余总额为</w:t>
      </w:r>
      <w:r>
        <w:rPr>
          <w:rFonts w:hint="eastAsia" w:ascii="仿宋_GB2312" w:eastAsia="仿宋_GB2312"/>
          <w:color w:val="000000"/>
          <w:sz w:val="32"/>
          <w:szCs w:val="32"/>
        </w:rPr>
        <w:t>379.29</w:t>
      </w:r>
      <w:r>
        <w:rPr>
          <w:rFonts w:hint="eastAsia" w:ascii="仿宋_GB2312" w:hAnsi="宋体" w:eastAsia="仿宋_GB2312"/>
          <w:color w:val="000000"/>
          <w:kern w:val="0"/>
          <w:sz w:val="32"/>
          <w:szCs w:val="32"/>
        </w:rPr>
        <w:t>万元，2023年结转结余率为1.62%，2022年结转结余率为</w:t>
      </w:r>
      <w:r>
        <w:rPr>
          <w:rFonts w:ascii="仿宋_GB2312" w:hAnsi="宋体" w:eastAsia="仿宋_GB2312"/>
          <w:color w:val="000000"/>
          <w:kern w:val="0"/>
          <w:sz w:val="32"/>
          <w:szCs w:val="32"/>
        </w:rPr>
        <w:t>1.39%</w:t>
      </w:r>
      <w:r>
        <w:rPr>
          <w:rFonts w:hint="eastAsia" w:ascii="仿宋_GB2312" w:hAnsi="宋体" w:eastAsia="仿宋_GB2312"/>
          <w:color w:val="000000"/>
          <w:kern w:val="0"/>
          <w:sz w:val="32"/>
          <w:szCs w:val="32"/>
        </w:rPr>
        <w:t>，高于2022年结转结余率。</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（五）部门预决算差异率</w:t>
      </w:r>
    </w:p>
    <w:p>
      <w:pPr>
        <w:spacing w:line="600" w:lineRule="exact"/>
        <w:ind w:firstLine="640" w:firstLineChars="200"/>
        <w:rPr>
          <w:rFonts w:ascii="楷体_GB2312" w:eastAsia="楷体_GB2312"/>
          <w:sz w:val="32"/>
          <w:szCs w:val="32"/>
        </w:rPr>
      </w:pPr>
      <w:r>
        <w:rPr>
          <w:rFonts w:hint="eastAsia" w:ascii="仿宋_GB2312" w:hAnsi="宋体" w:eastAsia="仿宋_GB2312"/>
          <w:color w:val="000000"/>
          <w:kern w:val="0"/>
          <w:sz w:val="32"/>
          <w:szCs w:val="32"/>
        </w:rPr>
        <w:t>玉泉营街道办事处2023年初部门预算金额为13762.22万元，年度部门决算金额为23006.86万元</w:t>
      </w:r>
      <w:r>
        <w:rPr>
          <w:rFonts w:hint="eastAsia" w:ascii="仿宋_GB2312" w:eastAsia="仿宋_GB2312"/>
          <w:color w:val="000000"/>
          <w:sz w:val="32"/>
          <w:szCs w:val="32"/>
        </w:rPr>
        <w:t>，</w:t>
      </w:r>
      <w:r>
        <w:rPr>
          <w:rFonts w:hint="eastAsia" w:ascii="仿宋_GB2312" w:hAnsi="宋体" w:eastAsia="仿宋_GB2312"/>
          <w:color w:val="000000"/>
          <w:kern w:val="0"/>
          <w:sz w:val="32"/>
          <w:szCs w:val="32"/>
        </w:rPr>
        <w:t>2023年部门预决算差异率为67.17%。</w:t>
      </w:r>
    </w:p>
    <w:p>
      <w:pPr>
        <w:spacing w:line="600" w:lineRule="exact"/>
        <w:ind w:left="105" w:leftChars="50" w:firstLine="480" w:firstLineChars="150"/>
        <w:rPr>
          <w:rFonts w:ascii="黑体" w:hAnsi="黑体" w:eastAsia="黑体"/>
          <w:sz w:val="32"/>
          <w:szCs w:val="32"/>
        </w:rPr>
      </w:pPr>
      <w:r>
        <w:rPr>
          <w:rFonts w:hint="eastAsia" w:ascii="黑体" w:hAnsi="黑体" w:eastAsia="黑体"/>
          <w:sz w:val="32"/>
          <w:szCs w:val="32"/>
        </w:rPr>
        <w:t>五、总体评价结论</w:t>
      </w:r>
    </w:p>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（一）评价得分情况</w:t>
      </w:r>
    </w:p>
    <w:p>
      <w:pPr>
        <w:spacing w:line="600" w:lineRule="exact"/>
        <w:ind w:firstLine="640" w:firstLineChars="200"/>
        <w:jc w:val="left"/>
        <w:rPr>
          <w:rFonts w:ascii="仿宋_GB2312" w:hAnsi="宋体" w:eastAsia="仿宋_GB2312"/>
          <w:color w:val="000000"/>
          <w:kern w:val="0"/>
          <w:sz w:val="32"/>
          <w:szCs w:val="32"/>
        </w:rPr>
      </w:pPr>
      <w:r>
        <w:rPr>
          <w:rFonts w:hint="eastAsia" w:ascii="仿宋_GB2312" w:hAnsi="宋体" w:eastAsia="仿宋_GB2312"/>
          <w:color w:val="000000"/>
          <w:kern w:val="0"/>
          <w:sz w:val="32"/>
          <w:szCs w:val="32"/>
        </w:rPr>
        <w:t>玉泉营街道办事处2023年度整体支出绩效评价综合得分92.58分，其中当年预算执行情况19.68分、整体绩效目标实现情况57.00分、预算管理情况15.90分，绩效评定结论为“优”。具体情况详见下表：</w:t>
      </w:r>
    </w:p>
    <w:tbl>
      <w:tblPr>
        <w:tblStyle w:val="16"/>
        <w:tblW w:w="8690" w:type="dxa"/>
        <w:tblInd w:w="91" w:type="dxa"/>
        <w:tblLayout w:type="fixed"/>
        <w:tblCellMar>
          <w:top w:w="0" w:type="dxa"/>
          <w:left w:w="108" w:type="dxa"/>
          <w:bottom w:w="0" w:type="dxa"/>
          <w:right w:w="108" w:type="dxa"/>
        </w:tblCellMar>
      </w:tblPr>
      <w:tblGrid>
        <w:gridCol w:w="3418"/>
        <w:gridCol w:w="1571"/>
        <w:gridCol w:w="1701"/>
        <w:gridCol w:w="2000"/>
      </w:tblGrid>
      <w:tr>
        <w:tblPrEx>
          <w:tblCellMar>
            <w:top w:w="0" w:type="dxa"/>
            <w:left w:w="108" w:type="dxa"/>
            <w:bottom w:w="0" w:type="dxa"/>
            <w:right w:w="108" w:type="dxa"/>
          </w:tblCellMar>
        </w:tblPrEx>
        <w:trPr>
          <w:trHeight w:val="413" w:hRule="atLeast"/>
          <w:tblHeader/>
        </w:trPr>
        <w:tc>
          <w:tcPr>
            <w:tcW w:w="3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b/>
                <w:bCs/>
                <w:kern w:val="0"/>
                <w:sz w:val="24"/>
              </w:rPr>
            </w:pPr>
            <w:r>
              <w:rPr>
                <w:rFonts w:hint="eastAsia" w:cs="仿宋_GB2312" w:asciiTheme="minorEastAsia" w:hAnsiTheme="minorEastAsia" w:eastAsiaTheme="minorEastAsia"/>
                <w:b/>
                <w:bCs/>
                <w:kern w:val="0"/>
                <w:sz w:val="24"/>
              </w:rPr>
              <w:t>评价内容</w:t>
            </w:r>
          </w:p>
        </w:tc>
        <w:tc>
          <w:tcPr>
            <w:tcW w:w="15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b/>
                <w:bCs/>
                <w:kern w:val="0"/>
                <w:sz w:val="24"/>
              </w:rPr>
            </w:pPr>
            <w:r>
              <w:rPr>
                <w:rFonts w:hint="eastAsia" w:cs="仿宋_GB2312" w:asciiTheme="minorEastAsia" w:hAnsiTheme="minorEastAsia" w:eastAsiaTheme="minorEastAsia"/>
                <w:b/>
                <w:bCs/>
                <w:kern w:val="0"/>
                <w:sz w:val="24"/>
              </w:rPr>
              <w:t>分值</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b/>
                <w:bCs/>
                <w:kern w:val="0"/>
                <w:sz w:val="24"/>
              </w:rPr>
            </w:pPr>
            <w:r>
              <w:rPr>
                <w:rFonts w:hint="eastAsia" w:cs="仿宋_GB2312" w:asciiTheme="minorEastAsia" w:hAnsiTheme="minorEastAsia" w:eastAsiaTheme="minorEastAsia"/>
                <w:b/>
                <w:bCs/>
                <w:kern w:val="0"/>
                <w:sz w:val="24"/>
              </w:rPr>
              <w:t>评价得分</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b/>
                <w:bCs/>
                <w:kern w:val="0"/>
                <w:sz w:val="24"/>
              </w:rPr>
            </w:pPr>
            <w:r>
              <w:rPr>
                <w:rFonts w:hint="eastAsia" w:cs="仿宋_GB2312" w:asciiTheme="minorEastAsia" w:hAnsiTheme="minorEastAsia" w:eastAsiaTheme="minorEastAsia"/>
                <w:b/>
                <w:bCs/>
                <w:kern w:val="0"/>
                <w:sz w:val="24"/>
              </w:rPr>
              <w:t>得分率</w:t>
            </w:r>
          </w:p>
        </w:tc>
      </w:tr>
      <w:tr>
        <w:tblPrEx>
          <w:tblCellMar>
            <w:top w:w="0" w:type="dxa"/>
            <w:left w:w="108" w:type="dxa"/>
            <w:bottom w:w="0" w:type="dxa"/>
            <w:right w:w="108" w:type="dxa"/>
          </w:tblCellMar>
        </w:tblPrEx>
        <w:trPr>
          <w:trHeight w:val="374" w:hRule="atLeast"/>
        </w:trPr>
        <w:tc>
          <w:tcPr>
            <w:tcW w:w="3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当年预算执行情况</w:t>
            </w:r>
          </w:p>
        </w:tc>
        <w:tc>
          <w:tcPr>
            <w:tcW w:w="15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20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19.68</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仿宋_GB2312" w:asciiTheme="minorEastAsia" w:hAnsiTheme="minorEastAsia" w:eastAsiaTheme="minorEastAsia"/>
                <w:kern w:val="0"/>
                <w:sz w:val="24"/>
              </w:rPr>
            </w:pPr>
            <w:r>
              <w:rPr>
                <w:rFonts w:hint="eastAsia" w:ascii="宋体" w:hAnsi="宋体"/>
                <w:color w:val="000000"/>
                <w:kern w:val="0"/>
                <w:sz w:val="24"/>
                <w:lang w:bidi="ar"/>
              </w:rPr>
              <w:t>98.40%</w:t>
            </w:r>
          </w:p>
        </w:tc>
      </w:tr>
      <w:tr>
        <w:tblPrEx>
          <w:tblCellMar>
            <w:top w:w="0" w:type="dxa"/>
            <w:left w:w="108" w:type="dxa"/>
            <w:bottom w:w="0" w:type="dxa"/>
            <w:right w:w="108" w:type="dxa"/>
          </w:tblCellMar>
        </w:tblPrEx>
        <w:trPr>
          <w:trHeight w:val="409" w:hRule="atLeast"/>
        </w:trPr>
        <w:tc>
          <w:tcPr>
            <w:tcW w:w="3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整体绩效目标实现情况</w:t>
            </w:r>
          </w:p>
        </w:tc>
        <w:tc>
          <w:tcPr>
            <w:tcW w:w="15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60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57.00</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仿宋_GB2312" w:asciiTheme="minorEastAsia" w:hAnsiTheme="minorEastAsia" w:eastAsiaTheme="minorEastAsia"/>
                <w:kern w:val="0"/>
                <w:sz w:val="24"/>
              </w:rPr>
            </w:pPr>
            <w:r>
              <w:rPr>
                <w:rFonts w:hint="eastAsia" w:ascii="宋体" w:hAnsi="宋体"/>
                <w:color w:val="000000"/>
                <w:kern w:val="0"/>
                <w:sz w:val="24"/>
                <w:lang w:bidi="ar"/>
              </w:rPr>
              <w:t>95.00%</w:t>
            </w:r>
          </w:p>
        </w:tc>
      </w:tr>
      <w:tr>
        <w:tblPrEx>
          <w:tblCellMar>
            <w:top w:w="0" w:type="dxa"/>
            <w:left w:w="108" w:type="dxa"/>
            <w:bottom w:w="0" w:type="dxa"/>
            <w:right w:w="108" w:type="dxa"/>
          </w:tblCellMar>
        </w:tblPrEx>
        <w:trPr>
          <w:trHeight w:val="467" w:hRule="atLeast"/>
        </w:trPr>
        <w:tc>
          <w:tcPr>
            <w:tcW w:w="3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预算管理情况</w:t>
            </w:r>
          </w:p>
        </w:tc>
        <w:tc>
          <w:tcPr>
            <w:tcW w:w="15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20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15.90</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仿宋_GB2312" w:asciiTheme="minorEastAsia" w:hAnsiTheme="minorEastAsia" w:eastAsiaTheme="minorEastAsia"/>
                <w:kern w:val="0"/>
                <w:sz w:val="24"/>
              </w:rPr>
            </w:pPr>
            <w:r>
              <w:rPr>
                <w:rFonts w:hint="eastAsia" w:ascii="宋体" w:hAnsi="宋体"/>
                <w:color w:val="000000"/>
                <w:kern w:val="0"/>
                <w:sz w:val="24"/>
                <w:lang w:bidi="ar"/>
              </w:rPr>
              <w:t>79.50%</w:t>
            </w:r>
          </w:p>
        </w:tc>
      </w:tr>
      <w:tr>
        <w:tblPrEx>
          <w:tblCellMar>
            <w:top w:w="0" w:type="dxa"/>
            <w:left w:w="108" w:type="dxa"/>
            <w:bottom w:w="0" w:type="dxa"/>
            <w:right w:w="108" w:type="dxa"/>
          </w:tblCellMar>
        </w:tblPrEx>
        <w:trPr>
          <w:trHeight w:val="507" w:hRule="atLeast"/>
        </w:trPr>
        <w:tc>
          <w:tcPr>
            <w:tcW w:w="3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综合得分</w:t>
            </w:r>
          </w:p>
        </w:tc>
        <w:tc>
          <w:tcPr>
            <w:tcW w:w="15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100</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92.58</w:t>
            </w:r>
          </w:p>
        </w:tc>
        <w:tc>
          <w:tcPr>
            <w:tcW w:w="20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cs="仿宋_GB2312" w:asciiTheme="minorEastAsia" w:hAnsiTheme="minorEastAsia" w:eastAsiaTheme="minorEastAsia"/>
                <w:kern w:val="0"/>
                <w:sz w:val="24"/>
              </w:rPr>
            </w:pPr>
            <w:r>
              <w:rPr>
                <w:rFonts w:hint="eastAsia" w:ascii="宋体" w:hAnsi="宋体"/>
                <w:color w:val="000000"/>
                <w:kern w:val="0"/>
                <w:sz w:val="24"/>
                <w:lang w:bidi="ar"/>
              </w:rPr>
              <w:t>92.58%</w:t>
            </w:r>
          </w:p>
        </w:tc>
      </w:tr>
      <w:tr>
        <w:tblPrEx>
          <w:tblCellMar>
            <w:top w:w="0" w:type="dxa"/>
            <w:left w:w="108" w:type="dxa"/>
            <w:bottom w:w="0" w:type="dxa"/>
            <w:right w:w="108" w:type="dxa"/>
          </w:tblCellMar>
        </w:tblPrEx>
        <w:trPr>
          <w:trHeight w:val="414" w:hRule="atLeast"/>
        </w:trPr>
        <w:tc>
          <w:tcPr>
            <w:tcW w:w="341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绩效评定级别</w:t>
            </w:r>
          </w:p>
        </w:tc>
        <w:tc>
          <w:tcPr>
            <w:tcW w:w="5272"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cs="仿宋_GB2312" w:asciiTheme="minorEastAsia" w:hAnsiTheme="minorEastAsia" w:eastAsiaTheme="minorEastAsia"/>
                <w:kern w:val="0"/>
                <w:sz w:val="24"/>
              </w:rPr>
            </w:pPr>
            <w:r>
              <w:rPr>
                <w:rFonts w:hint="eastAsia" w:cs="仿宋_GB2312" w:asciiTheme="minorEastAsia" w:hAnsiTheme="minorEastAsia" w:eastAsiaTheme="minorEastAsia"/>
                <w:kern w:val="0"/>
                <w:sz w:val="24"/>
              </w:rPr>
              <w:t>优</w:t>
            </w:r>
          </w:p>
        </w:tc>
      </w:tr>
    </w:tbl>
    <w:p>
      <w:pPr>
        <w:spacing w:line="600" w:lineRule="exact"/>
        <w:ind w:left="105" w:leftChars="50" w:firstLine="480" w:firstLineChars="150"/>
        <w:rPr>
          <w:rFonts w:ascii="楷体_GB2312" w:eastAsia="楷体_GB2312"/>
          <w:sz w:val="32"/>
          <w:szCs w:val="32"/>
        </w:rPr>
      </w:pPr>
      <w:r>
        <w:rPr>
          <w:rFonts w:hint="eastAsia" w:ascii="楷体_GB2312" w:eastAsia="楷体_GB2312"/>
          <w:sz w:val="32"/>
          <w:szCs w:val="32"/>
        </w:rPr>
        <w:t>（二）存在的问题及原因分析</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部门整体绩效目标及绩效指标设置有待进一步细化、量化，仅明确部门工作的重点方向，缺少对目标任务的量化分解，指标的可考核程度不足。</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制度建设有待进一步加强，暂未结合玉泉营街道办事处实际情况，建立玉泉营街道办事处绩效管理制度，对绩效目标管理、事前绩效评估管理、绩效运行监控管理、绩效评价管理等内容提出制度规范；尚未建立会计核算制度，会计核算制度有待进一步建立健全。</w:t>
      </w:r>
    </w:p>
    <w:p>
      <w:pPr>
        <w:spacing w:line="600" w:lineRule="exact"/>
        <w:ind w:firstLine="640" w:firstLineChars="200"/>
        <w:rPr>
          <w:rFonts w:ascii="仿宋_GB2312" w:hAnsi="宋体" w:eastAsia="仿宋_GB2312"/>
          <w:sz w:val="32"/>
          <w:szCs w:val="32"/>
        </w:rPr>
      </w:pPr>
      <w:r>
        <w:rPr>
          <w:rFonts w:hint="eastAsia" w:ascii="仿宋_GB2312" w:hAnsi="宋体" w:eastAsia="仿宋_GB2312"/>
          <w:sz w:val="32"/>
          <w:szCs w:val="32"/>
        </w:rPr>
        <w:t>3</w:t>
      </w:r>
      <w:r>
        <w:rPr>
          <w:rFonts w:ascii="仿宋_GB2312" w:hAnsi="宋体" w:eastAsia="仿宋_GB2312"/>
          <w:sz w:val="32"/>
          <w:szCs w:val="32"/>
        </w:rPr>
        <w:t>.</w:t>
      </w:r>
      <w:r>
        <w:rPr>
          <w:rFonts w:hint="eastAsia" w:ascii="仿宋_GB2312" w:hAnsi="宋体" w:eastAsia="仿宋_GB2312"/>
          <w:sz w:val="32"/>
          <w:szCs w:val="32"/>
        </w:rPr>
        <w:t>部分资金管理有待加强，部分资金拨付的审批程序和手续不够完善。</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反映部门履职效果的资料不够完整，缺少对比、分析资料，部门整体及项目满意度调查工作有待加强，</w:t>
      </w:r>
      <w:r>
        <w:rPr>
          <w:rFonts w:hint="eastAsia" w:ascii="仿宋_GB2312" w:hAnsi="黑体" w:eastAsia="仿宋_GB2312"/>
          <w:sz w:val="32"/>
          <w:szCs w:val="32"/>
        </w:rPr>
        <w:t>玉泉营街道办事处2023年部门整体暂未开展满意度调查工作，</w:t>
      </w:r>
      <w:r>
        <w:rPr>
          <w:rFonts w:hint="eastAsia" w:ascii="仿宋_GB2312" w:hAnsi="宋体" w:eastAsia="仿宋_GB2312"/>
          <w:sz w:val="32"/>
          <w:szCs w:val="32"/>
        </w:rPr>
        <w:t>部分项目存在未开展满意度调查、满意度调查工作不完善等现象，</w:t>
      </w:r>
      <w:r>
        <w:rPr>
          <w:rFonts w:hint="eastAsia" w:ascii="仿宋_GB2312" w:hAnsi="黑体" w:eastAsia="仿宋_GB2312"/>
          <w:sz w:val="32"/>
          <w:szCs w:val="32"/>
        </w:rPr>
        <w:t>服务对象满意度完成情况暂不明确</w:t>
      </w:r>
      <w:r>
        <w:rPr>
          <w:rFonts w:hint="eastAsia" w:ascii="仿宋_GB2312" w:hAnsi="宋体" w:eastAsia="仿宋_GB2312"/>
          <w:sz w:val="32"/>
          <w:szCs w:val="32"/>
        </w:rPr>
        <w:t>。</w:t>
      </w:r>
    </w:p>
    <w:p>
      <w:pPr>
        <w:spacing w:line="600" w:lineRule="exact"/>
        <w:ind w:firstLine="640" w:firstLineChars="200"/>
        <w:rPr>
          <w:rFonts w:ascii="仿宋_GB2312" w:hAnsi="宋体" w:eastAsia="仿宋_GB2312"/>
          <w:color w:val="000000"/>
          <w:kern w:val="0"/>
          <w:sz w:val="32"/>
          <w:szCs w:val="32"/>
        </w:rPr>
      </w:pPr>
      <w:r>
        <w:rPr>
          <w:rFonts w:hint="eastAsia" w:ascii="黑体" w:hAnsi="黑体" w:eastAsia="黑体"/>
          <w:color w:val="000000"/>
          <w:kern w:val="0"/>
          <w:sz w:val="32"/>
          <w:szCs w:val="32"/>
        </w:rPr>
        <w:t>六、措施建议</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进一步优化部门整体绩效目标设置，根据部门职责和预算，分层次提炼部门整体目标；在深入论证的基础上，设置更加贴近部门职责且具体、量化的指标。</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进一步建立健全绩效管理制度、会计核算制度。根据《丰台区预算绩效管理办法》（丰财绩效〔2020〕374号）等文件要求，结合玉泉营街道办事处绩效管理的实际情况，制定绩效管理制度，进一步推动财政资金科学化、精细化管理，提高预算资金的使用效益。根据《会计基础工作规范》及政府会计准则制度要求，建立会计核算制度。</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进一步加强资金使用管理，完善资金拨付的审批程序和手续，规范支出资金使用审批单留痕。</w:t>
      </w:r>
    </w:p>
    <w:p>
      <w:pPr>
        <w:spacing w:line="600" w:lineRule="exact"/>
        <w:ind w:firstLine="640" w:firstLineChars="200"/>
        <w:rPr>
          <w:rFonts w:ascii="仿宋_GB2312" w:hAnsi="宋体"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进一步收集反映实施效果的支撑资料；通过多种途径了解服务对象满意度情况，以服务对象现实需求作为改进部门决策与绩效的主要依据。</w:t>
      </w:r>
    </w:p>
    <w:p>
      <w:pPr>
        <w:spacing w:line="560" w:lineRule="exact"/>
        <w:rPr>
          <w:rFonts w:ascii="方正小标宋简体" w:eastAsia="方正小标宋简体"/>
          <w:sz w:val="44"/>
          <w:szCs w:val="44"/>
        </w:rPr>
      </w:pPr>
    </w:p>
    <w:p>
      <w:pPr>
        <w:spacing w:line="560" w:lineRule="exact"/>
        <w:jc w:val="center"/>
        <w:rPr>
          <w:rFonts w:ascii="方正小标宋简体" w:eastAsia="方正小标宋简体"/>
          <w:sz w:val="44"/>
          <w:szCs w:val="44"/>
        </w:rPr>
      </w:pPr>
    </w:p>
    <w:p>
      <w:pPr>
        <w:spacing w:line="560" w:lineRule="exact"/>
        <w:jc w:val="center"/>
        <w:rPr>
          <w:rFonts w:ascii="方正小标宋简体" w:eastAsia="方正小标宋简体"/>
          <w:sz w:val="44"/>
          <w:szCs w:val="44"/>
        </w:rPr>
      </w:pPr>
    </w:p>
    <w:p>
      <w:pPr>
        <w:spacing w:line="560" w:lineRule="exact"/>
        <w:jc w:val="center"/>
        <w:rPr>
          <w:rFonts w:ascii="方正小标宋简体" w:eastAsia="方正小标宋简体"/>
          <w:sz w:val="44"/>
          <w:szCs w:val="44"/>
        </w:rPr>
      </w:pPr>
    </w:p>
    <w:p>
      <w:pPr>
        <w:spacing w:line="560" w:lineRule="exact"/>
        <w:jc w:val="center"/>
        <w:rPr>
          <w:rFonts w:ascii="方正小标宋简体" w:eastAsia="方正小标宋简体"/>
          <w:sz w:val="44"/>
          <w:szCs w:val="44"/>
        </w:rPr>
      </w:pPr>
    </w:p>
    <w:p>
      <w:pPr>
        <w:spacing w:line="560" w:lineRule="exact"/>
        <w:jc w:val="center"/>
        <w:rPr>
          <w:rFonts w:ascii="方正小标宋简体" w:eastAsia="方正小标宋简体"/>
          <w:sz w:val="44"/>
          <w:szCs w:val="44"/>
        </w:rPr>
      </w:pPr>
    </w:p>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TEVMVT+FangSong_GB2312">
    <w:altName w:val="Segoe Print"/>
    <w:panose1 w:val="00000000000000000000"/>
    <w:charset w:val="00"/>
    <w:family w:val="auto"/>
    <w:pitch w:val="default"/>
    <w:sig w:usb0="00000000" w:usb1="00000000" w:usb2="01010101" w:usb3="01010101" w:csb0="01010101" w:csb1="01010101"/>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17</w:t>
    </w:r>
    <w:r>
      <w:rPr>
        <w:rFonts w:ascii="宋体" w:hAnsi="宋体"/>
        <w:sz w:val="28"/>
        <w:szCs w:val="28"/>
      </w:rPr>
      <w:fldChar w:fldCharType="end"/>
    </w:r>
  </w:p>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C9931A"/>
    <w:multiLevelType w:val="singleLevel"/>
    <w:tmpl w:val="25C9931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OTQxYzhjODMyMDAzZmE0MDJkMWFkNmJlNDkwYTUifQ=="/>
  </w:docVars>
  <w:rsids>
    <w:rsidRoot w:val="0074491C"/>
    <w:rsid w:val="00014038"/>
    <w:rsid w:val="000208E5"/>
    <w:rsid w:val="00042E68"/>
    <w:rsid w:val="0005187D"/>
    <w:rsid w:val="00072D05"/>
    <w:rsid w:val="000830CA"/>
    <w:rsid w:val="000843CB"/>
    <w:rsid w:val="00086FE4"/>
    <w:rsid w:val="0008712E"/>
    <w:rsid w:val="00087A98"/>
    <w:rsid w:val="00092FC4"/>
    <w:rsid w:val="00096A54"/>
    <w:rsid w:val="000A5A0D"/>
    <w:rsid w:val="000C09F2"/>
    <w:rsid w:val="000E6D64"/>
    <w:rsid w:val="000E7973"/>
    <w:rsid w:val="001236AB"/>
    <w:rsid w:val="00130B70"/>
    <w:rsid w:val="00140700"/>
    <w:rsid w:val="00145FB7"/>
    <w:rsid w:val="00187D79"/>
    <w:rsid w:val="00193255"/>
    <w:rsid w:val="001932FC"/>
    <w:rsid w:val="00195738"/>
    <w:rsid w:val="001B1A3C"/>
    <w:rsid w:val="001B1AE3"/>
    <w:rsid w:val="001B4FAF"/>
    <w:rsid w:val="001C5C66"/>
    <w:rsid w:val="001C5C71"/>
    <w:rsid w:val="001C6D08"/>
    <w:rsid w:val="001D26D7"/>
    <w:rsid w:val="001D587C"/>
    <w:rsid w:val="001E28DE"/>
    <w:rsid w:val="001F25C9"/>
    <w:rsid w:val="00211E1D"/>
    <w:rsid w:val="00212CFF"/>
    <w:rsid w:val="002226F6"/>
    <w:rsid w:val="00222886"/>
    <w:rsid w:val="002238FF"/>
    <w:rsid w:val="00227A81"/>
    <w:rsid w:val="002311AB"/>
    <w:rsid w:val="002465F8"/>
    <w:rsid w:val="002500AB"/>
    <w:rsid w:val="002621D8"/>
    <w:rsid w:val="00271BB0"/>
    <w:rsid w:val="002844E1"/>
    <w:rsid w:val="00284735"/>
    <w:rsid w:val="002A410C"/>
    <w:rsid w:val="002B4787"/>
    <w:rsid w:val="002B49D7"/>
    <w:rsid w:val="002D4C10"/>
    <w:rsid w:val="002E3180"/>
    <w:rsid w:val="00301299"/>
    <w:rsid w:val="00333DB6"/>
    <w:rsid w:val="003346B0"/>
    <w:rsid w:val="0033641E"/>
    <w:rsid w:val="003621AA"/>
    <w:rsid w:val="003866F7"/>
    <w:rsid w:val="00393FC2"/>
    <w:rsid w:val="003943FA"/>
    <w:rsid w:val="003C46CD"/>
    <w:rsid w:val="003C5D21"/>
    <w:rsid w:val="003D0EFE"/>
    <w:rsid w:val="003D1BD1"/>
    <w:rsid w:val="003D26B2"/>
    <w:rsid w:val="003E035B"/>
    <w:rsid w:val="003E5D87"/>
    <w:rsid w:val="003F3234"/>
    <w:rsid w:val="003F42AD"/>
    <w:rsid w:val="003F7668"/>
    <w:rsid w:val="00413EA1"/>
    <w:rsid w:val="004169BB"/>
    <w:rsid w:val="004175EE"/>
    <w:rsid w:val="004246A2"/>
    <w:rsid w:val="00426C7F"/>
    <w:rsid w:val="00442385"/>
    <w:rsid w:val="00447FA9"/>
    <w:rsid w:val="004502B0"/>
    <w:rsid w:val="00451A0C"/>
    <w:rsid w:val="00453DB3"/>
    <w:rsid w:val="00456BEF"/>
    <w:rsid w:val="00471E07"/>
    <w:rsid w:val="00474901"/>
    <w:rsid w:val="00475A62"/>
    <w:rsid w:val="00480231"/>
    <w:rsid w:val="00494D54"/>
    <w:rsid w:val="004A1878"/>
    <w:rsid w:val="004A1CE1"/>
    <w:rsid w:val="004A3067"/>
    <w:rsid w:val="004B2820"/>
    <w:rsid w:val="004B36BB"/>
    <w:rsid w:val="004C4A76"/>
    <w:rsid w:val="004D6CBD"/>
    <w:rsid w:val="004E1F7A"/>
    <w:rsid w:val="004E6672"/>
    <w:rsid w:val="00506CC1"/>
    <w:rsid w:val="00511D35"/>
    <w:rsid w:val="00531B67"/>
    <w:rsid w:val="00534816"/>
    <w:rsid w:val="0053521D"/>
    <w:rsid w:val="005401F6"/>
    <w:rsid w:val="00571A44"/>
    <w:rsid w:val="00575928"/>
    <w:rsid w:val="00577B03"/>
    <w:rsid w:val="00586E29"/>
    <w:rsid w:val="005910F1"/>
    <w:rsid w:val="005A1C1F"/>
    <w:rsid w:val="005B7D36"/>
    <w:rsid w:val="005C3774"/>
    <w:rsid w:val="005E1C20"/>
    <w:rsid w:val="00612ED6"/>
    <w:rsid w:val="00620DC8"/>
    <w:rsid w:val="00621765"/>
    <w:rsid w:val="00632F0F"/>
    <w:rsid w:val="00645E75"/>
    <w:rsid w:val="00664BF8"/>
    <w:rsid w:val="00670890"/>
    <w:rsid w:val="00676291"/>
    <w:rsid w:val="006837DC"/>
    <w:rsid w:val="006B193E"/>
    <w:rsid w:val="006B1969"/>
    <w:rsid w:val="006D2096"/>
    <w:rsid w:val="006F5811"/>
    <w:rsid w:val="00714D76"/>
    <w:rsid w:val="0072100D"/>
    <w:rsid w:val="00721166"/>
    <w:rsid w:val="00722F35"/>
    <w:rsid w:val="00725DDB"/>
    <w:rsid w:val="00726DED"/>
    <w:rsid w:val="007336E5"/>
    <w:rsid w:val="007372E1"/>
    <w:rsid w:val="007426D0"/>
    <w:rsid w:val="00743BAB"/>
    <w:rsid w:val="0074491C"/>
    <w:rsid w:val="00765FDD"/>
    <w:rsid w:val="00767AA3"/>
    <w:rsid w:val="0077296B"/>
    <w:rsid w:val="0078487A"/>
    <w:rsid w:val="007926D6"/>
    <w:rsid w:val="00794E7C"/>
    <w:rsid w:val="007A2504"/>
    <w:rsid w:val="007B3D11"/>
    <w:rsid w:val="007D19AA"/>
    <w:rsid w:val="007D5FCE"/>
    <w:rsid w:val="007E3BC5"/>
    <w:rsid w:val="007F6363"/>
    <w:rsid w:val="00800711"/>
    <w:rsid w:val="00816D5C"/>
    <w:rsid w:val="00841A4E"/>
    <w:rsid w:val="008428CA"/>
    <w:rsid w:val="00862549"/>
    <w:rsid w:val="008718F1"/>
    <w:rsid w:val="00874444"/>
    <w:rsid w:val="00874A9F"/>
    <w:rsid w:val="0088320A"/>
    <w:rsid w:val="008854C0"/>
    <w:rsid w:val="008863A9"/>
    <w:rsid w:val="008B1166"/>
    <w:rsid w:val="008B270E"/>
    <w:rsid w:val="008B6246"/>
    <w:rsid w:val="008B7AE1"/>
    <w:rsid w:val="008C4AF1"/>
    <w:rsid w:val="008F4FF4"/>
    <w:rsid w:val="00900D74"/>
    <w:rsid w:val="009139E5"/>
    <w:rsid w:val="00915247"/>
    <w:rsid w:val="0093622E"/>
    <w:rsid w:val="00946CB0"/>
    <w:rsid w:val="0095298C"/>
    <w:rsid w:val="009548A9"/>
    <w:rsid w:val="00971B98"/>
    <w:rsid w:val="0097215D"/>
    <w:rsid w:val="00976658"/>
    <w:rsid w:val="00981212"/>
    <w:rsid w:val="00983E94"/>
    <w:rsid w:val="009A1B36"/>
    <w:rsid w:val="009A67B5"/>
    <w:rsid w:val="009B4D46"/>
    <w:rsid w:val="009C2B07"/>
    <w:rsid w:val="009C780F"/>
    <w:rsid w:val="009C7AF5"/>
    <w:rsid w:val="009E0437"/>
    <w:rsid w:val="00A026B1"/>
    <w:rsid w:val="00A104DC"/>
    <w:rsid w:val="00A13FD4"/>
    <w:rsid w:val="00A15D29"/>
    <w:rsid w:val="00A25BCB"/>
    <w:rsid w:val="00A27D78"/>
    <w:rsid w:val="00A40860"/>
    <w:rsid w:val="00A42D74"/>
    <w:rsid w:val="00A60E43"/>
    <w:rsid w:val="00A64CF4"/>
    <w:rsid w:val="00A715C3"/>
    <w:rsid w:val="00A738DB"/>
    <w:rsid w:val="00A74D46"/>
    <w:rsid w:val="00A8073D"/>
    <w:rsid w:val="00A83FEE"/>
    <w:rsid w:val="00A84B99"/>
    <w:rsid w:val="00A96F8C"/>
    <w:rsid w:val="00AA1AB8"/>
    <w:rsid w:val="00AA3F60"/>
    <w:rsid w:val="00AB3B95"/>
    <w:rsid w:val="00AB3C71"/>
    <w:rsid w:val="00AB697A"/>
    <w:rsid w:val="00AC2377"/>
    <w:rsid w:val="00AD36E9"/>
    <w:rsid w:val="00AE10BE"/>
    <w:rsid w:val="00AF4343"/>
    <w:rsid w:val="00B01D87"/>
    <w:rsid w:val="00B11EFC"/>
    <w:rsid w:val="00B1320F"/>
    <w:rsid w:val="00B13F17"/>
    <w:rsid w:val="00B14825"/>
    <w:rsid w:val="00B22630"/>
    <w:rsid w:val="00B35F9B"/>
    <w:rsid w:val="00B6736D"/>
    <w:rsid w:val="00B73799"/>
    <w:rsid w:val="00B97A56"/>
    <w:rsid w:val="00BA368B"/>
    <w:rsid w:val="00BA59A5"/>
    <w:rsid w:val="00BB2D63"/>
    <w:rsid w:val="00BD2FCD"/>
    <w:rsid w:val="00BE31C7"/>
    <w:rsid w:val="00BF37D9"/>
    <w:rsid w:val="00BF3D48"/>
    <w:rsid w:val="00BF682E"/>
    <w:rsid w:val="00C21AFE"/>
    <w:rsid w:val="00C25AEF"/>
    <w:rsid w:val="00C26209"/>
    <w:rsid w:val="00C31E7B"/>
    <w:rsid w:val="00C323CD"/>
    <w:rsid w:val="00C5249C"/>
    <w:rsid w:val="00C56159"/>
    <w:rsid w:val="00C563D6"/>
    <w:rsid w:val="00C568A0"/>
    <w:rsid w:val="00C63DC3"/>
    <w:rsid w:val="00C90EC7"/>
    <w:rsid w:val="00C940D5"/>
    <w:rsid w:val="00CA122C"/>
    <w:rsid w:val="00CA707A"/>
    <w:rsid w:val="00CC5CE2"/>
    <w:rsid w:val="00CD1568"/>
    <w:rsid w:val="00CD5CB2"/>
    <w:rsid w:val="00CD6D4A"/>
    <w:rsid w:val="00CE5597"/>
    <w:rsid w:val="00CE6328"/>
    <w:rsid w:val="00CE6A13"/>
    <w:rsid w:val="00CF3D1C"/>
    <w:rsid w:val="00CF69C0"/>
    <w:rsid w:val="00D022FC"/>
    <w:rsid w:val="00D073DA"/>
    <w:rsid w:val="00D07711"/>
    <w:rsid w:val="00D51545"/>
    <w:rsid w:val="00D6180A"/>
    <w:rsid w:val="00D713ED"/>
    <w:rsid w:val="00D748B1"/>
    <w:rsid w:val="00D8121E"/>
    <w:rsid w:val="00DB2E06"/>
    <w:rsid w:val="00DB335E"/>
    <w:rsid w:val="00DB4ED0"/>
    <w:rsid w:val="00DC51D2"/>
    <w:rsid w:val="00DC74FC"/>
    <w:rsid w:val="00DD5FF1"/>
    <w:rsid w:val="00DE67AB"/>
    <w:rsid w:val="00E12B5A"/>
    <w:rsid w:val="00E13B4A"/>
    <w:rsid w:val="00E23198"/>
    <w:rsid w:val="00E25B6F"/>
    <w:rsid w:val="00E72E43"/>
    <w:rsid w:val="00E74B0E"/>
    <w:rsid w:val="00E7650D"/>
    <w:rsid w:val="00E77B50"/>
    <w:rsid w:val="00E77DDC"/>
    <w:rsid w:val="00E8151C"/>
    <w:rsid w:val="00E93590"/>
    <w:rsid w:val="00EA410C"/>
    <w:rsid w:val="00EB7A50"/>
    <w:rsid w:val="00ED10F4"/>
    <w:rsid w:val="00EE1847"/>
    <w:rsid w:val="00EE1A1D"/>
    <w:rsid w:val="00EE30E9"/>
    <w:rsid w:val="00EE7BAB"/>
    <w:rsid w:val="00F01F6C"/>
    <w:rsid w:val="00F12BEA"/>
    <w:rsid w:val="00F24A90"/>
    <w:rsid w:val="00F378F9"/>
    <w:rsid w:val="00F50D5C"/>
    <w:rsid w:val="00F525C7"/>
    <w:rsid w:val="00F5654E"/>
    <w:rsid w:val="00F63F12"/>
    <w:rsid w:val="00F714FA"/>
    <w:rsid w:val="00F718A1"/>
    <w:rsid w:val="00F839E5"/>
    <w:rsid w:val="00F91B98"/>
    <w:rsid w:val="00F97858"/>
    <w:rsid w:val="00FA36DA"/>
    <w:rsid w:val="00FD4D7E"/>
    <w:rsid w:val="00FD7BCC"/>
    <w:rsid w:val="033A558B"/>
    <w:rsid w:val="03E36F26"/>
    <w:rsid w:val="07AB0DDC"/>
    <w:rsid w:val="0837361A"/>
    <w:rsid w:val="08AB73A4"/>
    <w:rsid w:val="09B41A54"/>
    <w:rsid w:val="0AB12579"/>
    <w:rsid w:val="0ACD38D7"/>
    <w:rsid w:val="0BBD7FE2"/>
    <w:rsid w:val="0D0223DB"/>
    <w:rsid w:val="0D082CB1"/>
    <w:rsid w:val="0E8822ED"/>
    <w:rsid w:val="0E947D89"/>
    <w:rsid w:val="103233B6"/>
    <w:rsid w:val="109B53FF"/>
    <w:rsid w:val="10F863AD"/>
    <w:rsid w:val="114416C5"/>
    <w:rsid w:val="12BC6577"/>
    <w:rsid w:val="12E42A12"/>
    <w:rsid w:val="15045530"/>
    <w:rsid w:val="15A219A7"/>
    <w:rsid w:val="166603FD"/>
    <w:rsid w:val="1670016B"/>
    <w:rsid w:val="1A8011C2"/>
    <w:rsid w:val="1A9122CA"/>
    <w:rsid w:val="1AC6287A"/>
    <w:rsid w:val="1B4548E5"/>
    <w:rsid w:val="1C5B1C68"/>
    <w:rsid w:val="1CB97B08"/>
    <w:rsid w:val="1CF2284B"/>
    <w:rsid w:val="1D2575BC"/>
    <w:rsid w:val="1E0027DC"/>
    <w:rsid w:val="1E117D3A"/>
    <w:rsid w:val="1E420B96"/>
    <w:rsid w:val="1FE55271"/>
    <w:rsid w:val="208E6A32"/>
    <w:rsid w:val="2169341D"/>
    <w:rsid w:val="21CE2297"/>
    <w:rsid w:val="22552F34"/>
    <w:rsid w:val="2351407B"/>
    <w:rsid w:val="25EE24A8"/>
    <w:rsid w:val="27F57BD6"/>
    <w:rsid w:val="287D0D43"/>
    <w:rsid w:val="2BB807BB"/>
    <w:rsid w:val="2D865E3F"/>
    <w:rsid w:val="2D8B3CEE"/>
    <w:rsid w:val="2F2464C0"/>
    <w:rsid w:val="314F06D5"/>
    <w:rsid w:val="32852B7B"/>
    <w:rsid w:val="33D85B00"/>
    <w:rsid w:val="35565D55"/>
    <w:rsid w:val="357C4991"/>
    <w:rsid w:val="359029D2"/>
    <w:rsid w:val="364315C9"/>
    <w:rsid w:val="36CB384E"/>
    <w:rsid w:val="38881BDD"/>
    <w:rsid w:val="39904B26"/>
    <w:rsid w:val="39E5156F"/>
    <w:rsid w:val="3ACB516B"/>
    <w:rsid w:val="3AD511BF"/>
    <w:rsid w:val="3D3E2EF3"/>
    <w:rsid w:val="3E0B553F"/>
    <w:rsid w:val="3ED51908"/>
    <w:rsid w:val="3F2E29D2"/>
    <w:rsid w:val="3F312907"/>
    <w:rsid w:val="40A33625"/>
    <w:rsid w:val="425E443E"/>
    <w:rsid w:val="42FC077C"/>
    <w:rsid w:val="45C33690"/>
    <w:rsid w:val="45DF1F1C"/>
    <w:rsid w:val="4621188C"/>
    <w:rsid w:val="46D00643"/>
    <w:rsid w:val="49575660"/>
    <w:rsid w:val="4A2803BA"/>
    <w:rsid w:val="4CAC3B7F"/>
    <w:rsid w:val="4D220322"/>
    <w:rsid w:val="4ECE5815"/>
    <w:rsid w:val="50F33EC0"/>
    <w:rsid w:val="51BD44CE"/>
    <w:rsid w:val="51BE0718"/>
    <w:rsid w:val="51D7373F"/>
    <w:rsid w:val="52B72515"/>
    <w:rsid w:val="54A23A0B"/>
    <w:rsid w:val="54D062C6"/>
    <w:rsid w:val="55EA0DC4"/>
    <w:rsid w:val="566C201F"/>
    <w:rsid w:val="581F685D"/>
    <w:rsid w:val="59A56F5D"/>
    <w:rsid w:val="59A60BE4"/>
    <w:rsid w:val="5A461504"/>
    <w:rsid w:val="5B3B50F4"/>
    <w:rsid w:val="5BE014E5"/>
    <w:rsid w:val="5CA813C0"/>
    <w:rsid w:val="5CC21AA9"/>
    <w:rsid w:val="5ED757B1"/>
    <w:rsid w:val="60DC2CC3"/>
    <w:rsid w:val="612A3663"/>
    <w:rsid w:val="623B74ED"/>
    <w:rsid w:val="63365E8E"/>
    <w:rsid w:val="6432722E"/>
    <w:rsid w:val="65202621"/>
    <w:rsid w:val="6524176C"/>
    <w:rsid w:val="656839B7"/>
    <w:rsid w:val="657D41F7"/>
    <w:rsid w:val="65A76BCF"/>
    <w:rsid w:val="6764270C"/>
    <w:rsid w:val="67E92CE5"/>
    <w:rsid w:val="69FB017C"/>
    <w:rsid w:val="6AB26742"/>
    <w:rsid w:val="6E65356B"/>
    <w:rsid w:val="6FDB6D8B"/>
    <w:rsid w:val="70077C2C"/>
    <w:rsid w:val="702B4DF4"/>
    <w:rsid w:val="71490D6A"/>
    <w:rsid w:val="739369E5"/>
    <w:rsid w:val="74E40C77"/>
    <w:rsid w:val="755F59C9"/>
    <w:rsid w:val="762F3B57"/>
    <w:rsid w:val="76E41E54"/>
    <w:rsid w:val="7785418E"/>
    <w:rsid w:val="77E02CE9"/>
    <w:rsid w:val="78014F20"/>
    <w:rsid w:val="793525C2"/>
    <w:rsid w:val="7A147D16"/>
    <w:rsid w:val="7B277630"/>
    <w:rsid w:val="7E9975A5"/>
    <w:rsid w:val="7EDFA93D"/>
    <w:rsid w:val="7FDA2751"/>
    <w:rsid w:val="7FFFAB1F"/>
    <w:rsid w:val="9F7E3215"/>
    <w:rsid w:val="EBDEB25B"/>
    <w:rsid w:val="EFFD69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qFormat="1" w:unhideWhenUsed="0" w:uiPriority="0"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2"/>
    <w:basedOn w:val="1"/>
    <w:next w:val="1"/>
    <w:link w:val="29"/>
    <w:qFormat/>
    <w:uiPriority w:val="0"/>
    <w:pPr>
      <w:keepNext/>
      <w:keepLines/>
      <w:spacing w:before="260" w:after="260" w:line="416" w:lineRule="auto"/>
      <w:outlineLvl w:val="1"/>
    </w:pPr>
    <w:rPr>
      <w:rFonts w:ascii="Calibri Light" w:hAnsi="Calibri Light"/>
      <w:b/>
      <w:bCs/>
      <w:sz w:val="32"/>
      <w:szCs w:val="32"/>
    </w:rPr>
  </w:style>
  <w:style w:type="paragraph" w:styleId="3">
    <w:name w:val="heading 3"/>
    <w:basedOn w:val="1"/>
    <w:next w:val="1"/>
    <w:qFormat/>
    <w:uiPriority w:val="0"/>
    <w:pPr>
      <w:jc w:val="left"/>
      <w:outlineLvl w:val="2"/>
    </w:pPr>
    <w:rPr>
      <w:rFonts w:hint="eastAsia" w:ascii="宋体" w:hAnsi="宋体" w:cs="Times New Roman"/>
      <w:b/>
      <w:kern w:val="0"/>
      <w:sz w:val="24"/>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unhideWhenUsed/>
    <w:qFormat/>
    <w:uiPriority w:val="0"/>
    <w:pPr>
      <w:autoSpaceDE w:val="0"/>
      <w:autoSpaceDN w:val="0"/>
      <w:adjustRightInd w:val="0"/>
      <w:ind w:firstLine="420"/>
      <w:jc w:val="left"/>
    </w:pPr>
    <w:rPr>
      <w:rFonts w:ascii="宋体"/>
      <w:kern w:val="0"/>
      <w:sz w:val="24"/>
    </w:rPr>
  </w:style>
  <w:style w:type="paragraph" w:styleId="5">
    <w:name w:val="annotation text"/>
    <w:basedOn w:val="1"/>
    <w:link w:val="34"/>
    <w:unhideWhenUsed/>
    <w:qFormat/>
    <w:uiPriority w:val="99"/>
    <w:pPr>
      <w:jc w:val="left"/>
    </w:pPr>
  </w:style>
  <w:style w:type="paragraph" w:styleId="6">
    <w:name w:val="Body Text"/>
    <w:basedOn w:val="1"/>
    <w:qFormat/>
    <w:uiPriority w:val="0"/>
    <w:pPr>
      <w:spacing w:after="120"/>
    </w:pPr>
  </w:style>
  <w:style w:type="paragraph" w:styleId="7">
    <w:name w:val="Body Text Indent"/>
    <w:basedOn w:val="1"/>
    <w:qFormat/>
    <w:uiPriority w:val="0"/>
    <w:pPr>
      <w:spacing w:after="120"/>
      <w:ind w:left="420" w:leftChars="200"/>
    </w:pPr>
  </w:style>
  <w:style w:type="paragraph" w:styleId="8">
    <w:name w:val="toc 3"/>
    <w:basedOn w:val="1"/>
    <w:next w:val="1"/>
    <w:unhideWhenUsed/>
    <w:qFormat/>
    <w:uiPriority w:val="0"/>
    <w:pPr>
      <w:ind w:left="840" w:leftChars="400"/>
    </w:pPr>
    <w:rPr>
      <w:rFonts w:asciiTheme="minorHAnsi" w:hAnsiTheme="minorHAnsi" w:eastAsiaTheme="minorEastAsia" w:cstheme="minorBidi"/>
      <w:szCs w:val="22"/>
    </w:rPr>
  </w:style>
  <w:style w:type="paragraph" w:styleId="9">
    <w:name w:val="Date"/>
    <w:basedOn w:val="1"/>
    <w:next w:val="1"/>
    <w:link w:val="28"/>
    <w:qFormat/>
    <w:uiPriority w:val="0"/>
    <w:pPr>
      <w:ind w:left="100" w:leftChars="2500"/>
    </w:pPr>
  </w:style>
  <w:style w:type="paragraph" w:styleId="10">
    <w:name w:val="Balloon Text"/>
    <w:basedOn w:val="1"/>
    <w:link w:val="25"/>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3">
    <w:name w:val="Subtitle"/>
    <w:basedOn w:val="1"/>
    <w:next w:val="1"/>
    <w:link w:val="30"/>
    <w:qFormat/>
    <w:uiPriority w:val="0"/>
    <w:pPr>
      <w:jc w:val="left"/>
      <w:outlineLvl w:val="2"/>
    </w:pPr>
    <w:rPr>
      <w:rFonts w:ascii="Cambria" w:hAnsi="Cambria" w:eastAsia="黑体" w:cs="Times New Roman"/>
      <w:bCs/>
      <w:kern w:val="28"/>
      <w:szCs w:val="32"/>
    </w:rPr>
  </w:style>
  <w:style w:type="paragraph" w:styleId="14">
    <w:name w:val="annotation subject"/>
    <w:basedOn w:val="5"/>
    <w:next w:val="5"/>
    <w:link w:val="35"/>
    <w:semiHidden/>
    <w:unhideWhenUsed/>
    <w:qFormat/>
    <w:uiPriority w:val="99"/>
    <w:rPr>
      <w:b/>
      <w:bCs/>
    </w:rPr>
  </w:style>
  <w:style w:type="paragraph" w:styleId="15">
    <w:name w:val="Body Text First Indent 2"/>
    <w:basedOn w:val="7"/>
    <w:qFormat/>
    <w:uiPriority w:val="0"/>
    <w:pPr>
      <w:ind w:firstLine="420" w:firstLineChars="200"/>
    </w:pPr>
  </w:style>
  <w:style w:type="character" w:styleId="18">
    <w:name w:val="FollowedHyperlink"/>
    <w:basedOn w:val="17"/>
    <w:qFormat/>
    <w:uiPriority w:val="0"/>
    <w:rPr>
      <w:color w:val="741274"/>
      <w:u w:val="single"/>
    </w:rPr>
  </w:style>
  <w:style w:type="character" w:styleId="19">
    <w:name w:val="Emphasis"/>
    <w:basedOn w:val="17"/>
    <w:qFormat/>
    <w:uiPriority w:val="0"/>
    <w:rPr>
      <w:color w:val="CC0000"/>
    </w:rPr>
  </w:style>
  <w:style w:type="character" w:styleId="20">
    <w:name w:val="Hyperlink"/>
    <w:basedOn w:val="17"/>
    <w:qFormat/>
    <w:uiPriority w:val="0"/>
    <w:rPr>
      <w:color w:val="0000CC"/>
      <w:u w:val="single"/>
    </w:rPr>
  </w:style>
  <w:style w:type="character" w:styleId="21">
    <w:name w:val="annotation reference"/>
    <w:basedOn w:val="17"/>
    <w:semiHidden/>
    <w:unhideWhenUsed/>
    <w:qFormat/>
    <w:uiPriority w:val="99"/>
    <w:rPr>
      <w:sz w:val="21"/>
      <w:szCs w:val="21"/>
    </w:rPr>
  </w:style>
  <w:style w:type="character" w:styleId="22">
    <w:name w:val="HTML Cite"/>
    <w:basedOn w:val="17"/>
    <w:qFormat/>
    <w:uiPriority w:val="0"/>
    <w:rPr>
      <w:color w:val="008000"/>
    </w:rPr>
  </w:style>
  <w:style w:type="character" w:customStyle="1" w:styleId="23">
    <w:name w:val="页眉 字符"/>
    <w:basedOn w:val="17"/>
    <w:link w:val="12"/>
    <w:qFormat/>
    <w:uiPriority w:val="0"/>
    <w:rPr>
      <w:kern w:val="2"/>
      <w:sz w:val="18"/>
      <w:szCs w:val="18"/>
    </w:rPr>
  </w:style>
  <w:style w:type="character" w:customStyle="1" w:styleId="24">
    <w:name w:val="页脚 字符"/>
    <w:basedOn w:val="17"/>
    <w:link w:val="11"/>
    <w:qFormat/>
    <w:uiPriority w:val="99"/>
    <w:rPr>
      <w:kern w:val="2"/>
      <w:sz w:val="18"/>
      <w:szCs w:val="18"/>
    </w:rPr>
  </w:style>
  <w:style w:type="character" w:customStyle="1" w:styleId="25">
    <w:name w:val="批注框文本 字符"/>
    <w:basedOn w:val="17"/>
    <w:link w:val="10"/>
    <w:qFormat/>
    <w:uiPriority w:val="0"/>
    <w:rPr>
      <w:kern w:val="2"/>
      <w:sz w:val="18"/>
      <w:szCs w:val="18"/>
    </w:rPr>
  </w:style>
  <w:style w:type="character" w:customStyle="1" w:styleId="26">
    <w:name w:val="sugg-loading"/>
    <w:basedOn w:val="17"/>
    <w:qFormat/>
    <w:uiPriority w:val="0"/>
  </w:style>
  <w:style w:type="character" w:customStyle="1" w:styleId="27">
    <w:name w:val="page-cur"/>
    <w:basedOn w:val="17"/>
    <w:qFormat/>
    <w:uiPriority w:val="0"/>
    <w:rPr>
      <w:b/>
      <w:color w:val="333333"/>
      <w:bdr w:val="single" w:color="E5E5E5" w:sz="6" w:space="0"/>
      <w:shd w:val="clear" w:color="auto" w:fill="F2F2F2"/>
    </w:rPr>
  </w:style>
  <w:style w:type="character" w:customStyle="1" w:styleId="28">
    <w:name w:val="日期 字符"/>
    <w:basedOn w:val="17"/>
    <w:link w:val="9"/>
    <w:qFormat/>
    <w:uiPriority w:val="0"/>
    <w:rPr>
      <w:rFonts w:ascii="Calibri" w:hAnsi="Calibri" w:eastAsia="宋体" w:cs="宋体"/>
      <w:kern w:val="2"/>
      <w:sz w:val="21"/>
      <w:szCs w:val="24"/>
    </w:rPr>
  </w:style>
  <w:style w:type="character" w:customStyle="1" w:styleId="29">
    <w:name w:val="标题 2 字符"/>
    <w:basedOn w:val="17"/>
    <w:link w:val="2"/>
    <w:qFormat/>
    <w:uiPriority w:val="0"/>
    <w:rPr>
      <w:rFonts w:ascii="Calibri Light" w:hAnsi="Calibri Light" w:eastAsia="宋体" w:cs="宋体"/>
      <w:b/>
      <w:bCs/>
      <w:kern w:val="2"/>
      <w:sz w:val="32"/>
      <w:szCs w:val="32"/>
    </w:rPr>
  </w:style>
  <w:style w:type="character" w:customStyle="1" w:styleId="30">
    <w:name w:val="副标题 字符"/>
    <w:basedOn w:val="17"/>
    <w:link w:val="13"/>
    <w:qFormat/>
    <w:uiPriority w:val="0"/>
    <w:rPr>
      <w:rFonts w:ascii="Cambria" w:hAnsi="Cambria" w:eastAsia="黑体"/>
      <w:bCs/>
      <w:kern w:val="28"/>
      <w:sz w:val="21"/>
      <w:szCs w:val="32"/>
    </w:rPr>
  </w:style>
  <w:style w:type="paragraph" w:customStyle="1" w:styleId="31">
    <w:name w:val="列出段落1"/>
    <w:basedOn w:val="1"/>
    <w:qFormat/>
    <w:uiPriority w:val="34"/>
    <w:pPr>
      <w:ind w:firstLine="420" w:firstLineChars="200"/>
    </w:pPr>
    <w:rPr>
      <w:rFonts w:cs="Times New Roman"/>
      <w:szCs w:val="22"/>
    </w:rPr>
  </w:style>
  <w:style w:type="paragraph" w:customStyle="1" w:styleId="32">
    <w:name w:val="样式 正文首行缩进 2 + 四号 左侧:  2 字符 首行缩进:  2 字符 段后: 0 磅"/>
    <w:basedOn w:val="15"/>
    <w:next w:val="15"/>
    <w:qFormat/>
    <w:uiPriority w:val="0"/>
    <w:pPr>
      <w:widowControl/>
      <w:spacing w:after="0"/>
      <w:ind w:left="480" w:firstLine="560"/>
      <w:jc w:val="left"/>
    </w:pPr>
    <w:rPr>
      <w:kern w:val="0"/>
      <w:sz w:val="28"/>
      <w:szCs w:val="20"/>
      <w:lang w:eastAsia="en-US"/>
    </w:rPr>
  </w:style>
  <w:style w:type="paragraph" w:customStyle="1" w:styleId="33">
    <w:name w:val="TOC3"/>
    <w:basedOn w:val="1"/>
    <w:next w:val="1"/>
    <w:qFormat/>
    <w:uiPriority w:val="0"/>
    <w:pPr>
      <w:suppressAutoHyphens/>
      <w:ind w:left="840" w:leftChars="400"/>
      <w:textAlignment w:val="baseline"/>
    </w:pPr>
    <w:rPr>
      <w:rFonts w:ascii="Times New Roman" w:hAnsi="Times New Roman" w:cs="黑体"/>
      <w:color w:val="000000"/>
    </w:rPr>
  </w:style>
  <w:style w:type="character" w:customStyle="1" w:styleId="34">
    <w:name w:val="批注文字 字符"/>
    <w:basedOn w:val="17"/>
    <w:link w:val="5"/>
    <w:qFormat/>
    <w:uiPriority w:val="99"/>
    <w:rPr>
      <w:rFonts w:ascii="Calibri" w:hAnsi="Calibri" w:cs="宋体"/>
      <w:kern w:val="2"/>
      <w:sz w:val="21"/>
      <w:szCs w:val="24"/>
    </w:rPr>
  </w:style>
  <w:style w:type="character" w:customStyle="1" w:styleId="35">
    <w:name w:val="批注主题 字符"/>
    <w:basedOn w:val="34"/>
    <w:link w:val="14"/>
    <w:semiHidden/>
    <w:qFormat/>
    <w:uiPriority w:val="99"/>
    <w:rPr>
      <w:rFonts w:ascii="Calibri" w:hAnsi="Calibri" w:cs="宋体"/>
      <w:b/>
      <w:bCs/>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18</Pages>
  <Words>1394</Words>
  <Characters>7952</Characters>
  <Lines>66</Lines>
  <Paragraphs>18</Paragraphs>
  <TotalTime>35</TotalTime>
  <ScaleCrop>false</ScaleCrop>
  <LinksUpToDate>false</LinksUpToDate>
  <CharactersWithSpaces>9328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ZYC</dc:creator>
  <cp:lastModifiedBy>lenovo</cp:lastModifiedBy>
  <cp:lastPrinted>2018-05-31T00:25:00Z</cp:lastPrinted>
  <dcterms:modified xsi:type="dcterms:W3CDTF">2024-09-18T09:51:38Z</dcterms:modified>
  <cp:revision>1094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7D8E8E35454C4F819905AE3022302EB0_13</vt:lpwstr>
  </property>
</Properties>
</file>