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lang w:eastAsia="zh-CN"/>
        </w:rPr>
      </w:pPr>
      <w:bookmarkStart w:id="0" w:name="_GoBack"/>
      <w:r>
        <w:rPr>
          <w:rFonts w:hint="eastAsia" w:ascii="微软雅黑" w:hAnsi="微软雅黑" w:eastAsia="微软雅黑" w:cs="微软雅黑"/>
          <w:sz w:val="32"/>
          <w:szCs w:val="32"/>
          <w:lang w:eastAsia="zh-CN"/>
        </w:rPr>
        <w:t>北京市丰台区财政局责任清单</w:t>
      </w:r>
    </w:p>
    <w:bookmarkEnd w:id="0"/>
    <w:tbl>
      <w:tblPr>
        <w:tblStyle w:val="2"/>
        <w:tblW w:w="8333" w:type="dxa"/>
        <w:tblInd w:w="-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
        <w:gridCol w:w="536"/>
        <w:gridCol w:w="157"/>
        <w:gridCol w:w="1217"/>
        <w:gridCol w:w="6406"/>
        <w:gridCol w:w="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11" w:type="dxa"/>
        </w:trPr>
        <w:tc>
          <w:tcPr>
            <w:tcW w:w="8322" w:type="dxa"/>
            <w:gridSpan w:val="5"/>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b/>
                <w:bCs/>
                <w:i w:val="0"/>
                <w:iCs w:val="0"/>
                <w:kern w:val="0"/>
                <w:sz w:val="24"/>
                <w:szCs w:val="24"/>
              </w:rPr>
              <w:t>一、行政许可行政职权运行责任</w:t>
            </w:r>
            <w:r>
              <w:rPr>
                <w:rFonts w:hint="eastAsia" w:ascii="微软雅黑" w:hAnsi="微软雅黑" w:eastAsia="微软雅黑" w:cs="微软雅黑"/>
                <w:b/>
                <w:bCs/>
                <w:i w:val="0"/>
                <w:iCs w:val="0"/>
                <w:kern w:val="0"/>
                <w:sz w:val="24"/>
                <w:szCs w:val="24"/>
                <w:lang w:eastAsia="zh-CN"/>
              </w:rPr>
              <w:t>清单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序号</w:t>
            </w:r>
          </w:p>
        </w:tc>
        <w:tc>
          <w:tcPr>
            <w:tcW w:w="1374"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运行环节</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责任事项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374"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（一）受理</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接收申请人提交的材料。若申请人提交的申请材料不齐全、不符合法定形式，应当一次性告知申请人必须补正的全部内容。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2</w:t>
            </w:r>
          </w:p>
        </w:tc>
        <w:tc>
          <w:tcPr>
            <w:tcW w:w="1374"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依法说明不受理行政许可申请或者不予行政许可的理由。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Height w:val="974" w:hRule="atLeast"/>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3</w:t>
            </w:r>
          </w:p>
        </w:tc>
        <w:tc>
          <w:tcPr>
            <w:tcW w:w="1374"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b/>
                <w:bCs/>
                <w:kern w:val="0"/>
                <w:sz w:val="24"/>
                <w:szCs w:val="24"/>
              </w:rPr>
              <w:t>（二）审查</w:t>
            </w:r>
            <w:r>
              <w:rPr>
                <w:rFonts w:hint="eastAsia" w:ascii="微软雅黑" w:hAnsi="微软雅黑" w:eastAsia="微软雅黑" w:cs="微软雅黑"/>
                <w:b/>
                <w:bCs/>
                <w:kern w:val="0"/>
                <w:sz w:val="24"/>
                <w:szCs w:val="24"/>
                <w:lang w:val="en-US" w:eastAsia="zh-CN"/>
              </w:rPr>
              <w:t>(审核)</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申请人提交的申请材料齐全、符合法定形式，能够当场作出决定的，当场作出书面的行政许可决定。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4</w:t>
            </w:r>
          </w:p>
        </w:tc>
        <w:tc>
          <w:tcPr>
            <w:tcW w:w="1374"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b/>
                <w:bCs/>
                <w:kern w:val="0"/>
                <w:sz w:val="24"/>
                <w:szCs w:val="24"/>
              </w:rPr>
              <w:t>（三）决定</w:t>
            </w:r>
            <w:r>
              <w:rPr>
                <w:rFonts w:hint="eastAsia" w:ascii="微软雅黑" w:hAnsi="微软雅黑" w:eastAsia="微软雅黑" w:cs="微软雅黑"/>
                <w:b/>
                <w:bCs/>
                <w:kern w:val="0"/>
                <w:sz w:val="24"/>
                <w:szCs w:val="24"/>
                <w:lang w:eastAsia="zh-CN"/>
              </w:rPr>
              <w:t>（审批）</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对符合法定条件的申请人应当在法定职权范围和期限内尽快作出准予行政许可的决定。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5</w:t>
            </w:r>
          </w:p>
        </w:tc>
        <w:tc>
          <w:tcPr>
            <w:tcW w:w="1374"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依法作出不予行政许可的书面决定的，应当说明理由，并告知申请人享有依法申请行政复议或者提起行政诉讼的权利。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6</w:t>
            </w:r>
          </w:p>
        </w:tc>
        <w:tc>
          <w:tcPr>
            <w:tcW w:w="1374"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作出的准予行政许可决定，应当予以公开，公众有权查阅。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7</w:t>
            </w:r>
          </w:p>
        </w:tc>
        <w:tc>
          <w:tcPr>
            <w:tcW w:w="1374"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（四）送达</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送达行政执法文书应当有送达回证，受送达人在送达回证上的签收日期为送达日期。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8</w:t>
            </w:r>
          </w:p>
        </w:tc>
        <w:tc>
          <w:tcPr>
            <w:tcW w:w="1374" w:type="dxa"/>
            <w:gridSpan w:val="2"/>
            <w:vMerge w:val="restart"/>
            <w:tcBorders>
              <w:top w:val="outset" w:color="auto" w:sz="6" w:space="0"/>
              <w:left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（五）事后监管</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建立健全监督制度，通过核查反映被许可人从事行政许可事项</w:t>
            </w:r>
            <w:r>
              <w:rPr>
                <w:rFonts w:hint="eastAsia" w:ascii="微软雅黑" w:hAnsi="微软雅黑" w:eastAsia="微软雅黑" w:cs="微软雅黑"/>
                <w:kern w:val="0"/>
                <w:sz w:val="24"/>
                <w:szCs w:val="24"/>
                <w:lang w:eastAsia="zh-CN"/>
              </w:rPr>
              <w:t>告知承诺</w:t>
            </w:r>
            <w:r>
              <w:rPr>
                <w:rFonts w:hint="eastAsia" w:ascii="微软雅黑" w:hAnsi="微软雅黑" w:eastAsia="微软雅黑" w:cs="微软雅黑"/>
                <w:kern w:val="0"/>
                <w:sz w:val="24"/>
                <w:szCs w:val="24"/>
              </w:rPr>
              <w:t>情况的有关材料，履行监督责任。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9</w:t>
            </w:r>
          </w:p>
        </w:tc>
        <w:tc>
          <w:tcPr>
            <w:tcW w:w="1374" w:type="dxa"/>
            <w:gridSpan w:val="2"/>
            <w:vMerge w:val="continue"/>
            <w:tcBorders>
              <w:left w:val="outset" w:color="auto" w:sz="6" w:space="0"/>
              <w:right w:val="outset" w:color="auto" w:sz="6" w:space="0"/>
            </w:tcBorders>
            <w:noWrap w:val="0"/>
            <w:vAlign w:val="center"/>
          </w:tcPr>
          <w:p>
            <w:pPr>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建立双随机抽查制度，对被许可人</w:t>
            </w:r>
            <w:r>
              <w:rPr>
                <w:rFonts w:hint="eastAsia" w:ascii="微软雅黑" w:hAnsi="微软雅黑" w:eastAsia="微软雅黑" w:cs="微软雅黑"/>
                <w:kern w:val="0"/>
                <w:sz w:val="24"/>
                <w:szCs w:val="24"/>
                <w:lang w:eastAsia="zh-CN"/>
              </w:rPr>
              <w:t>告知承诺</w:t>
            </w:r>
            <w:r>
              <w:rPr>
                <w:rFonts w:hint="eastAsia" w:ascii="微软雅黑" w:hAnsi="微软雅黑" w:eastAsia="微软雅黑" w:cs="微软雅黑"/>
                <w:kern w:val="0"/>
                <w:sz w:val="24"/>
                <w:szCs w:val="24"/>
              </w:rPr>
              <w:t>情况</w:t>
            </w:r>
            <w:r>
              <w:rPr>
                <w:rFonts w:hint="eastAsia" w:ascii="微软雅黑" w:hAnsi="微软雅黑" w:eastAsia="微软雅黑" w:cs="微软雅黑"/>
                <w:kern w:val="0"/>
                <w:sz w:val="24"/>
                <w:szCs w:val="24"/>
                <w:lang w:eastAsia="zh-CN"/>
              </w:rPr>
              <w:t>监督检查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10</w:t>
            </w:r>
          </w:p>
        </w:tc>
        <w:tc>
          <w:tcPr>
            <w:tcW w:w="1374" w:type="dxa"/>
            <w:gridSpan w:val="2"/>
            <w:vMerge w:val="continue"/>
            <w:tcBorders>
              <w:left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实施监督检查时，应当将监督检查的情况和处理结果予以记录，由监督检查人员签字后归档。公众有权依法查阅监督检查记录。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11</w:t>
            </w:r>
          </w:p>
        </w:tc>
        <w:tc>
          <w:tcPr>
            <w:tcW w:w="1374" w:type="dxa"/>
            <w:gridSpan w:val="2"/>
            <w:vMerge w:val="continue"/>
            <w:tcBorders>
              <w:left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实施监督检查，不得妨碍被许可人正常的生产经营活动，不得索取或收受被许可人的财物，不得谋取其他利益。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Height w:val="630" w:hRule="atLeast"/>
        </w:trPr>
        <w:tc>
          <w:tcPr>
            <w:tcW w:w="8322"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36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lang w:eastAsia="zh-CN"/>
              </w:rPr>
              <w:t>二</w:t>
            </w:r>
            <w:r>
              <w:rPr>
                <w:rFonts w:hint="eastAsia" w:ascii="微软雅黑" w:hAnsi="微软雅黑" w:eastAsia="微软雅黑" w:cs="微软雅黑"/>
                <w:b/>
                <w:bCs/>
                <w:kern w:val="0"/>
                <w:sz w:val="24"/>
                <w:szCs w:val="24"/>
              </w:rPr>
              <w:t>、行政确认行政职权运行责任清单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序号</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运行环节</w:t>
            </w:r>
          </w:p>
        </w:tc>
        <w:tc>
          <w:tcPr>
            <w:tcW w:w="6412" w:type="dxa"/>
            <w:gridSpan w:val="2"/>
            <w:tcBorders>
              <w:top w:val="outset" w:color="auto" w:sz="6" w:space="0"/>
              <w:left w:val="single" w:color="auto" w:sz="4"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责任事项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single" w:color="auto" w:sz="4"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374" w:type="dxa"/>
            <w:gridSpan w:val="2"/>
            <w:vMerge w:val="restart"/>
            <w:tcBorders>
              <w:top w:val="single" w:color="auto" w:sz="4" w:space="0"/>
              <w:left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（一）受理</w:t>
            </w:r>
          </w:p>
        </w:tc>
        <w:tc>
          <w:tcPr>
            <w:tcW w:w="6412" w:type="dxa"/>
            <w:gridSpan w:val="2"/>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对符合确认条件的，（承诺期限）</w:t>
            </w:r>
            <w:r>
              <w:rPr>
                <w:rFonts w:hint="eastAsia" w:ascii="微软雅黑" w:hAnsi="微软雅黑" w:eastAsia="微软雅黑" w:cs="微软雅黑"/>
                <w:kern w:val="0"/>
                <w:sz w:val="24"/>
                <w:szCs w:val="24"/>
                <w:lang w:val="en-US" w:eastAsia="zh-CN"/>
              </w:rPr>
              <w:t>内</w:t>
            </w:r>
            <w:r>
              <w:rPr>
                <w:rFonts w:hint="eastAsia" w:ascii="微软雅黑" w:hAnsi="微软雅黑" w:eastAsia="微软雅黑" w:cs="微软雅黑"/>
                <w:kern w:val="0"/>
                <w:sz w:val="24"/>
                <w:szCs w:val="24"/>
              </w:rPr>
              <w:t>受理。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1374" w:type="dxa"/>
            <w:gridSpan w:val="2"/>
            <w:vMerge w:val="continue"/>
            <w:tcBorders>
              <w:left w:val="outset" w:color="auto" w:sz="6" w:space="0"/>
              <w:bottom w:val="single" w:color="auto" w:sz="4" w:space="0"/>
              <w:right w:val="outset" w:color="auto" w:sz="6"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outset" w:color="auto" w:sz="6" w:space="0"/>
              <w:left w:val="outset" w:color="auto" w:sz="6" w:space="0"/>
              <w:bottom w:val="single" w:color="auto" w:sz="4" w:space="0"/>
              <w:right w:val="outset" w:color="auto" w:sz="6"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申请材料不齐全或者不符合法定形式的，应当一次性告知申请人需要补正的全部内容和合理的补正期限。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w:t>
            </w:r>
          </w:p>
        </w:tc>
        <w:tc>
          <w:tcPr>
            <w:tcW w:w="13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（二）确认</w:t>
            </w:r>
          </w:p>
        </w:tc>
        <w:tc>
          <w:tcPr>
            <w:tcW w:w="64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在法定期限（承诺期限）内完成确认。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w:t>
            </w:r>
          </w:p>
        </w:tc>
        <w:tc>
          <w:tcPr>
            <w:tcW w:w="13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严格按照</w:t>
            </w:r>
            <w:r>
              <w:rPr>
                <w:rFonts w:hint="eastAsia" w:ascii="微软雅黑" w:hAnsi="微软雅黑" w:eastAsia="微软雅黑" w:cs="微软雅黑"/>
                <w:kern w:val="0"/>
                <w:sz w:val="24"/>
                <w:szCs w:val="24"/>
                <w:lang w:eastAsia="zh-CN"/>
              </w:rPr>
              <w:t>相关文件</w:t>
            </w:r>
            <w:r>
              <w:rPr>
                <w:rFonts w:hint="eastAsia" w:ascii="微软雅黑" w:hAnsi="微软雅黑" w:eastAsia="微软雅黑" w:cs="微软雅黑"/>
                <w:kern w:val="0"/>
                <w:sz w:val="24"/>
                <w:szCs w:val="24"/>
              </w:rPr>
              <w:t>规定进行研究确认，不得提高确认标准、扩大确认范围等。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w:t>
            </w:r>
          </w:p>
        </w:tc>
        <w:tc>
          <w:tcPr>
            <w:tcW w:w="13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kern w:val="0"/>
                <w:sz w:val="24"/>
                <w:szCs w:val="24"/>
              </w:rPr>
            </w:pPr>
          </w:p>
        </w:tc>
        <w:tc>
          <w:tcPr>
            <w:tcW w:w="64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按照要求以书面形式作出决定。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Pr>
        <w:tc>
          <w:tcPr>
            <w:tcW w:w="536"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7</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（三）送达</w:t>
            </w:r>
          </w:p>
        </w:tc>
        <w:tc>
          <w:tcPr>
            <w:tcW w:w="64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经核准后会签税务部门，在网站上公布确认名单。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11" w:type="dxa"/>
          <w:trHeight w:val="488" w:hRule="atLeast"/>
        </w:trPr>
        <w:tc>
          <w:tcPr>
            <w:tcW w:w="8322" w:type="dxa"/>
            <w:gridSpan w:val="5"/>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kern w:val="0"/>
                <w:sz w:val="24"/>
                <w:szCs w:val="24"/>
                <w:lang w:val="en-US" w:eastAsia="zh-CN"/>
              </w:rPr>
              <w:t>三、政府采购供应商投诉受理责任清单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lang w:val="en-US" w:eastAsia="zh-CN"/>
              </w:rPr>
              <w:t>序号</w:t>
            </w:r>
          </w:p>
        </w:tc>
        <w:tc>
          <w:tcPr>
            <w:tcW w:w="1217"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lang w:val="en-US" w:eastAsia="zh-CN"/>
              </w:rPr>
              <w:t>运行环节</w:t>
            </w:r>
          </w:p>
        </w:tc>
        <w:tc>
          <w:tcPr>
            <w:tcW w:w="6406"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val="0"/>
                <w:bCs w:val="0"/>
                <w:kern w:val="0"/>
                <w:sz w:val="24"/>
                <w:szCs w:val="24"/>
              </w:rPr>
            </w:pPr>
            <w:r>
              <w:rPr>
                <w:rFonts w:hint="eastAsia" w:ascii="微软雅黑" w:hAnsi="微软雅黑" w:eastAsia="微软雅黑" w:cs="微软雅黑"/>
                <w:b w:val="0"/>
                <w:bCs w:val="0"/>
                <w:kern w:val="0"/>
                <w:sz w:val="24"/>
                <w:szCs w:val="24"/>
                <w:lang w:val="en-US" w:eastAsia="zh-CN"/>
              </w:rPr>
              <w:t>责任事项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lang w:val="en-US" w:eastAsia="zh-CN"/>
              </w:rPr>
              <w:t>（一）受理</w:t>
            </w:r>
          </w:p>
        </w:tc>
        <w:tc>
          <w:tcPr>
            <w:tcW w:w="6406"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投诉书内容不符合规定的，应当在收到投诉书5个工作日内一次性书面通知投诉人补正。补正通知应当载明需要补正的事项和合理的补正期限。未按照补正期限进行补正或者补正后仍不符合规定的，不予受理。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tcMar>
              <w:top w:w="15" w:type="dxa"/>
              <w:left w:w="15" w:type="dxa"/>
              <w:right w:w="15" w:type="dxa"/>
            </w:tcMar>
            <w:vAlign w:val="center"/>
          </w:tcPr>
          <w:p>
            <w:pPr>
              <w:rPr>
                <w:rFonts w:hint="eastAsia" w:ascii="微软雅黑" w:hAnsi="微软雅黑" w:eastAsia="微软雅黑" w:cs="微软雅黑"/>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tcMar>
              <w:top w:w="15" w:type="dxa"/>
              <w:left w:w="15" w:type="dxa"/>
              <w:right w:w="15" w:type="dxa"/>
            </w:tcMar>
            <w:vAlign w:val="center"/>
          </w:tcPr>
          <w:p>
            <w:pPr>
              <w:rPr>
                <w:rFonts w:hint="eastAsia" w:ascii="微软雅黑" w:hAnsi="微软雅黑" w:eastAsia="微软雅黑" w:cs="微软雅黑"/>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投诉不符合规定条件的，应当在3个工作日内书面告知投诉人不予受理，并说明理由。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tcMar>
              <w:top w:w="15" w:type="dxa"/>
              <w:left w:w="15" w:type="dxa"/>
              <w:right w:w="15" w:type="dxa"/>
            </w:tcMar>
            <w:vAlign w:val="center"/>
          </w:tcPr>
          <w:p>
            <w:pPr>
              <w:rPr>
                <w:rFonts w:hint="eastAsia" w:ascii="微软雅黑" w:hAnsi="微软雅黑" w:eastAsia="微软雅黑" w:cs="微软雅黑"/>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w:t>
            </w: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restart"/>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投诉不属于财政部门管辖的，应当在3个工作日内书面告知投诉人向有管辖权的部门提起投诉。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4</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lang w:val="en-US" w:eastAsia="zh-CN"/>
              </w:rPr>
              <w:t>（二）调查</w:t>
            </w:r>
          </w:p>
        </w:tc>
        <w:tc>
          <w:tcPr>
            <w:tcW w:w="6406" w:type="dxa"/>
            <w:vMerge w:val="restart"/>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根据法律、法规规定或者职责权限，委托相关单位或者第三方开展调查取证、检验、检测、鉴定。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restart"/>
            <w:shd w:val="clear" w:color="auto" w:fill="auto"/>
            <w:noWrap/>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质证应当通知相关当事人到场，并制作质证笔录。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p>
        </w:tc>
        <w:tc>
          <w:tcPr>
            <w:tcW w:w="6406" w:type="dxa"/>
            <w:vMerge w:val="continue"/>
            <w:shd w:val="clear" w:color="auto" w:fill="auto"/>
            <w:noWrap/>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6</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r>
              <w:rPr>
                <w:rFonts w:hint="eastAsia" w:ascii="微软雅黑" w:hAnsi="微软雅黑" w:eastAsia="微软雅黑" w:cs="微软雅黑"/>
                <w:b/>
                <w:bCs/>
                <w:kern w:val="0"/>
                <w:sz w:val="24"/>
                <w:szCs w:val="24"/>
                <w:lang w:val="en-US" w:eastAsia="zh-CN"/>
              </w:rPr>
              <w:t>（三）决定</w:t>
            </w:r>
          </w:p>
        </w:tc>
        <w:tc>
          <w:tcPr>
            <w:tcW w:w="6406" w:type="dxa"/>
            <w:vMerge w:val="restart"/>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自收到投诉之日起30个工作日内，对投诉事项作出处理决定。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p>
        </w:tc>
        <w:tc>
          <w:tcPr>
            <w:tcW w:w="6406" w:type="dxa"/>
            <w:vMerge w:val="continue"/>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7</w:t>
            </w: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p>
        </w:tc>
        <w:tc>
          <w:tcPr>
            <w:tcW w:w="6406" w:type="dxa"/>
            <w:vMerge w:val="restart"/>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作出处理决定，应当制作投诉处理决定书，并加盖公章。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p>
        </w:tc>
        <w:tc>
          <w:tcPr>
            <w:tcW w:w="6406" w:type="dxa"/>
            <w:vMerge w:val="continue"/>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r>
              <w:rPr>
                <w:rFonts w:hint="eastAsia" w:ascii="微软雅黑" w:hAnsi="微软雅黑" w:eastAsia="微软雅黑" w:cs="微软雅黑"/>
                <w:b/>
                <w:bCs/>
                <w:kern w:val="0"/>
                <w:sz w:val="24"/>
                <w:szCs w:val="24"/>
                <w:lang w:val="en-US" w:eastAsia="zh-CN"/>
              </w:rPr>
              <w:t>（四）送达</w:t>
            </w:r>
          </w:p>
        </w:tc>
        <w:tc>
          <w:tcPr>
            <w:tcW w:w="6406" w:type="dxa"/>
            <w:vMerge w:val="restart"/>
            <w:shd w:val="clear" w:color="auto" w:fill="auto"/>
            <w:noWrap/>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将投诉处理决定书送达投诉人和与投诉事项有关的当事人。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p>
        </w:tc>
        <w:tc>
          <w:tcPr>
            <w:tcW w:w="6406" w:type="dxa"/>
            <w:vMerge w:val="continue"/>
            <w:shd w:val="clear" w:color="auto" w:fill="auto"/>
            <w:noWrap/>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lang w:val="en-US" w:eastAsia="zh-CN"/>
              </w:rPr>
            </w:pPr>
            <w:r>
              <w:rPr>
                <w:rFonts w:hint="eastAsia" w:ascii="微软雅黑" w:hAnsi="微软雅黑" w:eastAsia="微软雅黑" w:cs="微软雅黑"/>
                <w:b/>
                <w:bCs/>
                <w:kern w:val="0"/>
                <w:sz w:val="24"/>
                <w:szCs w:val="24"/>
                <w:lang w:val="en-US" w:eastAsia="zh-CN"/>
              </w:rPr>
              <w:t>（五）公告</w:t>
            </w:r>
          </w:p>
        </w:tc>
        <w:tc>
          <w:tcPr>
            <w:tcW w:w="6406" w:type="dxa"/>
            <w:vMerge w:val="restart"/>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投诉处理结果在省级以上财政部门指定的政府采购信息发布媒体上公告。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1217" w:type="dxa"/>
            <w:vMerge w:val="continue"/>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p>
        </w:tc>
        <w:tc>
          <w:tcPr>
            <w:tcW w:w="6406" w:type="dxa"/>
            <w:vMerge w:val="continue"/>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8327" w:type="dxa"/>
            <w:gridSpan w:val="5"/>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b/>
                <w:bCs/>
                <w:kern w:val="0"/>
                <w:sz w:val="24"/>
                <w:szCs w:val="24"/>
                <w:lang w:eastAsia="zh-CN"/>
              </w:rPr>
              <w:t>四、</w:t>
            </w:r>
            <w:r>
              <w:rPr>
                <w:rFonts w:hint="eastAsia" w:ascii="微软雅黑" w:hAnsi="微软雅黑" w:eastAsia="微软雅黑" w:cs="微软雅黑"/>
                <w:b/>
                <w:bCs/>
                <w:kern w:val="0"/>
                <w:sz w:val="24"/>
                <w:szCs w:val="24"/>
              </w:rPr>
              <w:t>行政检查类行政职权运行通用责任清单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序号</w:t>
            </w:r>
          </w:p>
        </w:tc>
        <w:tc>
          <w:tcPr>
            <w:tcW w:w="1217"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运行环节</w:t>
            </w:r>
          </w:p>
        </w:tc>
        <w:tc>
          <w:tcPr>
            <w:tcW w:w="6406" w:type="dxa"/>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责任事项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1</w:t>
            </w:r>
          </w:p>
        </w:tc>
        <w:tc>
          <w:tcPr>
            <w:tcW w:w="1217" w:type="dxa"/>
            <w:vMerge w:val="restart"/>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b/>
                <w:bCs/>
                <w:kern w:val="0"/>
                <w:sz w:val="24"/>
                <w:szCs w:val="24"/>
              </w:rPr>
              <w:t>（一）制定方案</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实施检查前应当依法制定含有正当理由、事项和内容的检查方案。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2</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同一行政机关的多个内设机构对同一当事人不同事项的行政检查，能够合并检查的应当合并检查。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lang w:val="en-US" w:eastAsia="zh-CN"/>
              </w:rPr>
              <w:t>3</w:t>
            </w:r>
          </w:p>
        </w:tc>
        <w:tc>
          <w:tcPr>
            <w:tcW w:w="1217" w:type="dxa"/>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b/>
                <w:bCs/>
                <w:kern w:val="0"/>
                <w:sz w:val="24"/>
                <w:szCs w:val="24"/>
                <w:lang w:eastAsia="zh-CN"/>
              </w:rPr>
              <w:t>（二）下达检查通知书</w:t>
            </w:r>
          </w:p>
        </w:tc>
        <w:tc>
          <w:tcPr>
            <w:tcW w:w="6406" w:type="dxa"/>
            <w:shd w:val="clear" w:color="auto" w:fill="auto"/>
            <w:tcMar>
              <w:top w:w="15" w:type="dxa"/>
              <w:left w:w="15" w:type="dxa"/>
              <w:right w:w="15" w:type="dxa"/>
            </w:tcMar>
            <w:vAlign w:val="center"/>
          </w:tcPr>
          <w:p>
            <w:pPr>
              <w:snapToGrid w:val="0"/>
              <w:spacing w:line="540" w:lineRule="exac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sz w:val="24"/>
                <w:szCs w:val="24"/>
              </w:rPr>
              <w:t>应于3个工作日前向检查对象送达财政检查通知书。可能对检查工作有不利影响时，经批准，检查通知书可在实施财政检查前适当时间下达。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4</w:t>
            </w:r>
          </w:p>
        </w:tc>
        <w:tc>
          <w:tcPr>
            <w:tcW w:w="1217" w:type="dxa"/>
            <w:vMerge w:val="restart"/>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b/>
                <w:bCs/>
                <w:kern w:val="0"/>
                <w:sz w:val="24"/>
                <w:szCs w:val="24"/>
              </w:rPr>
              <w:t>（</w:t>
            </w:r>
            <w:r>
              <w:rPr>
                <w:rFonts w:hint="eastAsia" w:ascii="微软雅黑" w:hAnsi="微软雅黑" w:eastAsia="微软雅黑" w:cs="微软雅黑"/>
                <w:b/>
                <w:bCs/>
                <w:kern w:val="0"/>
                <w:sz w:val="24"/>
                <w:szCs w:val="24"/>
                <w:lang w:eastAsia="zh-CN"/>
              </w:rPr>
              <w:t>三</w:t>
            </w:r>
            <w:r>
              <w:rPr>
                <w:rFonts w:hint="eastAsia" w:ascii="微软雅黑" w:hAnsi="微软雅黑" w:eastAsia="微软雅黑" w:cs="微软雅黑"/>
                <w:b/>
                <w:bCs/>
                <w:kern w:val="0"/>
                <w:sz w:val="24"/>
                <w:szCs w:val="24"/>
              </w:rPr>
              <w:t>）实施检查</w:t>
            </w: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依照</w:t>
            </w:r>
            <w:r>
              <w:rPr>
                <w:rFonts w:hint="eastAsia" w:ascii="微软雅黑" w:hAnsi="微软雅黑" w:eastAsia="微软雅黑" w:cs="微软雅黑"/>
                <w:kern w:val="0"/>
                <w:sz w:val="24"/>
                <w:szCs w:val="24"/>
                <w:lang w:eastAsia="zh-CN"/>
              </w:rPr>
              <w:t>检查通知书</w:t>
            </w:r>
            <w:r>
              <w:rPr>
                <w:rFonts w:hint="eastAsia" w:ascii="微软雅黑" w:hAnsi="微软雅黑" w:eastAsia="微软雅黑" w:cs="微软雅黑"/>
                <w:kern w:val="0"/>
                <w:sz w:val="24"/>
                <w:szCs w:val="24"/>
              </w:rPr>
              <w:t>规定的时限、范围开展检查。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5</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实施检查时应当出示执法证件。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6</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依法查阅资料、查看现场、听取当事人陈述申辩并取证。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7</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实施检查应当不影响当事人的正常生产经营活动与生活。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8</w:t>
            </w:r>
          </w:p>
        </w:tc>
        <w:tc>
          <w:tcPr>
            <w:tcW w:w="1217" w:type="dxa"/>
            <w:vMerge w:val="restart"/>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sz w:val="24"/>
                <w:szCs w:val="24"/>
              </w:rPr>
              <w:t>检查组应当就检查工作的基本情况、检查对象存在的问题等事项书面征求</w:t>
            </w:r>
            <w:r>
              <w:rPr>
                <w:rFonts w:hint="eastAsia" w:ascii="微软雅黑" w:hAnsi="微软雅黑" w:eastAsia="微软雅黑" w:cs="微软雅黑"/>
                <w:kern w:val="0"/>
                <w:sz w:val="24"/>
                <w:szCs w:val="24"/>
              </w:rPr>
              <w:t>当事人</w:t>
            </w:r>
            <w:r>
              <w:rPr>
                <w:rFonts w:hint="eastAsia" w:ascii="微软雅黑" w:hAnsi="微软雅黑" w:eastAsia="微软雅黑" w:cs="微软雅黑"/>
                <w:sz w:val="24"/>
                <w:szCs w:val="24"/>
              </w:rPr>
              <w:t>的意见</w:t>
            </w:r>
            <w:r>
              <w:rPr>
                <w:rFonts w:hint="eastAsia" w:ascii="微软雅黑" w:hAnsi="微软雅黑" w:eastAsia="微软雅黑" w:cs="微软雅黑"/>
                <w:sz w:val="24"/>
                <w:szCs w:val="24"/>
                <w:lang w:eastAsia="zh-CN"/>
              </w:rPr>
              <w:t>。</w:t>
            </w:r>
            <w:r>
              <w:rPr>
                <w:rFonts w:hint="eastAsia" w:ascii="微软雅黑" w:hAnsi="微软雅黑" w:eastAsia="微软雅黑" w:cs="微软雅黑"/>
                <w:kern w:val="0"/>
                <w:sz w:val="24"/>
                <w:szCs w:val="24"/>
              </w:rPr>
              <w:t>依法告知当事人检查中发现的违法行为及处理意见，对不服处理意见的，可以依法申请行政复议或提起行政诉讼。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lang w:val="en-US" w:eastAsia="zh-CN"/>
              </w:rPr>
              <w:t>9</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对检查中发现的违法行为应当予以制止和纠正。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lang w:val="en-US"/>
              </w:rPr>
            </w:pPr>
            <w:r>
              <w:rPr>
                <w:rFonts w:hint="eastAsia" w:ascii="微软雅黑" w:hAnsi="微软雅黑" w:eastAsia="微软雅黑" w:cs="微软雅黑"/>
                <w:kern w:val="0"/>
                <w:sz w:val="24"/>
                <w:szCs w:val="24"/>
                <w:lang w:val="en-US" w:eastAsia="zh-CN"/>
              </w:rPr>
              <w:t>10</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实施行政检查中</w:t>
            </w:r>
            <w:r>
              <w:rPr>
                <w:rFonts w:hint="eastAsia" w:ascii="微软雅黑" w:hAnsi="微软雅黑" w:eastAsia="微软雅黑" w:cs="微软雅黑"/>
                <w:kern w:val="0"/>
                <w:sz w:val="24"/>
                <w:szCs w:val="24"/>
                <w:lang w:eastAsia="zh-CN"/>
              </w:rPr>
              <w:t>应严格遵守检查纪律。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rPr>
              <w:t>1</w:t>
            </w:r>
            <w:r>
              <w:rPr>
                <w:rFonts w:hint="eastAsia" w:ascii="微软雅黑" w:hAnsi="微软雅黑" w:eastAsia="微软雅黑" w:cs="微软雅黑"/>
                <w:kern w:val="0"/>
                <w:sz w:val="24"/>
                <w:szCs w:val="24"/>
                <w:lang w:val="en-US" w:eastAsia="zh-CN"/>
              </w:rPr>
              <w:t>1</w:t>
            </w:r>
          </w:p>
        </w:tc>
        <w:tc>
          <w:tcPr>
            <w:tcW w:w="1217" w:type="dxa"/>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b/>
                <w:bCs/>
                <w:kern w:val="0"/>
                <w:sz w:val="24"/>
                <w:szCs w:val="24"/>
              </w:rPr>
              <w:t>（</w:t>
            </w:r>
            <w:r>
              <w:rPr>
                <w:rFonts w:hint="eastAsia" w:ascii="微软雅黑" w:hAnsi="微软雅黑" w:eastAsia="微软雅黑" w:cs="微软雅黑"/>
                <w:b/>
                <w:bCs/>
                <w:kern w:val="0"/>
                <w:sz w:val="24"/>
                <w:szCs w:val="24"/>
                <w:lang w:eastAsia="zh-CN"/>
              </w:rPr>
              <w:t>四</w:t>
            </w:r>
            <w:r>
              <w:rPr>
                <w:rFonts w:hint="eastAsia" w:ascii="微软雅黑" w:hAnsi="微软雅黑" w:eastAsia="微软雅黑" w:cs="微软雅黑"/>
                <w:b/>
                <w:bCs/>
                <w:kern w:val="0"/>
                <w:sz w:val="24"/>
                <w:szCs w:val="24"/>
              </w:rPr>
              <w:t>）</w:t>
            </w:r>
            <w:r>
              <w:rPr>
                <w:rFonts w:hint="eastAsia" w:ascii="微软雅黑" w:hAnsi="微软雅黑" w:eastAsia="微软雅黑" w:cs="微软雅黑"/>
                <w:b/>
                <w:bCs/>
                <w:kern w:val="0"/>
                <w:sz w:val="24"/>
                <w:szCs w:val="24"/>
                <w:lang w:eastAsia="zh-CN"/>
              </w:rPr>
              <w:t>落实整改</w:t>
            </w: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kern w:val="0"/>
                <w:sz w:val="24"/>
                <w:szCs w:val="24"/>
                <w:lang w:eastAsia="zh-CN"/>
              </w:rPr>
              <w:t>督促当事人对检查中发现的问题及时整改</w:t>
            </w:r>
            <w:r>
              <w:rPr>
                <w:rFonts w:hint="eastAsia" w:ascii="微软雅黑" w:hAnsi="微软雅黑" w:eastAsia="微软雅黑" w:cs="微软雅黑"/>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8327" w:type="dxa"/>
            <w:gridSpan w:val="5"/>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宋体"/>
                <w:b/>
                <w:bCs/>
                <w:kern w:val="0"/>
                <w:sz w:val="24"/>
                <w:szCs w:val="24"/>
                <w:lang w:eastAsia="zh-CN"/>
              </w:rPr>
              <w:t>五、</w:t>
            </w:r>
            <w:r>
              <w:rPr>
                <w:rFonts w:hint="eastAsia" w:ascii="微软雅黑" w:hAnsi="微软雅黑" w:eastAsia="微软雅黑" w:cs="宋体"/>
                <w:b/>
                <w:bCs/>
                <w:kern w:val="0"/>
                <w:sz w:val="24"/>
                <w:szCs w:val="24"/>
              </w:rPr>
              <w:t>行政处罚类行政职权运行通用责任清单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宋体"/>
                <w:kern w:val="0"/>
                <w:sz w:val="24"/>
                <w:szCs w:val="24"/>
              </w:rPr>
              <w:t>序号</w:t>
            </w:r>
          </w:p>
        </w:tc>
        <w:tc>
          <w:tcPr>
            <w:tcW w:w="1217"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宋体"/>
                <w:kern w:val="0"/>
                <w:sz w:val="24"/>
                <w:szCs w:val="24"/>
              </w:rPr>
              <w:t>运行环节</w:t>
            </w:r>
          </w:p>
        </w:tc>
        <w:tc>
          <w:tcPr>
            <w:tcW w:w="6406" w:type="dxa"/>
            <w:shd w:val="clear" w:color="auto" w:fill="auto"/>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宋体"/>
                <w:kern w:val="0"/>
                <w:sz w:val="24"/>
                <w:szCs w:val="24"/>
              </w:rPr>
              <w:t>责任事项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217"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（一）立案</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对符合</w:t>
            </w:r>
            <w:r>
              <w:rPr>
                <w:rFonts w:hint="eastAsia" w:ascii="微软雅黑" w:hAnsi="微软雅黑" w:eastAsia="微软雅黑" w:cs="微软雅黑"/>
                <w:kern w:val="0"/>
                <w:sz w:val="24"/>
                <w:szCs w:val="24"/>
                <w:lang w:eastAsia="zh-CN"/>
              </w:rPr>
              <w:t>财政违反行为</w:t>
            </w:r>
            <w:r>
              <w:rPr>
                <w:rFonts w:hint="eastAsia" w:ascii="微软雅黑" w:hAnsi="微软雅黑" w:eastAsia="微软雅黑" w:cs="微软雅黑"/>
                <w:kern w:val="0"/>
                <w:sz w:val="24"/>
                <w:szCs w:val="24"/>
              </w:rPr>
              <w:t>立案标准的案件及时</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48小时</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rPr>
              <w:t>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（二）调查</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依据《财政检查工作办法》</w:t>
            </w:r>
            <w:r>
              <w:rPr>
                <w:rFonts w:hint="eastAsia" w:ascii="微软雅黑" w:hAnsi="微软雅黑" w:eastAsia="微软雅黑" w:cs="微软雅黑"/>
                <w:kern w:val="0"/>
                <w:sz w:val="24"/>
                <w:szCs w:val="24"/>
                <w:lang w:val="en-US" w:eastAsia="zh-CN"/>
              </w:rPr>
              <w:t>3个工作日前向被查人送达《财政检查通知书》及《送达回证》。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w:t>
            </w:r>
          </w:p>
        </w:tc>
        <w:tc>
          <w:tcPr>
            <w:tcW w:w="1217" w:type="dxa"/>
            <w:vMerge w:val="continue"/>
            <w:tcBorders/>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主动</w:t>
            </w:r>
            <w:r>
              <w:rPr>
                <w:rFonts w:hint="eastAsia" w:ascii="微软雅黑" w:hAnsi="微软雅黑" w:eastAsia="微软雅黑" w:cs="微软雅黑"/>
                <w:kern w:val="0"/>
                <w:sz w:val="24"/>
                <w:szCs w:val="24"/>
              </w:rPr>
              <w:t>出示执法证件，表明执法身份。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w:t>
            </w:r>
          </w:p>
        </w:tc>
        <w:tc>
          <w:tcPr>
            <w:tcW w:w="1217" w:type="dxa"/>
            <w:vMerge w:val="continue"/>
            <w:tcBorders/>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应当有2名以上（含2名）行政执法人员</w:t>
            </w:r>
            <w:r>
              <w:rPr>
                <w:rFonts w:hint="eastAsia" w:ascii="微软雅黑" w:hAnsi="微软雅黑" w:eastAsia="微软雅黑" w:cs="微软雅黑"/>
                <w:kern w:val="0"/>
                <w:sz w:val="24"/>
                <w:szCs w:val="24"/>
                <w:lang w:eastAsia="zh-CN"/>
              </w:rPr>
              <w:t>组成调查组</w:t>
            </w:r>
            <w:r>
              <w:rPr>
                <w:rFonts w:hint="eastAsia" w:ascii="微软雅黑" w:hAnsi="微软雅黑" w:eastAsia="微软雅黑" w:cs="微软雅黑"/>
                <w:kern w:val="0"/>
                <w:sz w:val="24"/>
                <w:szCs w:val="24"/>
              </w:rPr>
              <w:t>共同参加调查取证。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w:t>
            </w:r>
          </w:p>
        </w:tc>
        <w:tc>
          <w:tcPr>
            <w:tcW w:w="1217" w:type="dxa"/>
            <w:vMerge w:val="continue"/>
            <w:tcBorders/>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依法调查和保存证据。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6</w:t>
            </w:r>
          </w:p>
        </w:tc>
        <w:tc>
          <w:tcPr>
            <w:tcW w:w="1217" w:type="dxa"/>
            <w:vMerge w:val="continue"/>
            <w:tcBorders/>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调查取证结束后，应当于</w:t>
            </w:r>
            <w:r>
              <w:rPr>
                <w:rFonts w:hint="eastAsia" w:ascii="微软雅黑" w:hAnsi="微软雅黑" w:eastAsia="微软雅黑" w:cs="微软雅黑"/>
                <w:kern w:val="0"/>
                <w:sz w:val="24"/>
                <w:szCs w:val="24"/>
                <w:lang w:val="en-US" w:eastAsia="zh-CN"/>
              </w:rPr>
              <w:t>10个工作日</w:t>
            </w:r>
            <w:r>
              <w:rPr>
                <w:rFonts w:hint="eastAsia" w:ascii="微软雅黑" w:hAnsi="微软雅黑" w:eastAsia="微软雅黑" w:cs="微软雅黑"/>
                <w:kern w:val="0"/>
                <w:sz w:val="24"/>
                <w:szCs w:val="24"/>
                <w:lang w:eastAsia="zh-CN"/>
              </w:rPr>
              <w:t>内完成《调查情况报告》。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（三）审查</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审理案件调查报告，对案件违法事实、证据、调查取证程序、法律适用、处罚种类和幅度、当事人陈述和申辩理由等方面进行审查，提出处理意见（主要证据不足时，以适当的方式补充调查）。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确有应受行政处罚的违法行为的，根据情节轻重及具体情况，作出行政处罚决定。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9</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（四）告知</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行政机关在作出行政处罚决定之前，应当告知当事人拟作出的行政处罚内容及事实、理由、依据，并告知当事人依法享有的陈述、申辩、要求听证等权利。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依法告知当事人有要求听证的权利，当事人要求听证的，应当依法组织听证。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11</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（五）决定</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充分听取当事人的意见，对当事人提出的事实、理由和证据，应当进行复核；当事人提出的事实、理由或者证据成立的，应当采纳，不得因当事人陈述、申辩而给予更重的处罚。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12</w:t>
            </w:r>
          </w:p>
        </w:tc>
        <w:tc>
          <w:tcPr>
            <w:tcW w:w="1217" w:type="dxa"/>
            <w:vMerge w:val="continue"/>
            <w:shd w:val="clear" w:color="auto" w:fill="auto"/>
            <w:noWrap/>
            <w:tcMar>
              <w:top w:w="15" w:type="dxa"/>
              <w:left w:w="15" w:type="dxa"/>
              <w:right w:w="15" w:type="dxa"/>
            </w:tcMar>
            <w:vAlign w:val="center"/>
          </w:tcPr>
          <w:p>
            <w:pPr>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对情节复杂或者重大违法行为给予行政处罚，应当集体讨论决定。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13</w:t>
            </w:r>
          </w:p>
        </w:tc>
        <w:tc>
          <w:tcPr>
            <w:tcW w:w="1217" w:type="dxa"/>
            <w:vMerge w:val="continue"/>
            <w:shd w:val="clear" w:color="auto" w:fill="auto"/>
            <w:noWrap/>
            <w:tcMar>
              <w:top w:w="15" w:type="dxa"/>
              <w:left w:w="15" w:type="dxa"/>
              <w:right w:w="15" w:type="dxa"/>
            </w:tcMar>
            <w:vAlign w:val="center"/>
          </w:tcPr>
          <w:p>
            <w:pPr>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依法决定给予行政处罚，制作行政处罚决定书，并在处罚决定书中告知对处罚决定不服的可以依法申请行政复议或者提起行政诉讼。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14</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对当事人的同一个违法行为，不得给予两次以上罚款的行政处罚。同一个违法行为违反多个法律规范应当给予罚款处罚的，按照罚款数额高的规定处罚。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15</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实施行政处罚时，应当责令当事人改正或者限期改正违法行为。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16</w:t>
            </w:r>
          </w:p>
        </w:tc>
        <w:tc>
          <w:tcPr>
            <w:tcW w:w="1217" w:type="dxa"/>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（六）送达</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行政处罚决定书应当在宣告后当场交付当事人；当事人不在场的，行政机关应当在7日内依照民事诉讼法的有关规定，将行政处罚决定书送达当事人。                                             </w:t>
            </w:r>
          </w:p>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当事人同意并签订确认书的，行政机关可以采用</w:t>
            </w:r>
            <w:r>
              <w:rPr>
                <w:rFonts w:hint="eastAsia" w:ascii="微软雅黑" w:hAnsi="微软雅黑" w:eastAsia="微软雅黑" w:cs="微软雅黑"/>
                <w:kern w:val="0"/>
                <w:sz w:val="24"/>
                <w:szCs w:val="24"/>
                <w:lang w:eastAsia="zh-CN"/>
              </w:rPr>
              <w:t>直接、</w:t>
            </w:r>
            <w:r>
              <w:rPr>
                <w:rFonts w:hint="eastAsia" w:ascii="微软雅黑" w:hAnsi="微软雅黑" w:eastAsia="微软雅黑" w:cs="微软雅黑"/>
                <w:kern w:val="0"/>
                <w:sz w:val="24"/>
                <w:szCs w:val="24"/>
              </w:rPr>
              <w:t>传真、电子邮件等方式，将行政处罚决定书等送达当事人。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17</w:t>
            </w:r>
          </w:p>
        </w:tc>
        <w:tc>
          <w:tcPr>
            <w:tcW w:w="1217" w:type="dxa"/>
            <w:vMerge w:val="restart"/>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（七）执行</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使用法定部门制发的罚款、没收财物单据进行罚款、没收财物等处罚。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18</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对当事人的同一个违法行为，不得给予两次以上罚款的行政处罚。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19</w:t>
            </w:r>
          </w:p>
        </w:tc>
        <w:tc>
          <w:tcPr>
            <w:tcW w:w="1217" w:type="dxa"/>
            <w:vMerge w:val="continue"/>
            <w:shd w:val="clear" w:color="auto" w:fill="auto"/>
            <w:noWrap/>
            <w:tcMar>
              <w:top w:w="15" w:type="dxa"/>
              <w:left w:w="15" w:type="dxa"/>
              <w:right w:w="15" w:type="dxa"/>
            </w:tcMar>
            <w:vAlign w:val="center"/>
          </w:tcPr>
          <w:p>
            <w:pPr>
              <w:widowControl/>
              <w:jc w:val="left"/>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实施行政处罚时，应当责令当事人改正或者限期改正违法行为。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20</w:t>
            </w:r>
          </w:p>
        </w:tc>
        <w:tc>
          <w:tcPr>
            <w:tcW w:w="1217" w:type="dxa"/>
            <w:vMerge w:val="restart"/>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b/>
                <w:bCs/>
                <w:kern w:val="0"/>
                <w:sz w:val="24"/>
                <w:szCs w:val="24"/>
                <w:lang w:eastAsia="zh-CN"/>
              </w:rPr>
            </w:pPr>
            <w:r>
              <w:rPr>
                <w:rFonts w:hint="eastAsia" w:ascii="微软雅黑" w:hAnsi="微软雅黑" w:eastAsia="微软雅黑" w:cs="微软雅黑"/>
                <w:b/>
                <w:bCs/>
                <w:kern w:val="0"/>
                <w:sz w:val="24"/>
                <w:szCs w:val="24"/>
                <w:lang w:eastAsia="zh-CN"/>
              </w:rPr>
              <w:t>（八）结案</w:t>
            </w:r>
          </w:p>
        </w:tc>
        <w:tc>
          <w:tcPr>
            <w:tcW w:w="6406" w:type="dxa"/>
            <w:shd w:val="clear" w:color="auto" w:fill="auto"/>
            <w:tcMar>
              <w:top w:w="15" w:type="dxa"/>
              <w:left w:w="15" w:type="dxa"/>
              <w:right w:w="15" w:type="dxa"/>
            </w:tcMar>
            <w:vAlign w:val="center"/>
          </w:tcPr>
          <w:p>
            <w:pPr>
              <w:widowControl/>
              <w:spacing w:line="360" w:lineRule="exact"/>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案件作出不予行政处罚的决定或已执行完毕或者因法定事由无法履行需要终结案件时，应当制作《结案报告》并履行审批程序。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6" w:type="dxa"/>
          <w:trHeight w:val="270" w:hRule="atLeast"/>
        </w:trPr>
        <w:tc>
          <w:tcPr>
            <w:tcW w:w="704" w:type="dxa"/>
            <w:gridSpan w:val="3"/>
            <w:shd w:val="clear" w:color="auto" w:fill="auto"/>
            <w:noWrap/>
            <w:tcMar>
              <w:top w:w="15" w:type="dxa"/>
              <w:left w:w="15" w:type="dxa"/>
              <w:right w:w="15" w:type="dxa"/>
            </w:tcMar>
            <w:vAlign w:val="center"/>
          </w:tcPr>
          <w:p>
            <w:pPr>
              <w:widowControl/>
              <w:jc w:val="center"/>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21</w:t>
            </w:r>
          </w:p>
        </w:tc>
        <w:tc>
          <w:tcPr>
            <w:tcW w:w="1217" w:type="dxa"/>
            <w:vMerge w:val="continue"/>
            <w:tcBorders/>
            <w:shd w:val="clear" w:color="auto" w:fill="auto"/>
            <w:noWrap/>
            <w:tcMar>
              <w:top w:w="15" w:type="dxa"/>
              <w:left w:w="15" w:type="dxa"/>
              <w:right w:w="15" w:type="dxa"/>
            </w:tcMar>
            <w:vAlign w:val="center"/>
          </w:tcPr>
          <w:p>
            <w:pPr>
              <w:widowControl/>
              <w:spacing w:line="360" w:lineRule="exact"/>
              <w:jc w:val="center"/>
              <w:rPr>
                <w:rFonts w:hint="eastAsia" w:ascii="微软雅黑" w:hAnsi="微软雅黑" w:eastAsia="微软雅黑" w:cs="微软雅黑"/>
                <w:b/>
                <w:bCs/>
                <w:kern w:val="0"/>
                <w:sz w:val="24"/>
                <w:szCs w:val="24"/>
              </w:rPr>
            </w:pPr>
          </w:p>
        </w:tc>
        <w:tc>
          <w:tcPr>
            <w:tcW w:w="6406" w:type="dxa"/>
            <w:shd w:val="clear" w:color="auto" w:fill="auto"/>
            <w:tcMar>
              <w:top w:w="15" w:type="dxa"/>
              <w:left w:w="15" w:type="dxa"/>
              <w:right w:w="15" w:type="dxa"/>
            </w:tcMar>
            <w:vAlign w:val="center"/>
          </w:tcPr>
          <w:p>
            <w:pPr>
              <w:widowControl/>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结案后应及时将案件资料整理、装订成卷并按要求归档</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92A5F"/>
    <w:rsid w:val="26D32A5E"/>
    <w:rsid w:val="2D99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2021-10-19T04:01:00Z</dcterms:created>
  <dc:creator>渠涛</dc:creator>
  <cp:lastModifiedBy>渠涛</cp:lastModifiedBy>
  <dcterms:modified xsi:type="dcterms:W3CDTF">2021-10-19T06:17:41Z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