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sz w:val="36"/>
          <w:szCs w:val="36"/>
        </w:rPr>
      </w:pPr>
      <w:r>
        <w:rPr>
          <w:rFonts w:hint="eastAsia" w:ascii="华文中宋" w:hAnsi="华文中宋" w:eastAsia="华文中宋"/>
          <w:sz w:val="36"/>
          <w:szCs w:val="36"/>
          <w:lang w:eastAsia="zh-CN"/>
        </w:rPr>
        <w:t>丰台区住房和城乡建设委员会</w:t>
      </w:r>
      <w:r>
        <w:rPr>
          <w:rFonts w:hint="eastAsia" w:ascii="华文中宋" w:hAnsi="华文中宋" w:eastAsia="华文中宋"/>
          <w:sz w:val="36"/>
          <w:szCs w:val="36"/>
        </w:rPr>
        <w:t>责任清单</w:t>
      </w:r>
    </w:p>
    <w:p>
      <w:pPr>
        <w:rPr>
          <w:rFonts w:hint="eastAsia"/>
        </w:rPr>
      </w:pPr>
    </w:p>
    <w:tbl>
      <w:tblPr>
        <w:tblStyle w:val="2"/>
        <w:tblW w:w="8546" w:type="dxa"/>
        <w:tblCellSpacing w:w="0" w:type="dxa"/>
        <w:tblInd w:w="0" w:type="dxa"/>
        <w:tblLayout w:type="autofit"/>
        <w:tblCellMar>
          <w:top w:w="0" w:type="dxa"/>
          <w:left w:w="0" w:type="dxa"/>
          <w:bottom w:w="0" w:type="dxa"/>
          <w:right w:w="0" w:type="dxa"/>
        </w:tblCellMar>
      </w:tblPr>
      <w:tblGrid>
        <w:gridCol w:w="809"/>
        <w:gridCol w:w="1824"/>
        <w:gridCol w:w="5913"/>
      </w:tblGrid>
      <w:tr>
        <w:tblPrEx>
          <w:tblCellMar>
            <w:top w:w="0" w:type="dxa"/>
            <w:left w:w="0" w:type="dxa"/>
            <w:bottom w:w="0" w:type="dxa"/>
            <w:right w:w="0" w:type="dxa"/>
          </w:tblCellMar>
        </w:tblPrEx>
        <w:trPr>
          <w:trHeight w:val="750" w:hRule="atLeast"/>
          <w:tblCellSpacing w:w="0" w:type="dxa"/>
        </w:trPr>
        <w:tc>
          <w:tcPr>
            <w:tcW w:w="8546"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sz w:val="24"/>
                <w:szCs w:val="24"/>
              </w:rPr>
              <w:t>一、行政许可类行政职权运行通用责任</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50"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2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50"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21"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(一)受理</w:t>
            </w:r>
            <w:r>
              <w:rPr>
                <w:rFonts w:hint="eastAsia" w:ascii="宋体" w:hAnsi="宋体" w:eastAsia="宋体" w:cs="宋体"/>
                <w:kern w:val="0"/>
                <w:sz w:val="24"/>
                <w:szCs w:val="24"/>
              </w:rPr>
              <w:t xml:space="preserve"> </w:t>
            </w: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接收申请人提交的材料。若申请人提交的申请材料不齐全、不符合法定形式,应当一次性告知申请人必须补正的全部内容。 </w:t>
            </w:r>
          </w:p>
        </w:tc>
      </w:tr>
      <w:tr>
        <w:tblPrEx>
          <w:tblCellMar>
            <w:top w:w="0" w:type="dxa"/>
            <w:left w:w="0" w:type="dxa"/>
            <w:bottom w:w="0" w:type="dxa"/>
            <w:right w:w="0" w:type="dxa"/>
          </w:tblCellMar>
        </w:tblPrEx>
        <w:trPr>
          <w:trHeight w:val="570"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2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受理或者不予受理行政许可申请,应当出具加盖行政机关专用印章和注明日期的书面凭证。 </w:t>
            </w:r>
          </w:p>
        </w:tc>
      </w:tr>
      <w:tr>
        <w:tblPrEx>
          <w:tblCellMar>
            <w:top w:w="0" w:type="dxa"/>
            <w:left w:w="0" w:type="dxa"/>
            <w:bottom w:w="0" w:type="dxa"/>
            <w:right w:w="0" w:type="dxa"/>
          </w:tblCellMar>
        </w:tblPrEx>
        <w:trPr>
          <w:trHeight w:val="480"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2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依法说明不受理行政许可申请或者不予行政许可的理由。 </w:t>
            </w:r>
          </w:p>
        </w:tc>
      </w:tr>
      <w:tr>
        <w:tblPrEx>
          <w:tblCellMar>
            <w:top w:w="0" w:type="dxa"/>
            <w:left w:w="0" w:type="dxa"/>
            <w:bottom w:w="0" w:type="dxa"/>
            <w:right w:w="0" w:type="dxa"/>
          </w:tblCellMar>
        </w:tblPrEx>
        <w:trPr>
          <w:trHeight w:val="735"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21"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(二)审查</w:t>
            </w:r>
            <w:r>
              <w:rPr>
                <w:rFonts w:hint="eastAsia" w:ascii="宋体" w:hAnsi="宋体" w:eastAsia="宋体" w:cs="宋体"/>
                <w:kern w:val="0"/>
                <w:sz w:val="24"/>
                <w:szCs w:val="24"/>
              </w:rPr>
              <w:t xml:space="preserve"> </w:t>
            </w: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申请人提交的申请材料齐全、符合法定形式,能够当场作出决定的,当场作出书面的行政许可决定。   </w:t>
            </w:r>
          </w:p>
        </w:tc>
      </w:tr>
      <w:tr>
        <w:tblPrEx>
          <w:tblCellMar>
            <w:top w:w="0" w:type="dxa"/>
            <w:left w:w="0" w:type="dxa"/>
            <w:bottom w:w="0" w:type="dxa"/>
            <w:right w:w="0" w:type="dxa"/>
          </w:tblCellMar>
        </w:tblPrEx>
        <w:trPr>
          <w:trHeight w:val="765"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2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根据法定条件和程序,需要对申请材料的实质内容进行核实的,行政机关应当指派2名以上工作人员进行核查。 </w:t>
            </w:r>
          </w:p>
        </w:tc>
      </w:tr>
      <w:tr>
        <w:tblPrEx>
          <w:tblCellMar>
            <w:top w:w="0" w:type="dxa"/>
            <w:left w:w="0" w:type="dxa"/>
            <w:bottom w:w="0" w:type="dxa"/>
            <w:right w:w="0" w:type="dxa"/>
          </w:tblCellMar>
        </w:tblPrEx>
        <w:trPr>
          <w:trHeight w:val="510"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2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需依法举行听证的应当依法举行听证。 </w:t>
            </w:r>
          </w:p>
        </w:tc>
      </w:tr>
      <w:tr>
        <w:tblPrEx>
          <w:tblCellMar>
            <w:top w:w="0" w:type="dxa"/>
            <w:left w:w="0" w:type="dxa"/>
            <w:bottom w:w="0" w:type="dxa"/>
            <w:right w:w="0" w:type="dxa"/>
          </w:tblCellMar>
        </w:tblPrEx>
        <w:trPr>
          <w:trHeight w:val="690"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21" w:type="dxa"/>
            <w:vMerge w:val="restart"/>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(三)决定</w:t>
            </w:r>
            <w:r>
              <w:rPr>
                <w:rFonts w:hint="eastAsia" w:ascii="宋体" w:hAnsi="宋体" w:eastAsia="宋体" w:cs="宋体"/>
                <w:kern w:val="0"/>
                <w:sz w:val="24"/>
                <w:szCs w:val="24"/>
              </w:rPr>
              <w:t xml:space="preserve"> </w:t>
            </w: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对符合法定条件的申请人应</w:t>
            </w:r>
            <w:r>
              <w:rPr>
                <w:rFonts w:hint="eastAsia" w:ascii="宋体" w:hAnsi="宋体" w:eastAsia="宋体" w:cs="宋体"/>
                <w:color w:val="000000"/>
                <w:kern w:val="0"/>
                <w:sz w:val="24"/>
                <w:szCs w:val="24"/>
              </w:rPr>
              <w:t>当在法定职权范围和期限内尽快作出准予</w:t>
            </w:r>
            <w:r>
              <w:rPr>
                <w:rFonts w:hint="eastAsia" w:ascii="宋体" w:hAnsi="宋体" w:eastAsia="宋体" w:cs="宋体"/>
                <w:kern w:val="0"/>
                <w:sz w:val="24"/>
                <w:szCs w:val="24"/>
              </w:rPr>
              <w:t xml:space="preserve">行政许可的决定。 </w:t>
            </w:r>
          </w:p>
        </w:tc>
      </w:tr>
      <w:tr>
        <w:tblPrEx>
          <w:tblCellMar>
            <w:top w:w="0" w:type="dxa"/>
            <w:left w:w="0" w:type="dxa"/>
            <w:bottom w:w="0" w:type="dxa"/>
            <w:right w:w="0" w:type="dxa"/>
          </w:tblCellMar>
        </w:tblPrEx>
        <w:trPr>
          <w:trHeight w:val="750"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2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依法根据招标、拍卖结果或者考试成绩择优作出准予行政许可的决定。 </w:t>
            </w:r>
          </w:p>
        </w:tc>
      </w:tr>
      <w:tr>
        <w:tblPrEx>
          <w:tblCellMar>
            <w:top w:w="0" w:type="dxa"/>
            <w:left w:w="0" w:type="dxa"/>
            <w:bottom w:w="0" w:type="dxa"/>
            <w:right w:w="0" w:type="dxa"/>
          </w:tblCellMar>
        </w:tblPrEx>
        <w:trPr>
          <w:trHeight w:val="810"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2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依法作出不予行政许可的书面决定的,应当说明理由,并告知申请人享有依法申请行政复议或者提起行政诉讼的权利。</w:t>
            </w:r>
          </w:p>
        </w:tc>
      </w:tr>
      <w:tr>
        <w:tblPrEx>
          <w:tblCellMar>
            <w:top w:w="0" w:type="dxa"/>
            <w:left w:w="0" w:type="dxa"/>
            <w:bottom w:w="0" w:type="dxa"/>
            <w:right w:w="0" w:type="dxa"/>
          </w:tblCellMar>
        </w:tblPrEx>
        <w:trPr>
          <w:trHeight w:val="465"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10 </w:t>
            </w:r>
          </w:p>
        </w:tc>
        <w:tc>
          <w:tcPr>
            <w:tcW w:w="182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按法定项目和标准予以收费。 </w:t>
            </w:r>
          </w:p>
        </w:tc>
      </w:tr>
      <w:tr>
        <w:tblPrEx>
          <w:tblCellMar>
            <w:top w:w="0" w:type="dxa"/>
            <w:left w:w="0" w:type="dxa"/>
            <w:bottom w:w="0" w:type="dxa"/>
            <w:right w:w="0" w:type="dxa"/>
          </w:tblCellMar>
        </w:tblPrEx>
        <w:trPr>
          <w:trHeight w:val="375"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182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作出的准予行政许可决定,应当予以公开,公众有权查阅。   </w:t>
            </w:r>
          </w:p>
        </w:tc>
      </w:tr>
      <w:tr>
        <w:tblPrEx>
          <w:tblCellMar>
            <w:top w:w="0" w:type="dxa"/>
            <w:left w:w="0" w:type="dxa"/>
            <w:bottom w:w="0" w:type="dxa"/>
            <w:right w:w="0" w:type="dxa"/>
          </w:tblCellMar>
        </w:tblPrEx>
        <w:trPr>
          <w:trHeight w:val="570"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12 </w:t>
            </w:r>
          </w:p>
        </w:tc>
        <w:tc>
          <w:tcPr>
            <w:tcW w:w="1821" w:type="dxa"/>
            <w:vMerge w:val="restart"/>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(四)送达</w:t>
            </w:r>
            <w:r>
              <w:rPr>
                <w:rFonts w:hint="eastAsia" w:ascii="宋体" w:hAnsi="宋体" w:eastAsia="宋体" w:cs="宋体"/>
                <w:kern w:val="0"/>
                <w:sz w:val="24"/>
                <w:szCs w:val="24"/>
              </w:rPr>
              <w:t xml:space="preserve"> </w:t>
            </w: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送达行政执法文书应当有送达回证,受送达人在送达回证上的签收日期为送达日期。 </w:t>
            </w:r>
          </w:p>
        </w:tc>
      </w:tr>
      <w:tr>
        <w:tblPrEx>
          <w:tblCellMar>
            <w:top w:w="0" w:type="dxa"/>
            <w:left w:w="0" w:type="dxa"/>
            <w:bottom w:w="0" w:type="dxa"/>
            <w:right w:w="0" w:type="dxa"/>
          </w:tblCellMar>
        </w:tblPrEx>
        <w:trPr>
          <w:trHeight w:val="435"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13 </w:t>
            </w:r>
          </w:p>
        </w:tc>
        <w:tc>
          <w:tcPr>
            <w:tcW w:w="182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送达程序参照民事诉讼法有关规定执行。 </w:t>
            </w:r>
          </w:p>
        </w:tc>
      </w:tr>
      <w:tr>
        <w:tblPrEx>
          <w:tblCellMar>
            <w:top w:w="0" w:type="dxa"/>
            <w:left w:w="0" w:type="dxa"/>
            <w:bottom w:w="0" w:type="dxa"/>
            <w:right w:w="0" w:type="dxa"/>
          </w:tblCellMar>
        </w:tblPrEx>
        <w:trPr>
          <w:trHeight w:val="555"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14 </w:t>
            </w:r>
          </w:p>
        </w:tc>
        <w:tc>
          <w:tcPr>
            <w:tcW w:w="1821"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(五)事后监管</w:t>
            </w:r>
            <w:r>
              <w:rPr>
                <w:rFonts w:hint="eastAsia" w:ascii="宋体" w:hAnsi="宋体" w:eastAsia="宋体" w:cs="宋体"/>
                <w:kern w:val="0"/>
                <w:sz w:val="24"/>
                <w:szCs w:val="24"/>
              </w:rPr>
              <w:t xml:space="preserve"> </w:t>
            </w: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建立健全监督制度,通过核查反映被许可人从事行政许可事项活动情况的有关材料,履行监督责任。 </w:t>
            </w:r>
          </w:p>
        </w:tc>
      </w:tr>
      <w:tr>
        <w:tblPrEx>
          <w:tblCellMar>
            <w:top w:w="0" w:type="dxa"/>
            <w:left w:w="0" w:type="dxa"/>
            <w:bottom w:w="0" w:type="dxa"/>
            <w:right w:w="0" w:type="dxa"/>
          </w:tblCellMar>
        </w:tblPrEx>
        <w:trPr>
          <w:trHeight w:val="570"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15 </w:t>
            </w:r>
          </w:p>
        </w:tc>
        <w:tc>
          <w:tcPr>
            <w:tcW w:w="182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建立随机抽查制度,对被许可人生产经营的产品依法进行抽样检查、检验、检测,对其生产经营场所依法进行实地检查。 </w:t>
            </w:r>
          </w:p>
        </w:tc>
      </w:tr>
      <w:tr>
        <w:tblPrEx>
          <w:tblCellMar>
            <w:top w:w="0" w:type="dxa"/>
            <w:left w:w="0" w:type="dxa"/>
            <w:bottom w:w="0" w:type="dxa"/>
            <w:right w:w="0" w:type="dxa"/>
          </w:tblCellMar>
        </w:tblPrEx>
        <w:trPr>
          <w:trHeight w:val="570"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16 </w:t>
            </w:r>
          </w:p>
        </w:tc>
        <w:tc>
          <w:tcPr>
            <w:tcW w:w="1821"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 xml:space="preserve">根据法律、行政法规的规定,对直接关系公共安全、人身健康、生命财产安全的重要设备、设施进行定期检验。 </w:t>
            </w:r>
          </w:p>
        </w:tc>
      </w:tr>
      <w:tr>
        <w:tblPrEx>
          <w:tblCellMar>
            <w:top w:w="0" w:type="dxa"/>
            <w:left w:w="0" w:type="dxa"/>
            <w:bottom w:w="0" w:type="dxa"/>
            <w:right w:w="0" w:type="dxa"/>
          </w:tblCellMar>
        </w:tblPrEx>
        <w:trPr>
          <w:trHeight w:val="750"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17 </w:t>
            </w:r>
          </w:p>
        </w:tc>
        <w:tc>
          <w:tcPr>
            <w:tcW w:w="182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实施监督检查时,应当将监督检查的情况和处理结果予以记录,由监督检查人员签字后归档。公众有权查阅监督检查记录。 </w:t>
            </w:r>
          </w:p>
        </w:tc>
      </w:tr>
      <w:tr>
        <w:tblPrEx>
          <w:tblCellMar>
            <w:top w:w="0" w:type="dxa"/>
            <w:left w:w="0" w:type="dxa"/>
            <w:bottom w:w="0" w:type="dxa"/>
            <w:right w:w="0" w:type="dxa"/>
          </w:tblCellMar>
        </w:tblPrEx>
        <w:trPr>
          <w:trHeight w:val="585"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18 </w:t>
            </w:r>
          </w:p>
        </w:tc>
        <w:tc>
          <w:tcPr>
            <w:tcW w:w="182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实施监督检查,不得妨碍被许可人正常的生产经营活动,不得索取或收受被许可人的财物,不得谋取其他利益。 </w:t>
            </w:r>
          </w:p>
        </w:tc>
      </w:tr>
      <w:tr>
        <w:tblPrEx>
          <w:tblCellMar>
            <w:top w:w="0" w:type="dxa"/>
            <w:left w:w="0" w:type="dxa"/>
            <w:bottom w:w="0" w:type="dxa"/>
            <w:right w:w="0" w:type="dxa"/>
          </w:tblCellMar>
        </w:tblPrEx>
        <w:trPr>
          <w:trHeight w:val="735" w:hRule="atLeast"/>
          <w:tblCellSpacing w:w="0" w:type="dxa"/>
        </w:trPr>
        <w:tc>
          <w:tcPr>
            <w:tcW w:w="854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二、行政处罚类行政职权运行通用责任清单</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65"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2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435"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2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(一)立案</w:t>
            </w:r>
            <w:r>
              <w:rPr>
                <w:rFonts w:hint="eastAsia" w:ascii="宋体" w:hAnsi="宋体" w:eastAsia="宋体" w:cs="宋体"/>
                <w:kern w:val="0"/>
                <w:sz w:val="24"/>
                <w:szCs w:val="24"/>
              </w:rPr>
              <w:t xml:space="preserve"> </w:t>
            </w: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对符合立案条件的案件及时立案。 </w:t>
            </w:r>
          </w:p>
        </w:tc>
      </w:tr>
      <w:tr>
        <w:tblPrEx>
          <w:tblCellMar>
            <w:top w:w="0" w:type="dxa"/>
            <w:left w:w="0" w:type="dxa"/>
            <w:bottom w:w="0" w:type="dxa"/>
            <w:right w:w="0" w:type="dxa"/>
          </w:tblCellMar>
        </w:tblPrEx>
        <w:trPr>
          <w:trHeight w:val="450"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21"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(二)调查</w:t>
            </w:r>
            <w:r>
              <w:rPr>
                <w:rFonts w:hint="eastAsia" w:ascii="宋体" w:hAnsi="宋体" w:eastAsia="宋体" w:cs="宋体"/>
                <w:kern w:val="0"/>
                <w:sz w:val="24"/>
                <w:szCs w:val="24"/>
              </w:rPr>
              <w:t xml:space="preserve"> </w:t>
            </w: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出示执法身份证件,表明执法身份。 </w:t>
            </w:r>
          </w:p>
        </w:tc>
      </w:tr>
      <w:tr>
        <w:tblPrEx>
          <w:tblCellMar>
            <w:top w:w="0" w:type="dxa"/>
            <w:left w:w="0" w:type="dxa"/>
            <w:bottom w:w="0" w:type="dxa"/>
            <w:right w:w="0" w:type="dxa"/>
          </w:tblCellMar>
        </w:tblPrEx>
        <w:trPr>
          <w:trHeight w:val="555"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2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应当有2名以上(含2名)行政执法人员共同参加调查取证。 </w:t>
            </w:r>
          </w:p>
        </w:tc>
      </w:tr>
      <w:tr>
        <w:tblPrEx>
          <w:tblCellMar>
            <w:top w:w="0" w:type="dxa"/>
            <w:left w:w="0" w:type="dxa"/>
            <w:bottom w:w="0" w:type="dxa"/>
            <w:right w:w="0" w:type="dxa"/>
          </w:tblCellMar>
        </w:tblPrEx>
        <w:trPr>
          <w:trHeight w:val="525"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2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依法调查和保存证据。 </w:t>
            </w:r>
          </w:p>
        </w:tc>
      </w:tr>
      <w:tr>
        <w:tblPrEx>
          <w:tblCellMar>
            <w:top w:w="0" w:type="dxa"/>
            <w:left w:w="0" w:type="dxa"/>
            <w:bottom w:w="0" w:type="dxa"/>
            <w:right w:w="0" w:type="dxa"/>
          </w:tblCellMar>
        </w:tblPrEx>
        <w:trPr>
          <w:trHeight w:val="690"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2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适用简易程序的,当场制作行政处罚决定书并当场交付,在事后难以执行及特殊情况下应当当场收缴罚款。 </w:t>
            </w:r>
          </w:p>
        </w:tc>
      </w:tr>
      <w:tr>
        <w:tblPrEx>
          <w:tblCellMar>
            <w:top w:w="0" w:type="dxa"/>
            <w:left w:w="0" w:type="dxa"/>
            <w:bottom w:w="0" w:type="dxa"/>
            <w:right w:w="0" w:type="dxa"/>
          </w:tblCellMar>
        </w:tblPrEx>
        <w:trPr>
          <w:trHeight w:val="525"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2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适用简易程序的,执法人员当场作出的行政处罚决定应当报所属行政机关备案。 </w:t>
            </w:r>
          </w:p>
        </w:tc>
      </w:tr>
      <w:tr>
        <w:tblPrEx>
          <w:tblCellMar>
            <w:top w:w="0" w:type="dxa"/>
            <w:left w:w="0" w:type="dxa"/>
            <w:bottom w:w="0" w:type="dxa"/>
            <w:right w:w="0" w:type="dxa"/>
          </w:tblCellMar>
        </w:tblPrEx>
        <w:trPr>
          <w:trHeight w:val="1065"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21"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(三)审查</w:t>
            </w:r>
            <w:r>
              <w:rPr>
                <w:rFonts w:hint="eastAsia" w:ascii="宋体" w:hAnsi="宋体" w:eastAsia="宋体" w:cs="宋体"/>
                <w:kern w:val="0"/>
                <w:sz w:val="24"/>
                <w:szCs w:val="24"/>
              </w:rPr>
              <w:t xml:space="preserve"> </w:t>
            </w: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审理案件调查报告,对案件违法事实、证据、调查取证程序、法律适用、处罚种类和幅度、当事人陈述和申辩理由等方面进行审查,提出处理意见(主要证据不足时,以适当的方式补充调查)。 </w:t>
            </w:r>
          </w:p>
        </w:tc>
      </w:tr>
      <w:tr>
        <w:tblPrEx>
          <w:tblCellMar>
            <w:top w:w="0" w:type="dxa"/>
            <w:left w:w="0" w:type="dxa"/>
            <w:bottom w:w="0" w:type="dxa"/>
            <w:right w:w="0" w:type="dxa"/>
          </w:tblCellMar>
        </w:tblPrEx>
        <w:trPr>
          <w:trHeight w:val="435"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2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构成犯罪的,移送司法机关依法追究刑事责任。 </w:t>
            </w:r>
          </w:p>
        </w:tc>
      </w:tr>
      <w:tr>
        <w:tblPrEx>
          <w:tblCellMar>
            <w:top w:w="0" w:type="dxa"/>
            <w:left w:w="0" w:type="dxa"/>
            <w:bottom w:w="0" w:type="dxa"/>
            <w:right w:w="0" w:type="dxa"/>
          </w:tblCellMar>
        </w:tblPrEx>
        <w:trPr>
          <w:trHeight w:val="795"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21"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(四)告知</w:t>
            </w:r>
            <w:r>
              <w:rPr>
                <w:rFonts w:hint="eastAsia" w:ascii="宋体" w:hAnsi="宋体" w:eastAsia="宋体" w:cs="宋体"/>
                <w:kern w:val="0"/>
                <w:sz w:val="24"/>
                <w:szCs w:val="24"/>
              </w:rPr>
              <w:t xml:space="preserve"> </w:t>
            </w: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在作出行政处罚前,应告知当事人作出行政处罚决定的事实、理由及依据,并告知当事人依法享有的权利。 </w:t>
            </w:r>
          </w:p>
        </w:tc>
      </w:tr>
      <w:tr>
        <w:tblPrEx>
          <w:tblCellMar>
            <w:top w:w="0" w:type="dxa"/>
            <w:left w:w="0" w:type="dxa"/>
            <w:bottom w:w="0" w:type="dxa"/>
            <w:right w:w="0" w:type="dxa"/>
          </w:tblCellMar>
        </w:tblPrEx>
        <w:trPr>
          <w:trHeight w:val="675"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10 </w:t>
            </w:r>
          </w:p>
        </w:tc>
        <w:tc>
          <w:tcPr>
            <w:tcW w:w="182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依法告知当事人有举行听证的权利,当事人要求听证的,应当依法组织听证。 </w:t>
            </w:r>
          </w:p>
        </w:tc>
      </w:tr>
      <w:tr>
        <w:tblPrEx>
          <w:tblCellMar>
            <w:top w:w="0" w:type="dxa"/>
            <w:left w:w="0" w:type="dxa"/>
            <w:bottom w:w="0" w:type="dxa"/>
            <w:right w:w="0" w:type="dxa"/>
          </w:tblCellMar>
        </w:tblPrEx>
        <w:trPr>
          <w:trHeight w:val="1020"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1821"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(五)决定</w:t>
            </w:r>
            <w:r>
              <w:rPr>
                <w:rFonts w:hint="eastAsia" w:ascii="宋体" w:hAnsi="宋体" w:eastAsia="宋体" w:cs="宋体"/>
                <w:kern w:val="0"/>
                <w:sz w:val="24"/>
                <w:szCs w:val="24"/>
              </w:rPr>
              <w:t xml:space="preserve"> </w:t>
            </w: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充分听取当事人的意见,对当事人提出的事实、理由和证据,应当进行复核;当事人提出的事实、理由或者证据成立的,应当</w:t>
            </w:r>
            <w:r>
              <w:rPr>
                <w:rFonts w:hint="eastAsia" w:ascii="宋体" w:hAnsi="宋体" w:eastAsia="宋体" w:cs="宋体"/>
                <w:color w:val="000000"/>
                <w:kern w:val="0"/>
                <w:sz w:val="24"/>
                <w:szCs w:val="24"/>
              </w:rPr>
              <w:t>采纳,不得因当事人申辩而加重处罚。</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65"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12 </w:t>
            </w:r>
          </w:p>
        </w:tc>
        <w:tc>
          <w:tcPr>
            <w:tcW w:w="182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对情节复杂或者重大违法行为给予较重的行政处罚,应当集体讨论决定。 </w:t>
            </w:r>
          </w:p>
        </w:tc>
      </w:tr>
      <w:tr>
        <w:tblPrEx>
          <w:tblCellMar>
            <w:top w:w="0" w:type="dxa"/>
            <w:left w:w="0" w:type="dxa"/>
            <w:bottom w:w="0" w:type="dxa"/>
            <w:right w:w="0" w:type="dxa"/>
          </w:tblCellMar>
        </w:tblPrEx>
        <w:trPr>
          <w:trHeight w:val="555"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13 </w:t>
            </w:r>
          </w:p>
        </w:tc>
        <w:tc>
          <w:tcPr>
            <w:tcW w:w="182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依法决定给予行政处罚,制作行政处罚决定书,并在处罚决定书中告知对处罚决定不服的可以依法申请行政复议或者提起行政诉讼。 </w:t>
            </w:r>
          </w:p>
        </w:tc>
      </w:tr>
      <w:tr>
        <w:tblPrEx>
          <w:tblCellMar>
            <w:top w:w="0" w:type="dxa"/>
            <w:left w:w="0" w:type="dxa"/>
            <w:bottom w:w="0" w:type="dxa"/>
            <w:right w:w="0" w:type="dxa"/>
          </w:tblCellMar>
        </w:tblPrEx>
        <w:trPr>
          <w:trHeight w:val="750"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14 </w:t>
            </w:r>
          </w:p>
        </w:tc>
        <w:tc>
          <w:tcPr>
            <w:tcW w:w="1821"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 xml:space="preserve">对当事人的同一个违法行为,不得给予两次以上罚款的行政处罚。 </w:t>
            </w:r>
          </w:p>
        </w:tc>
      </w:tr>
      <w:tr>
        <w:tblPrEx>
          <w:tblCellMar>
            <w:top w:w="0" w:type="dxa"/>
            <w:left w:w="0" w:type="dxa"/>
            <w:bottom w:w="0" w:type="dxa"/>
            <w:right w:w="0" w:type="dxa"/>
          </w:tblCellMar>
        </w:tblPrEx>
        <w:trPr>
          <w:trHeight w:val="735"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15 </w:t>
            </w:r>
          </w:p>
        </w:tc>
        <w:tc>
          <w:tcPr>
            <w:tcW w:w="182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实施行政处罚时,应当责令当事人改正或者限期改正违法行为。 </w:t>
            </w:r>
          </w:p>
        </w:tc>
      </w:tr>
      <w:tr>
        <w:tblPrEx>
          <w:tblCellMar>
            <w:top w:w="0" w:type="dxa"/>
            <w:left w:w="0" w:type="dxa"/>
            <w:bottom w:w="0" w:type="dxa"/>
            <w:right w:w="0" w:type="dxa"/>
          </w:tblCellMar>
        </w:tblPrEx>
        <w:trPr>
          <w:trHeight w:val="1065"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16 </w:t>
            </w:r>
          </w:p>
        </w:tc>
        <w:tc>
          <w:tcPr>
            <w:tcW w:w="182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(六)送达</w:t>
            </w:r>
            <w:r>
              <w:rPr>
                <w:rFonts w:hint="eastAsia" w:ascii="宋体" w:hAnsi="宋体" w:eastAsia="宋体" w:cs="宋体"/>
                <w:kern w:val="0"/>
                <w:sz w:val="24"/>
                <w:szCs w:val="24"/>
              </w:rPr>
              <w:t xml:space="preserve"> </w:t>
            </w: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行政处罚决定书应当在宣告后当场交付当事人;当事人不在场的,行政机关应当在7日内依照民事诉讼法的有关规定,将行政处罚决定书送达当事人。 </w:t>
            </w:r>
          </w:p>
        </w:tc>
      </w:tr>
      <w:tr>
        <w:tblPrEx>
          <w:tblCellMar>
            <w:top w:w="0" w:type="dxa"/>
            <w:left w:w="0" w:type="dxa"/>
            <w:bottom w:w="0" w:type="dxa"/>
            <w:right w:w="0" w:type="dxa"/>
          </w:tblCellMar>
        </w:tblPrEx>
        <w:trPr>
          <w:trHeight w:val="555"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17 </w:t>
            </w:r>
          </w:p>
        </w:tc>
        <w:tc>
          <w:tcPr>
            <w:tcW w:w="1821"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(七)执行</w:t>
            </w:r>
            <w:r>
              <w:rPr>
                <w:rFonts w:hint="eastAsia" w:ascii="宋体" w:hAnsi="宋体" w:eastAsia="宋体" w:cs="宋体"/>
                <w:kern w:val="0"/>
                <w:sz w:val="24"/>
                <w:szCs w:val="24"/>
              </w:rPr>
              <w:t xml:space="preserve"> </w:t>
            </w: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使用法定部门制发的罚款、没收财物单据进行罚款、没收财物等处罚。 </w:t>
            </w:r>
          </w:p>
        </w:tc>
      </w:tr>
      <w:tr>
        <w:tblPrEx>
          <w:tblCellMar>
            <w:top w:w="0" w:type="dxa"/>
            <w:left w:w="0" w:type="dxa"/>
            <w:bottom w:w="0" w:type="dxa"/>
            <w:right w:w="0" w:type="dxa"/>
          </w:tblCellMar>
        </w:tblPrEx>
        <w:trPr>
          <w:trHeight w:val="540"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18 </w:t>
            </w:r>
          </w:p>
        </w:tc>
        <w:tc>
          <w:tcPr>
            <w:tcW w:w="182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对当事人的同一个违法行为,不得给予两次以上罚款的行政处罚。 </w:t>
            </w:r>
          </w:p>
        </w:tc>
      </w:tr>
      <w:tr>
        <w:tblPrEx>
          <w:tblCellMar>
            <w:top w:w="0" w:type="dxa"/>
            <w:left w:w="0" w:type="dxa"/>
            <w:bottom w:w="0" w:type="dxa"/>
            <w:right w:w="0" w:type="dxa"/>
          </w:tblCellMar>
        </w:tblPrEx>
        <w:trPr>
          <w:trHeight w:val="510"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19 </w:t>
            </w:r>
          </w:p>
        </w:tc>
        <w:tc>
          <w:tcPr>
            <w:tcW w:w="182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实施行政处罚时,应当责令当事人改正或者限期改正违法行为。 </w:t>
            </w:r>
          </w:p>
        </w:tc>
      </w:tr>
      <w:tr>
        <w:tblPrEx>
          <w:tblCellMar>
            <w:top w:w="0" w:type="dxa"/>
            <w:left w:w="0" w:type="dxa"/>
            <w:bottom w:w="0" w:type="dxa"/>
            <w:right w:w="0" w:type="dxa"/>
          </w:tblCellMar>
        </w:tblPrEx>
        <w:trPr>
          <w:trHeight w:val="750" w:hRule="atLeast"/>
          <w:tblCellSpacing w:w="0" w:type="dxa"/>
        </w:trPr>
        <w:tc>
          <w:tcPr>
            <w:tcW w:w="854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三、行政确认类行政职权运行通用责任清单</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50"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2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540"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21"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(一)受理</w:t>
            </w:r>
            <w:r>
              <w:rPr>
                <w:rFonts w:hint="eastAsia" w:ascii="宋体" w:hAnsi="宋体" w:eastAsia="宋体" w:cs="宋体"/>
                <w:kern w:val="0"/>
                <w:sz w:val="24"/>
                <w:szCs w:val="24"/>
              </w:rPr>
              <w:t xml:space="preserve"> </w:t>
            </w: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对符合确认条件的,当场受理。 </w:t>
            </w:r>
          </w:p>
        </w:tc>
      </w:tr>
      <w:tr>
        <w:tblPrEx>
          <w:tblCellMar>
            <w:top w:w="0" w:type="dxa"/>
            <w:left w:w="0" w:type="dxa"/>
            <w:bottom w:w="0" w:type="dxa"/>
            <w:right w:w="0" w:type="dxa"/>
          </w:tblCellMar>
        </w:tblPrEx>
        <w:trPr>
          <w:trHeight w:val="795"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21"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申请材料不齐全或者不符合法定形式的,应当一次性告知申请人需要补正的全部内容和合理的补正期限。 </w:t>
            </w:r>
          </w:p>
        </w:tc>
      </w:tr>
      <w:tr>
        <w:tblPrEx>
          <w:tblCellMar>
            <w:top w:w="0" w:type="dxa"/>
            <w:left w:w="0" w:type="dxa"/>
            <w:bottom w:w="0" w:type="dxa"/>
            <w:right w:w="0" w:type="dxa"/>
          </w:tblCellMar>
        </w:tblPrEx>
        <w:trPr>
          <w:trHeight w:val="780"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21"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对不符合受理条件的,应当书面告知办理人不予办理行政确认的理由和依据。 </w:t>
            </w:r>
          </w:p>
        </w:tc>
      </w:tr>
      <w:tr>
        <w:tblPrEx>
          <w:tblCellMar>
            <w:top w:w="0" w:type="dxa"/>
            <w:left w:w="0" w:type="dxa"/>
            <w:bottom w:w="0" w:type="dxa"/>
            <w:right w:w="0" w:type="dxa"/>
          </w:tblCellMar>
        </w:tblPrEx>
        <w:trPr>
          <w:trHeight w:val="435"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21"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(二)确认</w:t>
            </w:r>
            <w:r>
              <w:rPr>
                <w:rFonts w:hint="eastAsia" w:ascii="宋体" w:hAnsi="宋体" w:eastAsia="宋体" w:cs="宋体"/>
                <w:kern w:val="0"/>
                <w:sz w:val="24"/>
                <w:szCs w:val="24"/>
              </w:rPr>
              <w:t xml:space="preserve"> </w:t>
            </w: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在法定期限(承诺期限)内完成确认。 </w:t>
            </w:r>
          </w:p>
        </w:tc>
      </w:tr>
      <w:tr>
        <w:tblPrEx>
          <w:tblCellMar>
            <w:top w:w="0" w:type="dxa"/>
            <w:left w:w="0" w:type="dxa"/>
            <w:bottom w:w="0" w:type="dxa"/>
            <w:right w:w="0" w:type="dxa"/>
          </w:tblCellMar>
        </w:tblPrEx>
        <w:trPr>
          <w:trHeight w:val="810"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21"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严格按照流程图规定进行研究确认,不得提高确认标准、扩大确认范围等。 </w:t>
            </w:r>
          </w:p>
        </w:tc>
      </w:tr>
      <w:tr>
        <w:tblPrEx>
          <w:tblCellMar>
            <w:top w:w="0" w:type="dxa"/>
            <w:left w:w="0" w:type="dxa"/>
            <w:bottom w:w="0" w:type="dxa"/>
            <w:right w:w="0" w:type="dxa"/>
          </w:tblCellMar>
        </w:tblPrEx>
        <w:trPr>
          <w:trHeight w:val="765"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21"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按照一定的技术规范要求以书面形式作出决定,并发放确认文书。 </w:t>
            </w:r>
          </w:p>
        </w:tc>
      </w:tr>
      <w:tr>
        <w:tblPrEx>
          <w:tblCellMar>
            <w:top w:w="0" w:type="dxa"/>
            <w:left w:w="0" w:type="dxa"/>
            <w:bottom w:w="0" w:type="dxa"/>
            <w:right w:w="0" w:type="dxa"/>
          </w:tblCellMar>
        </w:tblPrEx>
        <w:trPr>
          <w:trHeight w:val="540"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21"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不符合确认要求的不予确认,并说明理由。 </w:t>
            </w:r>
          </w:p>
        </w:tc>
      </w:tr>
      <w:tr>
        <w:tblPrEx>
          <w:tblCellMar>
            <w:top w:w="0" w:type="dxa"/>
            <w:left w:w="0" w:type="dxa"/>
            <w:bottom w:w="0" w:type="dxa"/>
            <w:right w:w="0" w:type="dxa"/>
          </w:tblCellMar>
        </w:tblPrEx>
        <w:trPr>
          <w:trHeight w:val="570"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21"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(三)送达</w:t>
            </w:r>
            <w:r>
              <w:rPr>
                <w:rFonts w:hint="eastAsia" w:ascii="宋体" w:hAnsi="宋体" w:eastAsia="宋体" w:cs="宋体"/>
                <w:kern w:val="0"/>
                <w:sz w:val="24"/>
                <w:szCs w:val="24"/>
              </w:rPr>
              <w:t xml:space="preserve"> </w:t>
            </w: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送达程序参照民事诉讼法有关规定执行。 </w:t>
            </w:r>
          </w:p>
        </w:tc>
      </w:tr>
      <w:tr>
        <w:tblPrEx>
          <w:tblCellMar>
            <w:top w:w="0" w:type="dxa"/>
            <w:left w:w="0" w:type="dxa"/>
            <w:bottom w:w="0" w:type="dxa"/>
            <w:right w:w="0" w:type="dxa"/>
          </w:tblCellMar>
        </w:tblPrEx>
        <w:trPr>
          <w:trHeight w:val="780"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2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(四)事后监管</w:t>
            </w:r>
            <w:r>
              <w:rPr>
                <w:rFonts w:hint="eastAsia" w:ascii="宋体" w:hAnsi="宋体" w:eastAsia="宋体" w:cs="宋体"/>
                <w:kern w:val="0"/>
                <w:sz w:val="24"/>
                <w:szCs w:val="24"/>
              </w:rPr>
              <w:t xml:space="preserve"> </w:t>
            </w: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建立健全事后监管制度,依法履行监督责任。 </w:t>
            </w:r>
          </w:p>
        </w:tc>
      </w:tr>
      <w:tr>
        <w:tblPrEx>
          <w:tblCellMar>
            <w:top w:w="0" w:type="dxa"/>
            <w:left w:w="0" w:type="dxa"/>
            <w:bottom w:w="0" w:type="dxa"/>
            <w:right w:w="0" w:type="dxa"/>
          </w:tblCellMar>
        </w:tblPrEx>
        <w:trPr>
          <w:trHeight w:val="675" w:hRule="atLeast"/>
          <w:tblCellSpacing w:w="0" w:type="dxa"/>
        </w:trPr>
        <w:tc>
          <w:tcPr>
            <w:tcW w:w="854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lang w:eastAsia="zh-CN"/>
              </w:rPr>
              <w:t>四</w:t>
            </w:r>
            <w:r>
              <w:rPr>
                <w:rFonts w:hint="eastAsia" w:ascii="宋体" w:hAnsi="宋体" w:eastAsia="宋体" w:cs="宋体"/>
                <w:b/>
                <w:bCs/>
                <w:kern w:val="0"/>
                <w:sz w:val="24"/>
                <w:szCs w:val="24"/>
              </w:rPr>
              <w:t>、行政征收类(实物类)行政职权运行通用责任清单</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675"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2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525"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2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(一)制定方案</w:t>
            </w:r>
            <w:r>
              <w:rPr>
                <w:rFonts w:hint="eastAsia" w:ascii="宋体" w:hAnsi="宋体" w:eastAsia="宋体" w:cs="宋体"/>
                <w:kern w:val="0"/>
                <w:sz w:val="24"/>
                <w:szCs w:val="24"/>
              </w:rPr>
              <w:t xml:space="preserve"> </w:t>
            </w:r>
          </w:p>
        </w:tc>
        <w:tc>
          <w:tcPr>
            <w:tcW w:w="5941"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拟定征收补偿方案。 </w:t>
            </w:r>
          </w:p>
        </w:tc>
      </w:tr>
      <w:tr>
        <w:tblPrEx>
          <w:tblCellMar>
            <w:top w:w="0" w:type="dxa"/>
            <w:left w:w="0" w:type="dxa"/>
            <w:bottom w:w="0" w:type="dxa"/>
            <w:right w:w="0" w:type="dxa"/>
          </w:tblCellMar>
        </w:tblPrEx>
        <w:trPr>
          <w:trHeight w:val="540"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21"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(二)决定</w:t>
            </w:r>
            <w:r>
              <w:rPr>
                <w:rFonts w:hint="eastAsia" w:ascii="宋体" w:hAnsi="宋体" w:eastAsia="宋体" w:cs="宋体"/>
                <w:kern w:val="0"/>
                <w:sz w:val="24"/>
                <w:szCs w:val="24"/>
              </w:rPr>
              <w:t xml:space="preserve"> </w:t>
            </w:r>
          </w:p>
        </w:tc>
        <w:tc>
          <w:tcPr>
            <w:tcW w:w="5941"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应当在社会稳定风险评估基础上作出征收决定。 </w:t>
            </w:r>
          </w:p>
        </w:tc>
      </w:tr>
      <w:tr>
        <w:tblPrEx>
          <w:tblCellMar>
            <w:top w:w="0" w:type="dxa"/>
            <w:left w:w="0" w:type="dxa"/>
            <w:bottom w:w="0" w:type="dxa"/>
            <w:right w:w="0" w:type="dxa"/>
          </w:tblCellMar>
        </w:tblPrEx>
        <w:trPr>
          <w:trHeight w:val="540"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2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41"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应当及时公告征收决定。 </w:t>
            </w:r>
          </w:p>
        </w:tc>
      </w:tr>
      <w:tr>
        <w:tblPrEx>
          <w:tblCellMar>
            <w:top w:w="0" w:type="dxa"/>
            <w:left w:w="0" w:type="dxa"/>
            <w:bottom w:w="0" w:type="dxa"/>
            <w:right w:w="0" w:type="dxa"/>
          </w:tblCellMar>
        </w:tblPrEx>
        <w:trPr>
          <w:trHeight w:val="540"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21"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(三)实施</w:t>
            </w:r>
            <w:r>
              <w:rPr>
                <w:rFonts w:hint="eastAsia" w:ascii="宋体" w:hAnsi="宋体" w:eastAsia="宋体" w:cs="宋体"/>
                <w:kern w:val="0"/>
                <w:sz w:val="24"/>
                <w:szCs w:val="24"/>
              </w:rPr>
              <w:t xml:space="preserve"> </w:t>
            </w:r>
          </w:p>
        </w:tc>
        <w:tc>
          <w:tcPr>
            <w:tcW w:w="5941"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依据征收决定进行征收。 </w:t>
            </w:r>
          </w:p>
        </w:tc>
      </w:tr>
      <w:tr>
        <w:tblPrEx>
          <w:tblCellMar>
            <w:top w:w="0" w:type="dxa"/>
            <w:left w:w="0" w:type="dxa"/>
            <w:bottom w:w="0" w:type="dxa"/>
            <w:right w:w="0" w:type="dxa"/>
          </w:tblCellMar>
        </w:tblPrEx>
        <w:trPr>
          <w:trHeight w:val="570"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2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41" w:type="dxa"/>
            <w:tcBorders>
              <w:top w:val="nil"/>
              <w:left w:val="nil"/>
              <w:bottom w:val="nil"/>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根据补偿安置方案进行补偿、安置。 </w:t>
            </w:r>
          </w:p>
        </w:tc>
      </w:tr>
      <w:tr>
        <w:tblPrEx>
          <w:tblCellMar>
            <w:top w:w="0" w:type="dxa"/>
            <w:left w:w="0" w:type="dxa"/>
            <w:bottom w:w="0" w:type="dxa"/>
            <w:right w:w="0" w:type="dxa"/>
          </w:tblCellMar>
        </w:tblPrEx>
        <w:trPr>
          <w:trHeight w:val="525"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21"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(四)事后监管</w:t>
            </w:r>
            <w:r>
              <w:rPr>
                <w:rFonts w:hint="eastAsia" w:ascii="宋体" w:hAnsi="宋体" w:eastAsia="宋体" w:cs="宋体"/>
                <w:kern w:val="0"/>
                <w:sz w:val="24"/>
                <w:szCs w:val="24"/>
              </w:rPr>
              <w:t xml:space="preserve"> </w:t>
            </w:r>
          </w:p>
        </w:tc>
        <w:tc>
          <w:tcPr>
            <w:tcW w:w="5941" w:type="dxa"/>
            <w:tcBorders>
              <w:top w:val="single" w:color="000000" w:sz="6" w:space="0"/>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应当依法建立征收补偿档案。 </w:t>
            </w:r>
          </w:p>
        </w:tc>
      </w:tr>
      <w:tr>
        <w:tblPrEx>
          <w:tblCellMar>
            <w:top w:w="0" w:type="dxa"/>
            <w:left w:w="0" w:type="dxa"/>
            <w:bottom w:w="0" w:type="dxa"/>
            <w:right w:w="0" w:type="dxa"/>
          </w:tblCellMar>
        </w:tblPrEx>
        <w:trPr>
          <w:trHeight w:val="525"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2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41"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对征收补偿费用管理和使用情况进行监督。 </w:t>
            </w:r>
          </w:p>
        </w:tc>
      </w:tr>
      <w:tr>
        <w:tblPrEx>
          <w:tblCellMar>
            <w:top w:w="0" w:type="dxa"/>
            <w:left w:w="0" w:type="dxa"/>
            <w:bottom w:w="0" w:type="dxa"/>
            <w:right w:w="0" w:type="dxa"/>
          </w:tblCellMar>
        </w:tblPrEx>
        <w:trPr>
          <w:trHeight w:val="630" w:hRule="atLeast"/>
          <w:tblCellSpacing w:w="0" w:type="dxa"/>
        </w:trPr>
        <w:tc>
          <w:tcPr>
            <w:tcW w:w="854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lang w:eastAsia="zh-CN"/>
              </w:rPr>
              <w:t>五</w:t>
            </w:r>
            <w:r>
              <w:rPr>
                <w:rFonts w:hint="eastAsia" w:ascii="宋体" w:hAnsi="宋体" w:eastAsia="宋体" w:cs="宋体"/>
                <w:b/>
                <w:bCs/>
                <w:kern w:val="0"/>
                <w:sz w:val="24"/>
                <w:szCs w:val="24"/>
              </w:rPr>
              <w:t>、行政裁决类行政职权运行通用责任清单</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630"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2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555"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21"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(一)受理</w:t>
            </w:r>
            <w:r>
              <w:rPr>
                <w:rFonts w:hint="eastAsia" w:ascii="宋体" w:hAnsi="宋体" w:eastAsia="宋体" w:cs="宋体"/>
                <w:kern w:val="0"/>
                <w:sz w:val="24"/>
                <w:szCs w:val="24"/>
              </w:rPr>
              <w:t xml:space="preserve"> </w:t>
            </w: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对符合受理条件的,应当制作受理通知书,并送达申请人。 </w:t>
            </w:r>
          </w:p>
        </w:tc>
      </w:tr>
      <w:tr>
        <w:tblPrEx>
          <w:tblCellMar>
            <w:top w:w="0" w:type="dxa"/>
            <w:left w:w="0" w:type="dxa"/>
            <w:bottom w:w="0" w:type="dxa"/>
            <w:right w:w="0" w:type="dxa"/>
          </w:tblCellMar>
        </w:tblPrEx>
        <w:trPr>
          <w:trHeight w:val="735"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2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申请材料不齐全或者不符合法定形式的,应当一次性告知申请人需要补正的全部内容和合理的补正期限。 </w:t>
            </w:r>
          </w:p>
        </w:tc>
      </w:tr>
      <w:tr>
        <w:tblPrEx>
          <w:tblCellMar>
            <w:top w:w="0" w:type="dxa"/>
            <w:left w:w="0" w:type="dxa"/>
            <w:bottom w:w="0" w:type="dxa"/>
            <w:right w:w="0" w:type="dxa"/>
          </w:tblCellMar>
        </w:tblPrEx>
        <w:trPr>
          <w:trHeight w:val="780"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2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 xml:space="preserve">对不符合受理条件的,应当书面告知申请人不予受理的理由和依据。 </w:t>
            </w:r>
          </w:p>
        </w:tc>
      </w:tr>
      <w:tr>
        <w:tblPrEx>
          <w:tblCellMar>
            <w:top w:w="0" w:type="dxa"/>
            <w:left w:w="0" w:type="dxa"/>
            <w:bottom w:w="0" w:type="dxa"/>
            <w:right w:w="0" w:type="dxa"/>
          </w:tblCellMar>
        </w:tblPrEx>
        <w:trPr>
          <w:trHeight w:val="555"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21"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(二)审理</w:t>
            </w:r>
            <w:r>
              <w:rPr>
                <w:rFonts w:hint="eastAsia" w:ascii="宋体" w:hAnsi="宋体" w:eastAsia="宋体" w:cs="宋体"/>
                <w:kern w:val="0"/>
                <w:sz w:val="24"/>
                <w:szCs w:val="24"/>
              </w:rPr>
              <w:t xml:space="preserve"> </w:t>
            </w: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在法定期限内进行审理。 </w:t>
            </w:r>
          </w:p>
        </w:tc>
      </w:tr>
      <w:tr>
        <w:tblPrEx>
          <w:tblCellMar>
            <w:top w:w="0" w:type="dxa"/>
            <w:left w:w="0" w:type="dxa"/>
            <w:bottom w:w="0" w:type="dxa"/>
            <w:right w:w="0" w:type="dxa"/>
          </w:tblCellMar>
        </w:tblPrEx>
        <w:trPr>
          <w:trHeight w:val="675"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2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通知争议申请人及对方当事人,并要求对方当事人在规定的期限内提交相关材料。 </w:t>
            </w:r>
          </w:p>
        </w:tc>
      </w:tr>
      <w:tr>
        <w:tblPrEx>
          <w:tblCellMar>
            <w:top w:w="0" w:type="dxa"/>
            <w:left w:w="0" w:type="dxa"/>
            <w:bottom w:w="0" w:type="dxa"/>
            <w:right w:w="0" w:type="dxa"/>
          </w:tblCellMar>
        </w:tblPrEx>
        <w:trPr>
          <w:trHeight w:val="915"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2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对争议的事实、证据材料进行审查,针对疑问情况或经当事人请求,举行公开听证,由当事人双方当面陈述案情,进行辩论、举证、质证,以查明案情。 </w:t>
            </w:r>
          </w:p>
        </w:tc>
      </w:tr>
      <w:tr>
        <w:tblPrEx>
          <w:tblCellMar>
            <w:top w:w="0" w:type="dxa"/>
            <w:left w:w="0" w:type="dxa"/>
            <w:bottom w:w="0" w:type="dxa"/>
            <w:right w:w="0" w:type="dxa"/>
          </w:tblCellMar>
        </w:tblPrEx>
        <w:trPr>
          <w:trHeight w:val="555"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2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审理时对确有必要的应当进行实地调查。 </w:t>
            </w:r>
          </w:p>
        </w:tc>
      </w:tr>
      <w:tr>
        <w:tblPrEx>
          <w:tblCellMar>
            <w:top w:w="0" w:type="dxa"/>
            <w:left w:w="0" w:type="dxa"/>
            <w:bottom w:w="0" w:type="dxa"/>
            <w:right w:w="0" w:type="dxa"/>
          </w:tblCellMar>
        </w:tblPrEx>
        <w:trPr>
          <w:trHeight w:val="675"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2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(三)裁决</w:t>
            </w:r>
            <w:r>
              <w:rPr>
                <w:rFonts w:hint="eastAsia" w:ascii="宋体" w:hAnsi="宋体" w:eastAsia="宋体" w:cs="宋体"/>
                <w:kern w:val="0"/>
                <w:sz w:val="24"/>
                <w:szCs w:val="24"/>
              </w:rPr>
              <w:t xml:space="preserve"> </w:t>
            </w: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根据事实和法律、法规作出裁决,制作并向双方当事人送达裁决书。 </w:t>
            </w:r>
          </w:p>
        </w:tc>
      </w:tr>
      <w:tr>
        <w:tblPrEx>
          <w:tblCellMar>
            <w:top w:w="0" w:type="dxa"/>
            <w:left w:w="0" w:type="dxa"/>
            <w:bottom w:w="0" w:type="dxa"/>
            <w:right w:w="0" w:type="dxa"/>
          </w:tblCellMar>
        </w:tblPrEx>
        <w:trPr>
          <w:trHeight w:val="555"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2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(四)执行</w:t>
            </w:r>
            <w:r>
              <w:rPr>
                <w:rFonts w:hint="eastAsia" w:ascii="宋体" w:hAnsi="宋体" w:eastAsia="宋体" w:cs="宋体"/>
                <w:kern w:val="0"/>
                <w:sz w:val="24"/>
                <w:szCs w:val="24"/>
              </w:rPr>
              <w:t xml:space="preserve"> </w:t>
            </w: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裁决生效后,争议当事人应当自觉履行。 </w:t>
            </w:r>
          </w:p>
        </w:tc>
      </w:tr>
      <w:tr>
        <w:tblPrEx>
          <w:tblCellMar>
            <w:top w:w="0" w:type="dxa"/>
            <w:left w:w="0" w:type="dxa"/>
            <w:bottom w:w="0" w:type="dxa"/>
            <w:right w:w="0" w:type="dxa"/>
          </w:tblCellMar>
        </w:tblPrEx>
        <w:trPr>
          <w:trHeight w:val="720" w:hRule="atLeast"/>
          <w:tblCellSpacing w:w="0" w:type="dxa"/>
        </w:trPr>
        <w:tc>
          <w:tcPr>
            <w:tcW w:w="854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lang w:eastAsia="zh-CN"/>
              </w:rPr>
              <w:t>六</w:t>
            </w:r>
            <w:r>
              <w:rPr>
                <w:rFonts w:hint="eastAsia" w:ascii="宋体" w:hAnsi="宋体" w:eastAsia="宋体" w:cs="宋体"/>
                <w:b/>
                <w:bCs/>
                <w:kern w:val="0"/>
                <w:sz w:val="24"/>
                <w:szCs w:val="24"/>
              </w:rPr>
              <w:t>、行政检查类行政职权运行通用责任清单</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05"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2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50"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21"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(一)制定方案</w:t>
            </w:r>
            <w:r>
              <w:rPr>
                <w:rFonts w:hint="eastAsia" w:ascii="宋体" w:hAnsi="宋体" w:eastAsia="宋体" w:cs="宋体"/>
                <w:kern w:val="0"/>
                <w:sz w:val="24"/>
                <w:szCs w:val="24"/>
              </w:rPr>
              <w:t xml:space="preserve"> </w:t>
            </w: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实施检查前应当依法制定含有正当理由、事项和内容的检查方案。 </w:t>
            </w:r>
          </w:p>
        </w:tc>
      </w:tr>
      <w:tr>
        <w:tblPrEx>
          <w:tblCellMar>
            <w:top w:w="0" w:type="dxa"/>
            <w:left w:w="0" w:type="dxa"/>
            <w:bottom w:w="0" w:type="dxa"/>
            <w:right w:w="0" w:type="dxa"/>
          </w:tblCellMar>
        </w:tblPrEx>
        <w:trPr>
          <w:trHeight w:val="750"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2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同一行政机关的多个内设机构和下属机构对同一当事人不同事项的行政检查,能够合并检查的应当合并检查。 </w:t>
            </w:r>
          </w:p>
        </w:tc>
      </w:tr>
      <w:tr>
        <w:tblPrEx>
          <w:tblCellMar>
            <w:top w:w="0" w:type="dxa"/>
            <w:left w:w="0" w:type="dxa"/>
            <w:bottom w:w="0" w:type="dxa"/>
            <w:right w:w="0" w:type="dxa"/>
          </w:tblCellMar>
        </w:tblPrEx>
        <w:trPr>
          <w:trHeight w:val="765"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2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上下级行政机关应当按照级别管辖和地域管辖相结合的原则合理划分检查范围,避免重复检查。 </w:t>
            </w:r>
          </w:p>
        </w:tc>
      </w:tr>
      <w:tr>
        <w:tblPrEx>
          <w:tblCellMar>
            <w:top w:w="0" w:type="dxa"/>
            <w:left w:w="0" w:type="dxa"/>
            <w:bottom w:w="0" w:type="dxa"/>
            <w:right w:w="0" w:type="dxa"/>
          </w:tblCellMar>
        </w:tblPrEx>
        <w:trPr>
          <w:trHeight w:val="435"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21"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(二)实施检查</w:t>
            </w:r>
            <w:r>
              <w:rPr>
                <w:rFonts w:hint="eastAsia" w:ascii="宋体" w:hAnsi="宋体" w:eastAsia="宋体" w:cs="宋体"/>
                <w:kern w:val="0"/>
                <w:sz w:val="24"/>
                <w:szCs w:val="24"/>
              </w:rPr>
              <w:t xml:space="preserve"> </w:t>
            </w: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依照检查方案规定的时限、范围开展检查。 </w:t>
            </w:r>
          </w:p>
        </w:tc>
      </w:tr>
      <w:tr>
        <w:tblPrEx>
          <w:tblCellMar>
            <w:top w:w="0" w:type="dxa"/>
            <w:left w:w="0" w:type="dxa"/>
            <w:bottom w:w="0" w:type="dxa"/>
            <w:right w:w="0" w:type="dxa"/>
          </w:tblCellMar>
        </w:tblPrEx>
        <w:trPr>
          <w:trHeight w:val="495"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2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实施检查时应当出示执法身份证件、检查方案。 </w:t>
            </w:r>
          </w:p>
        </w:tc>
      </w:tr>
      <w:tr>
        <w:tblPrEx>
          <w:tblCellMar>
            <w:top w:w="0" w:type="dxa"/>
            <w:left w:w="0" w:type="dxa"/>
            <w:bottom w:w="0" w:type="dxa"/>
            <w:right w:w="0" w:type="dxa"/>
          </w:tblCellMar>
        </w:tblPrEx>
        <w:trPr>
          <w:trHeight w:val="525"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2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依法查阅资料、查看现场、听取当事人陈述申辩并取证。 </w:t>
            </w:r>
          </w:p>
        </w:tc>
      </w:tr>
      <w:tr>
        <w:tblPrEx>
          <w:tblCellMar>
            <w:top w:w="0" w:type="dxa"/>
            <w:left w:w="0" w:type="dxa"/>
            <w:bottom w:w="0" w:type="dxa"/>
            <w:right w:w="0" w:type="dxa"/>
          </w:tblCellMar>
        </w:tblPrEx>
        <w:trPr>
          <w:trHeight w:val="465"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2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实施检查应当不影响当事人的正常生产经营活动与生活。 </w:t>
            </w:r>
          </w:p>
        </w:tc>
      </w:tr>
      <w:tr>
        <w:tblPrEx>
          <w:tblCellMar>
            <w:top w:w="0" w:type="dxa"/>
            <w:left w:w="0" w:type="dxa"/>
            <w:bottom w:w="0" w:type="dxa"/>
            <w:right w:w="0" w:type="dxa"/>
          </w:tblCellMar>
        </w:tblPrEx>
        <w:trPr>
          <w:trHeight w:val="750"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2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依法告知当事人检查中发现的违法行为及处理意见,对不服处理意见的,可以依法申请行政复议或提起行政诉讼。 </w:t>
            </w:r>
          </w:p>
        </w:tc>
      </w:tr>
      <w:tr>
        <w:tblPrEx>
          <w:tblCellMar>
            <w:top w:w="0" w:type="dxa"/>
            <w:left w:w="0" w:type="dxa"/>
            <w:bottom w:w="0" w:type="dxa"/>
            <w:right w:w="0" w:type="dxa"/>
          </w:tblCellMar>
        </w:tblPrEx>
        <w:trPr>
          <w:trHeight w:val="375"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2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对检查中发现的违法行为应当予以制止和纠正。</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600"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10 </w:t>
            </w:r>
          </w:p>
        </w:tc>
        <w:tc>
          <w:tcPr>
            <w:tcW w:w="182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实施行政检查中不得乱收费、乱罚款、乱摊派,严禁吃、拿、卡、要。 </w:t>
            </w:r>
          </w:p>
        </w:tc>
      </w:tr>
      <w:tr>
        <w:tblPrEx>
          <w:tblCellMar>
            <w:top w:w="0" w:type="dxa"/>
            <w:left w:w="0" w:type="dxa"/>
            <w:bottom w:w="0" w:type="dxa"/>
            <w:right w:w="0" w:type="dxa"/>
          </w:tblCellMar>
        </w:tblPrEx>
        <w:trPr>
          <w:trHeight w:val="420"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182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不得放弃、推诿、拖延、拒绝履行检查职责。 </w:t>
            </w:r>
          </w:p>
        </w:tc>
      </w:tr>
      <w:tr>
        <w:tblPrEx>
          <w:tblCellMar>
            <w:top w:w="0" w:type="dxa"/>
            <w:left w:w="0" w:type="dxa"/>
            <w:bottom w:w="0" w:type="dxa"/>
            <w:right w:w="0" w:type="dxa"/>
          </w:tblCellMar>
        </w:tblPrEx>
        <w:trPr>
          <w:trHeight w:val="795" w:hRule="atLeast"/>
          <w:tblCellSpacing w:w="0" w:type="dxa"/>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12 </w:t>
            </w:r>
          </w:p>
        </w:tc>
        <w:tc>
          <w:tcPr>
            <w:tcW w:w="182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(三)事后监管</w:t>
            </w:r>
            <w:r>
              <w:rPr>
                <w:rFonts w:hint="eastAsia" w:ascii="宋体" w:hAnsi="宋体" w:eastAsia="宋体" w:cs="宋体"/>
                <w:kern w:val="0"/>
                <w:sz w:val="24"/>
                <w:szCs w:val="24"/>
              </w:rPr>
              <w:t xml:space="preserve"> </w:t>
            </w:r>
          </w:p>
        </w:tc>
        <w:tc>
          <w:tcPr>
            <w:tcW w:w="594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bookmarkStart w:id="0" w:name="_GoBack"/>
            <w:bookmarkEnd w:id="0"/>
            <w:r>
              <w:rPr>
                <w:rFonts w:hint="eastAsia" w:ascii="宋体" w:hAnsi="宋体" w:eastAsia="宋体" w:cs="宋体"/>
                <w:kern w:val="0"/>
                <w:sz w:val="24"/>
                <w:szCs w:val="24"/>
              </w:rPr>
              <w:t xml:space="preserve">对检查情况进行汇总、分类、归档备查,并跟踪监测。 </w:t>
            </w: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1A1"/>
    <w:rsid w:val="001361A1"/>
    <w:rsid w:val="006566C4"/>
    <w:rsid w:val="006D7686"/>
    <w:rsid w:val="4DC14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Strong"/>
    <w:basedOn w:val="3"/>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914</Words>
  <Characters>5212</Characters>
  <Lines>43</Lines>
  <Paragraphs>12</Paragraphs>
  <TotalTime>9</TotalTime>
  <ScaleCrop>false</ScaleCrop>
  <LinksUpToDate>false</LinksUpToDate>
  <CharactersWithSpaces>6114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2017-09-01T01:16:00Z</dcterms:created>
  <dc:creator>wangpeng</dc:creator>
  <cp:lastModifiedBy>XYSD</cp:lastModifiedBy>
  <dcterms:modified xsi:type="dcterms:W3CDTF">2025-07-15T06:44:16Z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BABEE54AF3294B5BB090B361157CE433</vt:lpwstr>
  </property>
</Properties>
</file>