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hint="eastAsia"/>
          <w:color w:val="auto"/>
          <w:highlight w:val="none"/>
        </w:rPr>
      </w:pPr>
      <w:r>
        <w:rPr>
          <w:rFonts w:hint="eastAsia" w:ascii="黑体" w:hAnsi="黑体" w:eastAsia="黑体" w:cs="黑体"/>
          <w:color w:val="auto"/>
          <w:sz w:val="28"/>
          <w:szCs w:val="28"/>
          <w:highlight w:val="none"/>
          <w:lang w:eastAsia="zh-CN"/>
        </w:rPr>
        <w:t>附件</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pPr>
        <w:bidi w:val="0"/>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【20</w:t>
      </w:r>
      <w:r>
        <w:rPr>
          <w:rFonts w:hint="eastAsia" w:ascii="方正小标宋简体" w:hAnsi="方正小标宋简体" w:eastAsia="方正小标宋简体" w:cs="方正小标宋简体"/>
          <w:color w:val="auto"/>
          <w:sz w:val="32"/>
          <w:szCs w:val="32"/>
          <w:highlight w:val="none"/>
          <w:lang w:val="en-US" w:eastAsia="zh-CN"/>
        </w:rPr>
        <w:t>25.3-4  古树名木条例，收回职权</w:t>
      </w:r>
      <w:r>
        <w:rPr>
          <w:rFonts w:hint="eastAsia" w:ascii="方正小标宋简体" w:hAnsi="方正小标宋简体" w:eastAsia="方正小标宋简体" w:cs="方正小标宋简体"/>
          <w:color w:val="auto"/>
          <w:sz w:val="32"/>
          <w:szCs w:val="32"/>
          <w:highlight w:val="none"/>
          <w:lang w:eastAsia="zh-CN"/>
        </w:rPr>
        <w:t>】</w:t>
      </w:r>
    </w:p>
    <w:p>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_Toc526440799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_Toc1144378001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_Toc599974242 \h </w:instrText>
          </w:r>
          <w:r>
            <w:fldChar w:fldCharType="separate"/>
          </w:r>
          <w:r>
            <w:t>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_Toc1887098234 \h </w:instrText>
          </w:r>
          <w:r>
            <w:fldChar w:fldCharType="separate"/>
          </w:r>
          <w:r>
            <w:t>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_Toc1280965736 \h </w:instrText>
          </w:r>
          <w:r>
            <w:fldChar w:fldCharType="separate"/>
          </w:r>
          <w:r>
            <w:t>22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_Toc1752345302 \h </w:instrText>
          </w:r>
          <w:r>
            <w:fldChar w:fldCharType="separate"/>
          </w:r>
          <w:r>
            <w:t>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_Toc1651336954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_Toc172958056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_Toc145735833 \h </w:instrText>
          </w:r>
          <w:r>
            <w:fldChar w:fldCharType="separate"/>
          </w:r>
          <w:r>
            <w:t>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_Toc1140185292 \h </w:instrText>
          </w:r>
          <w:r>
            <w:fldChar w:fldCharType="separate"/>
          </w:r>
          <w:r>
            <w:t>32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_Toc1213367316 \h </w:instrText>
          </w:r>
          <w:r>
            <w:fldChar w:fldCharType="separate"/>
          </w:r>
          <w:r>
            <w:t>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_Toc1597996495 \h </w:instrText>
          </w:r>
          <w:r>
            <w:fldChar w:fldCharType="separate"/>
          </w:r>
          <w:r>
            <w:t>34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_Toc1748480692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_Toc1377620528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_Toc39814009 \h </w:instrText>
          </w:r>
          <w:r>
            <w:fldChar w:fldCharType="separate"/>
          </w:r>
          <w:r>
            <w:t>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_Toc1498766390 \h </w:instrText>
          </w:r>
          <w:r>
            <w:fldChar w:fldCharType="separate"/>
          </w:r>
          <w:r>
            <w:t>43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_Toc1839556778 \h </w:instrText>
          </w:r>
          <w:r>
            <w:fldChar w:fldCharType="separate"/>
          </w:r>
          <w:r>
            <w:t>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_Toc1866286370 \h </w:instrText>
          </w:r>
          <w:r>
            <w:fldChar w:fldCharType="separate"/>
          </w:r>
          <w:r>
            <w:t>44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_Toc1709548156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_Toc1607059839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_Toc175167693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_Toc1724920233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_Toc884119906 \h </w:instrText>
          </w:r>
          <w:r>
            <w:fldChar w:fldCharType="separate"/>
          </w:r>
          <w:r>
            <w:t>49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_Toc782261727 \h </w:instrText>
          </w:r>
          <w:r>
            <w:fldChar w:fldCharType="separate"/>
          </w:r>
          <w:r>
            <w:t>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_Toc333158386 \h </w:instrText>
          </w:r>
          <w:r>
            <w:fldChar w:fldCharType="separate"/>
          </w:r>
          <w:r>
            <w:t>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_Toc1483790773 \h </w:instrText>
          </w:r>
          <w:r>
            <w:fldChar w:fldCharType="separate"/>
          </w:r>
          <w:r>
            <w:t>60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_Toc1517927781 \h </w:instrText>
          </w:r>
          <w:r>
            <w:fldChar w:fldCharType="separate"/>
          </w:r>
          <w:r>
            <w:t>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_Toc2108634677 \h </w:instrText>
          </w:r>
          <w:r>
            <w:fldChar w:fldCharType="separate"/>
          </w:r>
          <w:r>
            <w:t>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_Toc1514974869 \h </w:instrText>
          </w:r>
          <w:r>
            <w:fldChar w:fldCharType="separate"/>
          </w:r>
          <w:r>
            <w:t>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_Toc819278804 \h </w:instrText>
          </w:r>
          <w:r>
            <w:fldChar w:fldCharType="separate"/>
          </w:r>
          <w:r>
            <w:t>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_Toc1311839352 \h </w:instrText>
          </w:r>
          <w:r>
            <w:fldChar w:fldCharType="separate"/>
          </w:r>
          <w:r>
            <w:t>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_Toc2041415668 \h </w:instrText>
          </w:r>
          <w:r>
            <w:fldChar w:fldCharType="separate"/>
          </w:r>
          <w:r>
            <w:t>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_Toc1963656805 \h </w:instrText>
          </w:r>
          <w:r>
            <w:fldChar w:fldCharType="separate"/>
          </w:r>
          <w:r>
            <w:t>78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_Toc1911813594 \h </w:instrText>
          </w:r>
          <w:r>
            <w:fldChar w:fldCharType="separate"/>
          </w:r>
          <w:r>
            <w:t>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_Toc1781030255 \h </w:instrText>
          </w:r>
          <w:r>
            <w:fldChar w:fldCharType="separate"/>
          </w:r>
          <w:r>
            <w:t>80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_Toc1097138893 \h </w:instrText>
          </w:r>
          <w:r>
            <w:fldChar w:fldCharType="separate"/>
          </w:r>
          <w:r>
            <w:t>80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_Toc1516675248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_Toc1284883561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_Toc1270096950 \h </w:instrText>
          </w:r>
          <w:r>
            <w:fldChar w:fldCharType="separate"/>
          </w:r>
          <w:r>
            <w:t>89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_Toc1662411082 \h </w:instrText>
          </w:r>
          <w:r>
            <w:fldChar w:fldCharType="separate"/>
          </w:r>
          <w:r>
            <w:t>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_Toc277585206 \h </w:instrText>
          </w:r>
          <w:r>
            <w:fldChar w:fldCharType="separate"/>
          </w:r>
          <w:r>
            <w:t>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_Toc335980618 \h </w:instrText>
          </w:r>
          <w:r>
            <w:fldChar w:fldCharType="separate"/>
          </w:r>
          <w:r>
            <w:t>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_Toc1112923929 \h </w:instrText>
          </w:r>
          <w:r>
            <w:fldChar w:fldCharType="separate"/>
          </w:r>
          <w:r>
            <w:t>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_Toc2026065898 \h </w:instrText>
          </w:r>
          <w:r>
            <w:fldChar w:fldCharType="separate"/>
          </w:r>
          <w:r>
            <w:t>96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_Toc1713601146 \h </w:instrText>
          </w:r>
          <w:r>
            <w:fldChar w:fldCharType="separate"/>
          </w:r>
          <w:r>
            <w:t>97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_Toc1152737938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_Toc1377348640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_Toc1405674276 \h </w:instrText>
          </w:r>
          <w:r>
            <w:fldChar w:fldCharType="separate"/>
          </w:r>
          <w:r>
            <w:t>100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_Toc871540661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_Toc939413149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_Toc865250467 \h </w:instrText>
          </w:r>
          <w:r>
            <w:fldChar w:fldCharType="separate"/>
          </w:r>
          <w:r>
            <w:t>106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_Toc1046708354 \h </w:instrText>
          </w:r>
          <w:r>
            <w:fldChar w:fldCharType="separate"/>
          </w:r>
          <w:r>
            <w:t>107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_Toc516849734 \h </w:instrText>
          </w:r>
          <w:r>
            <w:fldChar w:fldCharType="separate"/>
          </w:r>
          <w:r>
            <w:t>108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_Toc1749370373 \h </w:instrText>
          </w:r>
          <w:r>
            <w:fldChar w:fldCharType="separate"/>
          </w:r>
          <w:r>
            <w:t>108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_Toc1828970082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_Toc850008120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_Toc1085677499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_Toc1199414215 \h </w:instrText>
          </w:r>
          <w:r>
            <w:fldChar w:fldCharType="separate"/>
          </w:r>
          <w:r>
            <w:t>110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_Toc811159149 \h </w:instrText>
          </w:r>
          <w:r>
            <w:fldChar w:fldCharType="separate"/>
          </w:r>
          <w:r>
            <w:t>110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_Toc453168720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_Toc2018693019 \h </w:instrText>
          </w:r>
          <w:r>
            <w:fldChar w:fldCharType="separate"/>
          </w:r>
          <w:r>
            <w:t>111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_Toc2122998501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_Toc347100741 \h </w:instrText>
          </w:r>
          <w:r>
            <w:fldChar w:fldCharType="separate"/>
          </w:r>
          <w:r>
            <w:t>111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_Toc1834866177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_Toc1887328448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_Toc2128130996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_Toc784521422 \h </w:instrText>
          </w:r>
          <w:r>
            <w:fldChar w:fldCharType="separate"/>
          </w:r>
          <w:r>
            <w:t>118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_Toc1256520048 \h </w:instrText>
          </w:r>
          <w:r>
            <w:fldChar w:fldCharType="separate"/>
          </w:r>
          <w:r>
            <w:t>119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_Toc1265530909 \h </w:instrText>
          </w:r>
          <w:r>
            <w:fldChar w:fldCharType="separate"/>
          </w:r>
          <w:r>
            <w:t>120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_Toc2054618372 \h </w:instrText>
          </w:r>
          <w:r>
            <w:fldChar w:fldCharType="separate"/>
          </w:r>
          <w:r>
            <w:t>120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国际交往语言环境建设方面</w:t>
          </w:r>
          <w:r>
            <w:tab/>
          </w:r>
          <w:r>
            <w:fldChar w:fldCharType="begin"/>
          </w:r>
          <w:r>
            <w:instrText xml:space="preserve"> PAGEREF _Toc771447482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_Toc1543116115 \h </w:instrText>
          </w:r>
          <w:r>
            <w:fldChar w:fldCharType="separate"/>
          </w:r>
          <w:r>
            <w:t>125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_Toc243115343 \h </w:instrText>
          </w:r>
          <w:r>
            <w:fldChar w:fldCharType="separate"/>
          </w:r>
          <w:r>
            <w:t>126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水务管理方面</w:t>
          </w:r>
          <w:r>
            <w:rPr>
              <w:rFonts w:hint="eastAsia"/>
              <w:szCs w:val="21"/>
              <w:lang w:val="en-US" w:eastAsia="zh-CN"/>
            </w:rPr>
            <w:t>20</w:t>
          </w:r>
          <w:r>
            <w:rPr>
              <w:rFonts w:hint="eastAsia"/>
              <w:szCs w:val="21"/>
            </w:rPr>
            <w:t>项</w:t>
          </w:r>
          <w:r>
            <w:tab/>
          </w:r>
          <w:r>
            <w:fldChar w:fldCharType="begin"/>
          </w:r>
          <w:r>
            <w:instrText xml:space="preserve"> PAGEREF _Toc1884371412 \h </w:instrText>
          </w:r>
          <w:r>
            <w:fldChar w:fldCharType="separate"/>
          </w:r>
          <w:r>
            <w:t>126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_Toc1421698366 \h </w:instrText>
          </w:r>
          <w:r>
            <w:fldChar w:fldCharType="separate"/>
          </w:r>
          <w:r>
            <w:t>131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_Toc1956716489 \h </w:instrText>
          </w:r>
          <w:r>
            <w:fldChar w:fldCharType="separate"/>
          </w:r>
          <w:r>
            <w:t>131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_Toc889625702 \h </w:instrText>
          </w:r>
          <w:r>
            <w:fldChar w:fldCharType="separate"/>
          </w:r>
          <w:r>
            <w:t>132</w:t>
          </w:r>
          <w:r>
            <w:fldChar w:fldCharType="end"/>
          </w:r>
          <w:r>
            <w:rPr>
              <w:color w:val="auto"/>
              <w:highlight w:val="none"/>
            </w:rPr>
            <w:fldChar w:fldCharType="end"/>
          </w:r>
        </w:p>
        <w:p>
          <w:pPr>
            <w:pStyle w:val="22"/>
            <w:tabs>
              <w:tab w:val="left" w:pos="1516"/>
            </w:tabs>
            <w:ind w:left="0" w:leftChars="0" w:firstLine="0" w:firstLineChars="0"/>
            <w:rPr>
              <w:color w:val="auto"/>
              <w:highlight w:val="none"/>
            </w:rPr>
          </w:pPr>
          <w:r>
            <w:rPr>
              <w:color w:val="auto"/>
              <w:highlight w:val="none"/>
            </w:rPr>
            <w:fldChar w:fldCharType="end"/>
          </w:r>
        </w:p>
      </w:sdtContent>
    </w:sdt>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pPr>
              <w:pStyle w:val="2"/>
              <w:keepNext w:val="0"/>
              <w:keepLines w:val="0"/>
              <w:rPr>
                <w:rFonts w:ascii="黑体" w:hAnsi="黑体" w:eastAsia="黑体"/>
                <w:b w:val="0"/>
                <w:color w:val="auto"/>
                <w:sz w:val="28"/>
                <w:szCs w:val="28"/>
                <w:highlight w:val="none"/>
              </w:rPr>
            </w:pPr>
            <w:bookmarkStart w:id="0" w:name="_Toc110851435"/>
            <w:bookmarkStart w:id="1" w:name="_Toc526440799"/>
            <w:bookmarkStart w:id="2" w:name="_Toc1748547838"/>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pPr>
              <w:pStyle w:val="3"/>
              <w:widowControl w:val="0"/>
              <w:spacing w:line="232" w:lineRule="exact"/>
              <w:rPr>
                <w:rFonts w:asciiTheme="minorEastAsia" w:hAnsiTheme="minorEastAsia" w:eastAsiaTheme="minorEastAsia"/>
                <w:color w:val="auto"/>
                <w:sz w:val="15"/>
                <w:szCs w:val="15"/>
                <w:highlight w:val="none"/>
              </w:rPr>
            </w:pPr>
            <w:bookmarkStart w:id="3" w:name="_Toc1144378001"/>
            <w:bookmarkStart w:id="4" w:name="_Toc1944272260"/>
            <w:bookmarkStart w:id="5" w:name="_Toc110851436"/>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8"/>
              <w:rPr>
                <w:rFonts w:hint="eastAsia"/>
                <w:color w:val="auto"/>
                <w:highlight w:val="none"/>
              </w:rPr>
            </w:pP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22"/>
              <w:spacing w:after="0" w:line="232" w:lineRule="exact"/>
              <w:ind w:firstLine="300"/>
              <w:rPr>
                <w:rFonts w:asciiTheme="minorEastAsia" w:hAnsiTheme="minorEastAsia" w:eastAsiaTheme="minorEastAsia"/>
                <w:color w:val="auto"/>
                <w:sz w:val="15"/>
                <w:szCs w:val="15"/>
                <w:highlight w:val="none"/>
              </w:rPr>
            </w:pPr>
          </w:p>
          <w:p>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 w:name="_Toc599974242"/>
            <w:bookmarkStart w:id="8" w:name="_Toc1542301765"/>
            <w:bookmarkStart w:id="9" w:name="_Toc110851437"/>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0" w:name="_Toc1887098234"/>
            <w:bookmarkStart w:id="11" w:name="_Toc726075658"/>
            <w:bookmarkStart w:id="12" w:name="_Toc110851438"/>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544417110"/>
            <w:bookmarkStart w:id="14" w:name="_Toc1280965736"/>
            <w:bookmarkStart w:id="15" w:name="_Toc110851439"/>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752345302"/>
            <w:bookmarkStart w:id="17" w:name="_Toc80602247"/>
            <w:bookmarkStart w:id="18" w:name="_Toc110851440"/>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pPr>
              <w:pStyle w:val="8"/>
              <w:rPr>
                <w:rFonts w:hint="eastAsia" w:asciiTheme="minorEastAsia" w:hAnsiTheme="minorEastAsia" w:eastAsiaTheme="minorEastAsia"/>
                <w:color w:val="auto"/>
                <w:sz w:val="15"/>
                <w:szCs w:val="15"/>
                <w:highlight w:val="none"/>
                <w:lang w:eastAsia="zh-CN"/>
              </w:rPr>
            </w:pPr>
          </w:p>
          <w:p>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9" w:name="_Toc812078872"/>
            <w:bookmarkStart w:id="20" w:name="_Toc110851441"/>
            <w:bookmarkStart w:id="21" w:name="_Toc1651336954"/>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10851442"/>
            <w:bookmarkStart w:id="23" w:name="_Toc172958056"/>
            <w:bookmarkStart w:id="24" w:name="_Toc1567388814"/>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5" w:name="_Toc764526123"/>
            <w:bookmarkStart w:id="26" w:name="_Toc145735833"/>
            <w:bookmarkStart w:id="27" w:name="_Toc11085144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8" w:name="_Toc295250662"/>
            <w:bookmarkStart w:id="29" w:name="_Toc1140185292"/>
            <w:bookmarkStart w:id="30" w:name="_Toc110851445"/>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31" w:name="_Toc2072230684"/>
            <w:bookmarkStart w:id="32" w:name="_Toc1213367316"/>
            <w:bookmarkStart w:id="33" w:name="_Toc110851446"/>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1597996495"/>
            <w:bookmarkStart w:id="36" w:name="_Toc660874911"/>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pPr>
              <w:pStyle w:val="8"/>
              <w:rPr>
                <w:rFonts w:hint="eastAsia"/>
                <w:color w:val="auto"/>
                <w:highlight w:val="none"/>
                <w:lang w:eastAsia="zh-CN"/>
              </w:rPr>
            </w:pPr>
          </w:p>
          <w:p>
            <w:pPr>
              <w:pStyle w:val="8"/>
              <w:rPr>
                <w:color w:val="auto"/>
                <w:highlight w:val="none"/>
              </w:rPr>
            </w:pPr>
          </w:p>
        </w:tc>
        <w:tc>
          <w:tcPr>
            <w:tcW w:w="824" w:type="dxa"/>
            <w:vMerge w:val="restart"/>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pPr>
              <w:pStyle w:val="8"/>
              <w:rPr>
                <w:rFonts w:hint="default"/>
                <w:color w:val="auto"/>
                <w:highlight w:val="none"/>
                <w:lang w:val="en-US" w:eastAsia="zh-CN"/>
              </w:rPr>
            </w:pPr>
          </w:p>
        </w:tc>
        <w:tc>
          <w:tcPr>
            <w:tcW w:w="1785"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8"/>
            <w:bookmarkStart w:id="38" w:name="_Toc1748480692"/>
            <w:bookmarkStart w:id="39" w:name="_Toc495418307"/>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49"/>
            <w:bookmarkStart w:id="41" w:name="_Toc1377620528"/>
            <w:bookmarkStart w:id="42" w:name="_Toc986557284"/>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110851450"/>
            <w:bookmarkStart w:id="44" w:name="_Toc703776516"/>
            <w:bookmarkStart w:id="45" w:name="_Toc39814009"/>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1498766390"/>
            <w:bookmarkStart w:id="47" w:name="_Toc958675012"/>
            <w:bookmarkStart w:id="48" w:name="_Toc110851451"/>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563678502"/>
            <w:bookmarkStart w:id="50" w:name="_Toc1839556778"/>
            <w:bookmarkStart w:id="51" w:name="_Toc110851452"/>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1866286370"/>
            <w:bookmarkStart w:id="53" w:name="_Toc275604405"/>
            <w:bookmarkStart w:id="54" w:name="_Toc110851453"/>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pPr>
              <w:pStyle w:val="2"/>
              <w:bidi w:val="0"/>
              <w:rPr>
                <w:rFonts w:ascii="黑体" w:hAnsi="黑体" w:eastAsia="黑体" w:cs="仿宋_GB2312"/>
                <w:color w:val="auto"/>
                <w:highlight w:val="none"/>
                <w:lang w:val="en"/>
              </w:rPr>
            </w:pPr>
            <w:bookmarkStart w:id="55" w:name="_Toc435705406"/>
            <w:bookmarkStart w:id="56" w:name="_Toc1709548156"/>
            <w:r>
              <w:rPr>
                <w:rFonts w:hint="eastAsia" w:ascii="黑体" w:hAnsi="黑体" w:eastAsia="黑体" w:cs="黑体"/>
                <w:b w:val="0"/>
                <w:bCs w:val="0"/>
                <w:color w:val="auto"/>
                <w:highlight w:val="none"/>
              </w:rPr>
              <w:t>市政管理方面</w:t>
            </w:r>
            <w:bookmarkEnd w:id="55"/>
            <w:bookmarkEnd w:id="5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7" w:name="_Toc1018838380"/>
            <w:bookmarkStart w:id="58" w:name="_Toc1607059839"/>
            <w:r>
              <w:rPr>
                <w:rFonts w:hint="eastAsia"/>
                <w:color w:val="auto"/>
                <w:sz w:val="21"/>
                <w:szCs w:val="21"/>
                <w:highlight w:val="none"/>
                <w:lang w:val="en-US" w:eastAsia="zh-CN"/>
              </w:rPr>
              <w:t>《北京市无障碍环境建设条例》案由6</w:t>
            </w:r>
            <w:bookmarkEnd w:id="57"/>
            <w:r>
              <w:rPr>
                <w:rFonts w:hint="eastAsia"/>
                <w:color w:val="auto"/>
                <w:sz w:val="21"/>
                <w:szCs w:val="21"/>
                <w:highlight w:val="none"/>
                <w:lang w:val="en-US" w:eastAsia="zh-CN"/>
              </w:rPr>
              <w:t>项</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pPr>
              <w:pStyle w:val="3"/>
              <w:bidi w:val="0"/>
              <w:jc w:val="center"/>
              <w:rPr>
                <w:rFonts w:hint="default" w:ascii="宋体" w:hAnsi="宋体" w:eastAsia="宋体" w:cs="宋体"/>
                <w:color w:val="auto"/>
                <w:sz w:val="21"/>
                <w:szCs w:val="21"/>
                <w:highlight w:val="none"/>
                <w:lang w:val="en-US"/>
              </w:rPr>
            </w:pPr>
            <w:bookmarkStart w:id="59" w:name="_Toc175167693"/>
            <w:bookmarkStart w:id="60" w:name="_Toc1038902727"/>
            <w:r>
              <w:rPr>
                <w:rFonts w:hint="eastAsia" w:ascii="宋体" w:hAnsi="宋体" w:eastAsia="宋体" w:cs="宋体"/>
                <w:color w:val="auto"/>
                <w:sz w:val="21"/>
                <w:szCs w:val="21"/>
                <w:highlight w:val="none"/>
                <w:lang w:val="en-US" w:eastAsia="zh-CN"/>
              </w:rPr>
              <w:t>《中华人民共和国无障碍环境建设法》案由2项</w:t>
            </w:r>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pPr>
              <w:pStyle w:val="3"/>
              <w:bidi w:val="0"/>
              <w:jc w:val="center"/>
              <w:rPr>
                <w:color w:val="auto"/>
                <w:highlight w:val="none"/>
              </w:rPr>
            </w:pPr>
            <w:bookmarkStart w:id="61" w:name="_Toc1724920233"/>
            <w:r>
              <w:rPr>
                <w:rFonts w:hint="eastAsia"/>
                <w:color w:val="auto"/>
                <w:sz w:val="21"/>
                <w:szCs w:val="21"/>
                <w:highlight w:val="none"/>
              </w:rPr>
              <w:t>《城市道路管理条例》《北京市城市道路管理办法》案由16项</w:t>
            </w:r>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62" w:name="_Toc884119906"/>
            <w:bookmarkStart w:id="63" w:name="_Toc1973624040"/>
            <w:bookmarkStart w:id="64" w:name="_Toc110851455"/>
            <w:r>
              <w:rPr>
                <w:rFonts w:hint="eastAsia" w:asciiTheme="minorEastAsia" w:hAnsiTheme="minorEastAsia" w:eastAsiaTheme="minorEastAsia"/>
                <w:color w:val="auto"/>
                <w:sz w:val="21"/>
                <w:szCs w:val="21"/>
                <w:highlight w:val="none"/>
              </w:rPr>
              <w:t>《北京市地下设施检查井井盖管理规定》案由5项</w:t>
            </w:r>
            <w:bookmarkEnd w:id="62"/>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65" w:name="_Toc1693504403"/>
            <w:bookmarkStart w:id="66" w:name="_Toc782261727"/>
            <w:bookmarkStart w:id="67" w:name="_Toc110851456"/>
            <w:r>
              <w:rPr>
                <w:rFonts w:hint="eastAsia" w:ascii="黑体" w:hAnsi="黑体" w:eastAsia="黑体"/>
                <w:b w:val="0"/>
                <w:color w:val="auto"/>
                <w:sz w:val="36"/>
                <w:szCs w:val="36"/>
                <w:highlight w:val="none"/>
              </w:rPr>
              <w:t>公用事业管理方面</w:t>
            </w:r>
            <w:bookmarkEnd w:id="65"/>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10851457"/>
            <w:bookmarkStart w:id="69" w:name="_Toc333158386"/>
            <w:bookmarkStart w:id="70" w:name="_Toc1349825120"/>
            <w:r>
              <w:rPr>
                <w:rFonts w:hint="eastAsia" w:asciiTheme="minorEastAsia" w:hAnsiTheme="minorEastAsia" w:eastAsiaTheme="minorEastAsia"/>
                <w:color w:val="auto"/>
                <w:sz w:val="21"/>
                <w:szCs w:val="21"/>
                <w:highlight w:val="none"/>
              </w:rPr>
              <w:t>《城镇燃气管理条例》案由30项</w:t>
            </w:r>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pPr>
              <w:spacing w:line="232" w:lineRule="exact"/>
              <w:rPr>
                <w:rFonts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pStyle w:val="7"/>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pPr>
              <w:pStyle w:val="22"/>
              <w:ind w:left="0" w:leftChars="0" w:firstLine="0" w:firstLineChars="0"/>
              <w:rPr>
                <w:color w:val="auto"/>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pPr>
              <w:pStyle w:val="8"/>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968530984"/>
            <w:bookmarkStart w:id="72" w:name="_Toc110851458"/>
            <w:bookmarkStart w:id="73" w:name="_Toc1483790773"/>
            <w:r>
              <w:rPr>
                <w:rFonts w:hint="eastAsia" w:asciiTheme="minorEastAsia" w:hAnsiTheme="minorEastAsia" w:eastAsiaTheme="minorEastAsia"/>
                <w:color w:val="auto"/>
                <w:sz w:val="21"/>
                <w:szCs w:val="21"/>
                <w:highlight w:val="none"/>
              </w:rPr>
              <w:t>《北京市燃气管理条例》案由26项</w:t>
            </w:r>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4" w:name="_Toc697937810"/>
            <w:bookmarkStart w:id="75" w:name="_Toc110851459"/>
            <w:bookmarkStart w:id="76" w:name="_Toc1517927781"/>
            <w:r>
              <w:rPr>
                <w:rFonts w:hint="eastAsia" w:asciiTheme="minorEastAsia" w:hAnsiTheme="minorEastAsia" w:eastAsiaTheme="minorEastAsia"/>
                <w:color w:val="auto"/>
                <w:sz w:val="21"/>
                <w:szCs w:val="21"/>
                <w:highlight w:val="none"/>
              </w:rPr>
              <w:t>《北京市消防条例》案由1项</w:t>
            </w:r>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10851460"/>
            <w:bookmarkStart w:id="78" w:name="_Toc2108634677"/>
            <w:bookmarkStart w:id="79" w:name="_Toc1826085962"/>
            <w:r>
              <w:rPr>
                <w:rFonts w:hint="eastAsia" w:asciiTheme="minorEastAsia" w:hAnsiTheme="minorEastAsia" w:eastAsiaTheme="minorEastAsia"/>
                <w:color w:val="auto"/>
                <w:sz w:val="21"/>
                <w:szCs w:val="21"/>
                <w:highlight w:val="none"/>
              </w:rPr>
              <w:t>《北京市清洁燃料车辆加气站管理规定》案由7项</w:t>
            </w:r>
            <w:bookmarkEnd w:id="77"/>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使用明火检查燃气泄露</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10851461"/>
            <w:bookmarkStart w:id="81" w:name="_Toc1473999580"/>
            <w:bookmarkStart w:id="82" w:name="_Toc1514974869"/>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110851462"/>
            <w:bookmarkStart w:id="84" w:name="_Toc819278804"/>
            <w:bookmarkStart w:id="85" w:name="_Toc984069521"/>
            <w:r>
              <w:rPr>
                <w:rFonts w:hint="eastAsia" w:asciiTheme="minorEastAsia" w:hAnsiTheme="minorEastAsia" w:eastAsiaTheme="minorEastAsia"/>
                <w:color w:val="auto"/>
                <w:sz w:val="21"/>
                <w:szCs w:val="21"/>
                <w:highlight w:val="none"/>
              </w:rPr>
              <w:t>《北京市民用建筑节能管理办法》案由2项</w:t>
            </w:r>
            <w:bookmarkEnd w:id="83"/>
            <w:bookmarkEnd w:id="84"/>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6" w:name="_Toc1311839352"/>
            <w:bookmarkStart w:id="87" w:name="_Toc636329439"/>
            <w:bookmarkStart w:id="88" w:name="_Toc110851463"/>
            <w:bookmarkStart w:id="89" w:name="_Toc2100881276"/>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6"/>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0" w:name="_Toc204141566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8"/>
            <w:bookmarkEnd w:id="89"/>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p>
            <w:pPr>
              <w:spacing w:line="232" w:lineRule="exact"/>
              <w:ind w:left="6" w:hanging="21"/>
              <w:jc w:val="center"/>
              <w:rPr>
                <w:rFonts w:cs="宋体" w:asciiTheme="minorEastAsia" w:hAnsiTheme="minorEastAsia" w:eastAsiaTheme="minorEastAsia"/>
                <w:color w:val="auto"/>
                <w:kern w:val="0"/>
                <w:sz w:val="15"/>
                <w:szCs w:val="15"/>
                <w:highlight w:val="none"/>
              </w:rPr>
            </w:pP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widowControl/>
              <w:suppressLineNumbers w:val="0"/>
              <w:jc w:val="left"/>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1" w:name="_Toc1963656805"/>
            <w:bookmarkStart w:id="92" w:name="_Toc110851464"/>
            <w:bookmarkStart w:id="93" w:name="_Toc1075063771"/>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1"/>
            <w:bookmarkEnd w:id="92"/>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pPr>
              <w:pStyle w:val="7"/>
              <w:rPr>
                <w:rFonts w:hint="eastAsia" w:asciiTheme="minorEastAsia" w:hAnsiTheme="minorEastAsia" w:eastAsiaTheme="minorEastAsia" w:cstheme="minorEastAsia"/>
                <w:color w:val="auto"/>
                <w:spacing w:val="-4"/>
                <w:sz w:val="15"/>
                <w:szCs w:val="15"/>
                <w:highlight w:val="none"/>
                <w:lang w:val="en-US" w:eastAsia="zh-CN"/>
              </w:rPr>
            </w:pPr>
          </w:p>
          <w:p>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780858134"/>
            <w:bookmarkStart w:id="95" w:name="_Toc110851465"/>
            <w:bookmarkStart w:id="96" w:name="_Toc1911813594"/>
            <w:r>
              <w:rPr>
                <w:rFonts w:hint="eastAsia" w:asciiTheme="minorEastAsia" w:hAnsiTheme="minorEastAsia" w:eastAsiaTheme="minorEastAsia"/>
                <w:color w:val="auto"/>
                <w:sz w:val="21"/>
                <w:szCs w:val="21"/>
                <w:highlight w:val="none"/>
              </w:rPr>
              <w:t>《北京市单用途预付卡管理条例》案由7项</w:t>
            </w:r>
            <w:bookmarkEnd w:id="94"/>
            <w:bookmarkEnd w:id="95"/>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97" w:name="_Toc1781030255"/>
            <w:bookmarkStart w:id="98" w:name="_Toc1495699393"/>
            <w:bookmarkStart w:id="99" w:name="_Toc110851466"/>
            <w:r>
              <w:rPr>
                <w:rFonts w:hint="eastAsia" w:ascii="黑体" w:hAnsi="黑体" w:eastAsia="黑体"/>
                <w:b w:val="0"/>
                <w:color w:val="auto"/>
                <w:sz w:val="36"/>
                <w:szCs w:val="36"/>
                <w:highlight w:val="none"/>
              </w:rPr>
              <w:t>园林绿化管理方面</w:t>
            </w:r>
            <w:bookmarkEnd w:id="97"/>
            <w:bookmarkEnd w:id="98"/>
            <w:bookmarkEnd w:id="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801139429"/>
            <w:bookmarkStart w:id="101" w:name="_Toc1097138893"/>
            <w:bookmarkStart w:id="102" w:name="_Toc110851467"/>
            <w:r>
              <w:rPr>
                <w:rFonts w:hint="eastAsia" w:asciiTheme="minorEastAsia" w:hAnsiTheme="minorEastAsia" w:eastAsiaTheme="minorEastAsia"/>
                <w:color w:val="auto"/>
                <w:sz w:val="21"/>
                <w:szCs w:val="21"/>
                <w:highlight w:val="none"/>
              </w:rPr>
              <w:t>《北京市绿化条例》案由16项</w:t>
            </w:r>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516675248"/>
            <w:bookmarkStart w:id="104" w:name="_Toc110851468"/>
            <w:bookmarkStart w:id="105" w:name="_Toc177791596"/>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3"/>
            <w:bookmarkEnd w:id="104"/>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284883561"/>
            <w:bookmarkStart w:id="107" w:name="_Toc110851469"/>
            <w:bookmarkStart w:id="108" w:name="_Toc1446129084"/>
            <w:bookmarkStart w:id="109" w:name="_Toc1576301640"/>
            <w:r>
              <w:rPr>
                <w:rFonts w:hint="eastAsia" w:cs="宋体" w:asciiTheme="minorEastAsia" w:hAnsiTheme="minorEastAsia" w:eastAsiaTheme="minorEastAsia"/>
                <w:color w:val="auto"/>
                <w:sz w:val="21"/>
                <w:szCs w:val="21"/>
                <w:highlight w:val="none"/>
              </w:rPr>
              <w:t>《古树名木保护条例》案由11项</w:t>
            </w:r>
            <w:bookmarkEnd w:id="106"/>
            <w:bookmarkEnd w:id="107"/>
            <w:bookmarkEnd w:id="108"/>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continue"/>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5"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ascii="宋体" w:hAnsi="宋体" w:eastAsia="宋体"/>
                <w:color w:val="auto"/>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6"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ascii="宋体" w:hAnsi="宋体" w:eastAsia="宋体" w:cs="宋体"/>
                <w:color w:val="auto"/>
                <w:kern w:val="0"/>
                <w:sz w:val="15"/>
                <w:szCs w:val="15"/>
                <w:highlight w:val="none"/>
              </w:rPr>
            </w:pPr>
          </w:p>
        </w:tc>
        <w:tc>
          <w:tcPr>
            <w:tcW w:w="2385"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ascii="宋体" w:hAnsi="宋体" w:eastAsia="宋体" w:cs="宋体"/>
                <w:color w:val="auto"/>
                <w:kern w:val="0"/>
                <w:sz w:val="15"/>
                <w:szCs w:val="15"/>
                <w:highlight w:val="none"/>
              </w:rPr>
            </w:pPr>
          </w:p>
        </w:tc>
        <w:tc>
          <w:tcPr>
            <w:tcW w:w="23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14218" w:type="dxa"/>
            <w:gridSpan w:val="9"/>
            <w:noWrap w:val="0"/>
            <w:vAlign w:val="center"/>
          </w:tcPr>
          <w:p>
            <w:pPr>
              <w:pStyle w:val="3"/>
              <w:bidi w:val="0"/>
              <w:jc w:val="center"/>
              <w:rPr>
                <w:rFonts w:hint="eastAsia"/>
                <w:lang w:val="en-US" w:eastAsia="zh-CN"/>
              </w:rPr>
            </w:pPr>
            <w:bookmarkStart w:id="110" w:name="_Toc1270096950"/>
            <w:r>
              <w:rPr>
                <w:rFonts w:hint="eastAsia"/>
              </w:rPr>
              <w:t>《北京市古树名木保护管理条例》案由</w:t>
            </w:r>
            <w:r>
              <w:rPr>
                <w:rFonts w:hint="eastAsia"/>
                <w:lang w:val="en-US" w:eastAsia="zh-CN"/>
              </w:rPr>
              <w:t>3项</w:t>
            </w:r>
            <w:bookmarkEnd w:id="1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1" w:name="_Toc465734653"/>
            <w:bookmarkStart w:id="112" w:name="_Toc1662411082"/>
            <w:bookmarkStart w:id="113" w:name="_Toc110851470"/>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1"/>
            <w:bookmarkEnd w:id="112"/>
            <w:bookmarkEnd w:id="1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pPr>
              <w:spacing w:line="240" w:lineRule="exact"/>
              <w:rPr>
                <w:rFonts w:cs="宋体" w:asciiTheme="minorEastAsia" w:hAnsiTheme="minorEastAsia" w:eastAsiaTheme="minorEastAsia"/>
                <w:color w:val="auto"/>
                <w:kern w:val="0"/>
                <w:sz w:val="15"/>
                <w:szCs w:val="15"/>
                <w:highlight w:val="none"/>
              </w:rPr>
            </w:pP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pPr>
              <w:pStyle w:val="2"/>
              <w:bidi w:val="0"/>
              <w:rPr>
                <w:rFonts w:ascii="黑体" w:hAnsi="黑体" w:eastAsia="黑体" w:cs="宋体"/>
                <w:color w:val="auto"/>
                <w:kern w:val="0"/>
                <w:highlight w:val="none"/>
              </w:rPr>
            </w:pPr>
            <w:bookmarkStart w:id="114" w:name="_Toc277585206"/>
            <w:r>
              <w:rPr>
                <w:rFonts w:hint="eastAsia" w:ascii="黑体" w:hAnsi="黑体" w:eastAsia="黑体" w:cs="黑体"/>
                <w:b w:val="0"/>
                <w:bCs w:val="0"/>
                <w:color w:val="auto"/>
                <w:highlight w:val="none"/>
              </w:rPr>
              <w:t>环境保护管理方面</w:t>
            </w:r>
            <w:bookmarkEnd w:id="1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5" w:name="_Toc335980618"/>
            <w:r>
              <w:rPr>
                <w:rFonts w:hint="eastAsia"/>
                <w:color w:val="auto"/>
                <w:sz w:val="21"/>
                <w:szCs w:val="21"/>
                <w:highlight w:val="none"/>
              </w:rPr>
              <w:t>《中华人民共和国大气污染防治法》案由18项</w:t>
            </w:r>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6" w:name="_Toc1112923929"/>
            <w:r>
              <w:rPr>
                <w:rFonts w:hint="eastAsia"/>
                <w:color w:val="auto"/>
                <w:sz w:val="21"/>
                <w:szCs w:val="21"/>
                <w:highlight w:val="none"/>
              </w:rPr>
              <w:t>《北京市大气污染防治条例》案由8项</w:t>
            </w:r>
            <w:bookmarkEnd w:id="1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7" w:name="_Toc2026065898"/>
            <w:bookmarkStart w:id="118" w:name="_Toc110851471"/>
            <w:bookmarkStart w:id="119" w:name="_Toc1745180410"/>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7"/>
            <w:bookmarkEnd w:id="118"/>
            <w:bookmarkEnd w:id="1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0" w:name="_Toc110851472"/>
            <w:bookmarkStart w:id="121" w:name="_Toc193344115"/>
            <w:bookmarkStart w:id="122" w:name="_Toc1713601146"/>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0"/>
            <w:bookmarkEnd w:id="121"/>
            <w:bookmarkEnd w:id="1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2"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3" w:name="_Toc110851473"/>
            <w:bookmarkStart w:id="124" w:name="_Toc760985315"/>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w:t>
            </w:r>
            <w:bookmarkStart w:id="220" w:name="_GoBack"/>
            <w:bookmarkEnd w:id="220"/>
            <w:r>
              <w:rPr>
                <w:rFonts w:hint="eastAsia" w:ascii="宋体" w:hAnsi="宋体" w:eastAsia="宋体" w:cs="宋体"/>
                <w:color w:val="auto"/>
                <w:kern w:val="0"/>
                <w:sz w:val="15"/>
                <w:szCs w:val="15"/>
                <w:highlight w:val="none"/>
              </w:rPr>
              <w:t>万元以上二十万元以下的罚款。</w:t>
            </w: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25" w:name="_Toc1152737938"/>
            <w:r>
              <w:rPr>
                <w:rFonts w:hint="eastAsia" w:ascii="黑体" w:hAnsi="黑体" w:eastAsia="黑体"/>
                <w:b w:val="0"/>
                <w:color w:val="auto"/>
                <w:sz w:val="36"/>
                <w:szCs w:val="36"/>
                <w:highlight w:val="none"/>
              </w:rPr>
              <w:t>施工现场管理方面</w:t>
            </w:r>
            <w:bookmarkEnd w:id="123"/>
            <w:bookmarkEnd w:id="124"/>
            <w:bookmarkEnd w:id="1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6" w:name="_Toc110851474"/>
            <w:bookmarkStart w:id="127" w:name="_Toc1669927446"/>
            <w:bookmarkStart w:id="128" w:name="_Toc1377348640"/>
            <w:r>
              <w:rPr>
                <w:rFonts w:hint="eastAsia" w:asciiTheme="minorEastAsia" w:hAnsiTheme="minorEastAsia" w:eastAsiaTheme="minorEastAsia"/>
                <w:color w:val="auto"/>
                <w:sz w:val="21"/>
                <w:szCs w:val="21"/>
                <w:highlight w:val="none"/>
              </w:rPr>
              <w:t>《北京市大气污染防治条例》施工现场执法案由16项</w:t>
            </w:r>
            <w:bookmarkEnd w:id="126"/>
            <w:bookmarkEnd w:id="127"/>
            <w:bookmark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9" w:name="_Toc1405674276"/>
            <w:bookmarkStart w:id="130" w:name="_Toc854219027"/>
            <w:bookmarkStart w:id="131" w:name="_Toc110851475"/>
            <w:r>
              <w:rPr>
                <w:rFonts w:hint="eastAsia" w:asciiTheme="minorEastAsia" w:hAnsiTheme="minorEastAsia" w:eastAsiaTheme="minorEastAsia"/>
                <w:color w:val="auto"/>
                <w:sz w:val="21"/>
                <w:szCs w:val="21"/>
                <w:highlight w:val="none"/>
              </w:rPr>
              <w:t>《北京市建设工程施工现场管理办法》案由13项</w:t>
            </w:r>
            <w:bookmarkEnd w:id="129"/>
            <w:bookmarkEnd w:id="130"/>
            <w:bookmarkEnd w:id="1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32" w:name="_Toc871540661"/>
            <w:bookmarkStart w:id="133" w:name="_Toc110851476"/>
            <w:bookmarkStart w:id="134" w:name="_Toc1256403622"/>
            <w:r>
              <w:rPr>
                <w:rFonts w:hint="eastAsia" w:ascii="黑体" w:hAnsi="黑体" w:eastAsia="黑体"/>
                <w:b w:val="0"/>
                <w:color w:val="auto"/>
                <w:sz w:val="36"/>
                <w:szCs w:val="36"/>
                <w:highlight w:val="none"/>
              </w:rPr>
              <w:t>停车场管理方面</w:t>
            </w:r>
            <w:bookmarkEnd w:id="132"/>
            <w:bookmarkEnd w:id="133"/>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5" w:name="_Toc110851477"/>
            <w:bookmarkStart w:id="136" w:name="_Toc939413149"/>
            <w:bookmarkStart w:id="137" w:name="_Toc509001082"/>
            <w:r>
              <w:rPr>
                <w:rFonts w:hint="eastAsia" w:asciiTheme="minorEastAsia" w:hAnsiTheme="minorEastAsia" w:eastAsiaTheme="minorEastAsia"/>
                <w:color w:val="auto"/>
                <w:sz w:val="21"/>
                <w:szCs w:val="21"/>
                <w:highlight w:val="none"/>
              </w:rPr>
              <w:t>《北京市机动车停车管理办法》案由13项</w:t>
            </w:r>
            <w:bookmarkEnd w:id="135"/>
            <w:bookmarkEnd w:id="136"/>
            <w:bookmarkEnd w:id="1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8" w:name="_Toc865250467"/>
            <w:bookmarkStart w:id="139" w:name="_Toc1557995543"/>
            <w:bookmarkStart w:id="140" w:name="_Toc110851478"/>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8"/>
            <w:bookmarkEnd w:id="139"/>
            <w:bookmarkEnd w:id="1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1" w:name="_Toc67594986"/>
            <w:bookmarkStart w:id="142" w:name="_Toc110851479"/>
            <w:bookmarkStart w:id="143" w:name="_Toc1046708354"/>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1"/>
            <w:bookmarkEnd w:id="142"/>
            <w:bookmarkEnd w:id="1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44" w:name="_Toc516849734"/>
            <w:bookmarkStart w:id="145" w:name="_Toc110851480"/>
            <w:bookmarkStart w:id="146" w:name="_Toc2072679585"/>
            <w:r>
              <w:rPr>
                <w:rFonts w:hint="eastAsia" w:ascii="黑体" w:hAnsi="黑体" w:eastAsia="黑体"/>
                <w:b w:val="0"/>
                <w:color w:val="auto"/>
                <w:sz w:val="36"/>
                <w:szCs w:val="36"/>
                <w:highlight w:val="none"/>
              </w:rPr>
              <w:t>交通运输管理方面</w:t>
            </w:r>
            <w:bookmarkEnd w:id="144"/>
            <w:bookmarkEnd w:id="145"/>
            <w:bookmarkEnd w:id="1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7" w:name="_Toc110851481"/>
            <w:bookmarkStart w:id="148" w:name="_Toc1833599949"/>
            <w:bookmarkStart w:id="149" w:name="_Toc1749370373"/>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7"/>
            <w:bookmarkEnd w:id="148"/>
            <w:bookmarkEnd w:id="1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0" w:name="_Toc110851482"/>
            <w:bookmarkStart w:id="151" w:name="_Toc121789162"/>
            <w:bookmarkStart w:id="152" w:name="_Toc1828970082"/>
            <w:r>
              <w:rPr>
                <w:rFonts w:hint="eastAsia" w:asciiTheme="minorEastAsia" w:hAnsiTheme="minorEastAsia" w:eastAsiaTheme="minorEastAsia"/>
                <w:color w:val="auto"/>
                <w:sz w:val="21"/>
                <w:szCs w:val="21"/>
                <w:highlight w:val="none"/>
              </w:rPr>
              <w:t>《北京市查处非法客运若干规定》案由2项</w:t>
            </w:r>
            <w:bookmarkEnd w:id="150"/>
            <w:bookmarkEnd w:id="151"/>
            <w:bookmarkEnd w:id="1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53" w:name="_Toc110851483"/>
            <w:bookmarkStart w:id="154" w:name="_Toc360901343"/>
            <w:bookmarkStart w:id="155" w:name="_Toc850008120"/>
            <w:r>
              <w:rPr>
                <w:rFonts w:hint="eastAsia" w:ascii="黑体" w:hAnsi="黑体" w:eastAsia="黑体"/>
                <w:b w:val="0"/>
                <w:color w:val="auto"/>
                <w:sz w:val="36"/>
                <w:szCs w:val="36"/>
                <w:highlight w:val="none"/>
              </w:rPr>
              <w:t>市场监督管理（流动无照经营）方面</w:t>
            </w:r>
            <w:bookmarkEnd w:id="153"/>
            <w:bookmarkEnd w:id="154"/>
            <w:bookmarkEnd w:id="1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6" w:name="_Toc704954681"/>
            <w:bookmarkStart w:id="157" w:name="_Toc110851484"/>
            <w:bookmarkStart w:id="158" w:name="_Toc1085677499"/>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6"/>
            <w:bookmarkEnd w:id="157"/>
            <w:bookmarkEnd w:id="1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9" w:name="_Toc1160691890"/>
            <w:bookmarkStart w:id="160" w:name="_Toc110851485"/>
            <w:bookmarkStart w:id="161" w:name="_Toc1199414215"/>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59"/>
            <w:bookmarkEnd w:id="160"/>
            <w:bookmarkEnd w:id="1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2" w:name="_Toc811159149"/>
            <w:bookmarkStart w:id="163" w:name="_Toc110851486"/>
            <w:bookmarkStart w:id="164" w:name="_Toc187041735"/>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2"/>
            <w:bookmarkEnd w:id="163"/>
            <w:bookmarkEnd w:id="1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65" w:name="_Toc453168720"/>
            <w:bookmarkStart w:id="166" w:name="_Toc110851487"/>
            <w:bookmarkStart w:id="167" w:name="_Toc250975437"/>
            <w:r>
              <w:rPr>
                <w:rFonts w:hint="eastAsia" w:ascii="黑体" w:hAnsi="黑体" w:eastAsia="黑体"/>
                <w:b w:val="0"/>
                <w:color w:val="auto"/>
                <w:sz w:val="36"/>
                <w:szCs w:val="36"/>
                <w:highlight w:val="none"/>
              </w:rPr>
              <w:t>旅游管理（黑导游）方面</w:t>
            </w:r>
            <w:bookmarkEnd w:id="165"/>
            <w:bookmarkEnd w:id="166"/>
            <w:bookmarkEnd w:id="1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8" w:name="_Toc363033362"/>
            <w:bookmarkStart w:id="169" w:name="_Toc2018693019"/>
            <w:bookmarkStart w:id="170" w:name="_Toc110851488"/>
            <w:r>
              <w:rPr>
                <w:rFonts w:hint="eastAsia" w:asciiTheme="minorEastAsia" w:hAnsiTheme="minorEastAsia" w:eastAsiaTheme="minorEastAsia"/>
                <w:color w:val="auto"/>
                <w:sz w:val="21"/>
                <w:szCs w:val="21"/>
                <w:highlight w:val="none"/>
              </w:rPr>
              <w:t>《中华人民共和国旅游法》案由1项</w:t>
            </w:r>
            <w:bookmarkEnd w:id="168"/>
            <w:bookmarkEnd w:id="169"/>
            <w:bookmarkEnd w:id="1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pPr>
              <w:pStyle w:val="2"/>
              <w:keepNext w:val="0"/>
              <w:keepLines w:val="0"/>
              <w:rPr>
                <w:rFonts w:ascii="黑体" w:hAnsi="黑体" w:eastAsia="黑体"/>
                <w:b w:val="0"/>
                <w:color w:val="auto"/>
                <w:sz w:val="36"/>
                <w:szCs w:val="36"/>
                <w:highlight w:val="none"/>
              </w:rPr>
            </w:pPr>
            <w:bookmarkStart w:id="171" w:name="_Toc2122998501"/>
            <w:bookmarkStart w:id="172" w:name="_Toc110851489"/>
            <w:bookmarkStart w:id="173" w:name="_Toc8089072"/>
            <w:r>
              <w:rPr>
                <w:rFonts w:hint="eastAsia" w:ascii="黑体" w:hAnsi="黑体" w:eastAsia="黑体"/>
                <w:b w:val="0"/>
                <w:color w:val="auto"/>
                <w:sz w:val="36"/>
                <w:szCs w:val="36"/>
                <w:highlight w:val="none"/>
              </w:rPr>
              <w:t>食品安全管理方面</w:t>
            </w:r>
            <w:bookmarkEnd w:id="171"/>
            <w:bookmarkEnd w:id="172"/>
            <w:bookmarkEnd w:id="1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4" w:name="_Toc948913247"/>
            <w:bookmarkStart w:id="175" w:name="_Toc347100741"/>
            <w:bookmarkStart w:id="176" w:name="_Toc110851490"/>
            <w:r>
              <w:rPr>
                <w:rFonts w:hint="eastAsia" w:asciiTheme="minorEastAsia" w:hAnsiTheme="minorEastAsia" w:eastAsiaTheme="minorEastAsia"/>
                <w:color w:val="auto"/>
                <w:sz w:val="21"/>
                <w:szCs w:val="21"/>
                <w:highlight w:val="none"/>
              </w:rPr>
              <w:t>《北京市小规模食品生产经营管理规定》案由23项</w:t>
            </w:r>
            <w:bookmarkEnd w:id="174"/>
            <w:bookmarkEnd w:id="175"/>
            <w:bookmarkEnd w:id="1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pPr>
              <w:pStyle w:val="2"/>
              <w:keepNext w:val="0"/>
              <w:keepLines w:val="0"/>
              <w:rPr>
                <w:rFonts w:ascii="黑体" w:hAnsi="黑体" w:eastAsia="黑体"/>
                <w:b w:val="0"/>
                <w:color w:val="auto"/>
                <w:sz w:val="24"/>
                <w:szCs w:val="24"/>
                <w:highlight w:val="none"/>
              </w:rPr>
            </w:pPr>
            <w:bookmarkStart w:id="177" w:name="_Toc1834866177"/>
            <w:bookmarkStart w:id="178" w:name="_Toc110851491"/>
            <w:bookmarkStart w:id="179" w:name="_Toc41635676"/>
            <w:r>
              <w:rPr>
                <w:rFonts w:hint="eastAsia" w:ascii="黑体" w:hAnsi="黑体" w:eastAsia="黑体"/>
                <w:b w:val="0"/>
                <w:color w:val="auto"/>
                <w:sz w:val="36"/>
                <w:szCs w:val="36"/>
                <w:highlight w:val="none"/>
              </w:rPr>
              <w:t>能源运行管理方面</w:t>
            </w:r>
            <w:bookmarkEnd w:id="177"/>
            <w:bookmarkEnd w:id="178"/>
            <w:bookmarkEnd w:id="1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0" w:name="_Toc110851492"/>
            <w:bookmarkStart w:id="181" w:name="_Toc1887328448"/>
            <w:bookmarkStart w:id="182" w:name="_Toc1482088652"/>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0"/>
            <w:bookmarkEnd w:id="181"/>
            <w:bookmarkEnd w:id="1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3" w:name="_Toc110851493"/>
            <w:bookmarkStart w:id="184" w:name="_Toc2128130996"/>
            <w:bookmarkStart w:id="185" w:name="_Toc1932982768"/>
            <w:r>
              <w:rPr>
                <w:rFonts w:hint="eastAsia" w:asciiTheme="minorEastAsia" w:hAnsiTheme="minorEastAsia" w:eastAsiaTheme="minorEastAsia"/>
                <w:color w:val="auto"/>
                <w:sz w:val="21"/>
                <w:szCs w:val="21"/>
                <w:highlight w:val="none"/>
              </w:rPr>
              <w:t>《中华人民共和国可再生能源法》案由2项</w:t>
            </w:r>
            <w:bookmarkEnd w:id="183"/>
            <w:bookmarkEnd w:id="184"/>
            <w:bookmarkEnd w:id="1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6" w:name="_Toc2142516953"/>
            <w:bookmarkStart w:id="187" w:name="_Toc784521422"/>
            <w:bookmarkStart w:id="188" w:name="_Toc110851494"/>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6"/>
            <w:bookmarkEnd w:id="187"/>
            <w:bookmarkEnd w:id="1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9" w:name="_Toc409668775"/>
            <w:bookmarkStart w:id="190" w:name="_Toc110851495"/>
            <w:bookmarkStart w:id="191" w:name="_Toc1256520048"/>
            <w:r>
              <w:rPr>
                <w:rFonts w:hint="eastAsia" w:asciiTheme="minorEastAsia" w:hAnsiTheme="minorEastAsia" w:eastAsiaTheme="minorEastAsia"/>
                <w:color w:val="auto"/>
                <w:sz w:val="21"/>
                <w:szCs w:val="21"/>
                <w:highlight w:val="none"/>
              </w:rPr>
              <w:t>《电力设施保护条例》《电力设施保护条例实施细则》案由5项</w:t>
            </w:r>
            <w:bookmarkEnd w:id="189"/>
            <w:bookmarkEnd w:id="190"/>
            <w:bookmarkEnd w:id="1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pStyle w:val="22"/>
              <w:ind w:left="0" w:leftChars="0" w:firstLine="0" w:firstLineChars="0"/>
              <w:rPr>
                <w:color w:val="auto"/>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pPr>
              <w:pStyle w:val="3"/>
              <w:bidi w:val="0"/>
              <w:jc w:val="center"/>
              <w:rPr>
                <w:rFonts w:hint="default"/>
                <w:lang w:val="en-US" w:eastAsia="zh-CN"/>
              </w:rPr>
            </w:pPr>
            <w:bookmarkStart w:id="192" w:name="_Toc1265530909"/>
            <w:r>
              <w:rPr>
                <w:rFonts w:hint="eastAsia"/>
                <w:sz w:val="21"/>
                <w:szCs w:val="21"/>
                <w:lang w:val="en-US" w:eastAsia="zh-CN"/>
              </w:rPr>
              <w:t>《北京市优化营商环境条例》案由1项</w:t>
            </w:r>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pPr>
              <w:pStyle w:val="8"/>
              <w:jc w:val="center"/>
              <w:rPr>
                <w:rFonts w:hint="eastAsia" w:eastAsia="仿宋_GB2312"/>
                <w:sz w:val="15"/>
                <w:szCs w:val="15"/>
                <w:lang w:val="en-US" w:eastAsia="zh-CN"/>
              </w:rPr>
            </w:pPr>
            <w:r>
              <w:rPr>
                <w:rFonts w:hint="eastAsia"/>
                <w:sz w:val="15"/>
                <w:szCs w:val="15"/>
                <w:lang w:val="en-US" w:eastAsia="zh-CN"/>
              </w:rPr>
              <w:t>1</w:t>
            </w:r>
          </w:p>
        </w:tc>
        <w:tc>
          <w:tcPr>
            <w:tcW w:w="1500" w:type="dxa"/>
            <w:tcBorders>
              <w:bottom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w:t>
            </w:r>
            <w:r>
              <w:rPr>
                <w:rStyle w:val="62"/>
                <w:rFonts w:hint="eastAsia" w:asciiTheme="minorEastAsia" w:hAnsiTheme="minorEastAsia" w:eastAsiaTheme="minorEastAsia" w:cstheme="minorEastAsia"/>
                <w:sz w:val="15"/>
                <w:szCs w:val="15"/>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《北京市城市管理委员会关于修订</w:t>
            </w:r>
            <w:r>
              <w:rPr>
                <w:rFonts w:hint="default" w:asciiTheme="majorEastAsia" w:hAnsiTheme="majorEastAsia" w:eastAsiaTheme="majorEastAsia" w:cstheme="majorEastAsia"/>
                <w:sz w:val="15"/>
                <w:szCs w:val="15"/>
                <w:lang w:val="en-US" w:eastAsia="zh-CN"/>
              </w:rPr>
              <w:t>&lt;</w:t>
            </w:r>
            <w:r>
              <w:rPr>
                <w:rFonts w:hint="eastAsia" w:asciiTheme="majorEastAsia" w:hAnsiTheme="majorEastAsia" w:eastAsiaTheme="majorEastAsia" w:cstheme="majorEastAsia"/>
                <w:sz w:val="15"/>
                <w:szCs w:val="15"/>
                <w:lang w:eastAsia="zh-CN"/>
              </w:rPr>
              <w:t>北京电网供电可靠性管制工作细则（试行）</w:t>
            </w:r>
            <w:r>
              <w:rPr>
                <w:rFonts w:hint="default" w:asciiTheme="majorEastAsia" w:hAnsiTheme="majorEastAsia" w:eastAsiaTheme="majorEastAsia" w:cstheme="majorEastAsia"/>
                <w:sz w:val="15"/>
                <w:szCs w:val="15"/>
                <w:lang w:val="en-US" w:eastAsia="zh-CN"/>
              </w:rPr>
              <w:t>&gt;</w:t>
            </w:r>
            <w:r>
              <w:rPr>
                <w:rFonts w:hint="eastAsia" w:asciiTheme="majorEastAsia" w:hAnsiTheme="majorEastAsia" w:eastAsiaTheme="majorEastAsia" w:cstheme="majorEastAsia"/>
                <w:sz w:val="15"/>
                <w:szCs w:val="15"/>
                <w:lang w:eastAsia="zh-CN"/>
              </w:rPr>
              <w:t>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城市电网年供电可靠率（ASAI）</w:t>
            </w:r>
            <w:r>
              <w:rPr>
                <w:rFonts w:hint="eastAsia" w:asciiTheme="majorEastAsia" w:hAnsiTheme="majorEastAsia" w:eastAsiaTheme="majorEastAsia" w:cstheme="majorEastAsia"/>
                <w:sz w:val="15"/>
                <w:szCs w:val="15"/>
                <w:lang w:eastAsia="zh-CN"/>
              </w:rPr>
              <w:t>应</w:t>
            </w:r>
            <w:r>
              <w:rPr>
                <w:rFonts w:hint="eastAsia" w:asciiTheme="majorEastAsia" w:hAnsiTheme="majorEastAsia" w:eastAsiaTheme="majorEastAsia" w:cstheme="majorEastAsia"/>
                <w:sz w:val="15"/>
                <w:szCs w:val="15"/>
              </w:rPr>
              <w:t>高于99%（含99%），且较上年变化率在-0.002至0.002个百分点之间（含）</w:t>
            </w:r>
            <w:r>
              <w:rPr>
                <w:rFonts w:hint="eastAsia" w:asciiTheme="majorEastAsia" w:hAnsiTheme="majorEastAsia" w:eastAsiaTheme="majorEastAsia" w:cstheme="majorEastAsia"/>
                <w:sz w:val="15"/>
                <w:szCs w:val="15"/>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1.</w:t>
            </w:r>
            <w:r>
              <w:rPr>
                <w:rFonts w:hint="eastAsia" w:asciiTheme="majorEastAsia" w:hAnsiTheme="majorEastAsia" w:eastAsiaTheme="majorEastAsia" w:cstheme="majorEastAsia"/>
                <w:sz w:val="15"/>
                <w:szCs w:val="15"/>
              </w:rPr>
              <w:t>城市电网年供电可靠率（ASAI）低于上年0.002至0.004个百分点（含0.004），处罚5万元。</w:t>
            </w:r>
          </w:p>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2.</w:t>
            </w:r>
            <w:r>
              <w:rPr>
                <w:rFonts w:hint="eastAsia" w:asciiTheme="majorEastAsia" w:hAnsiTheme="majorEastAsia" w:eastAsiaTheme="majorEastAsia" w:cstheme="majorEastAsia"/>
                <w:sz w:val="15"/>
                <w:szCs w:val="15"/>
              </w:rPr>
              <w:t>城市电网年供电可靠率（ASAI）低于上年0.004至0.006个百分点（含0.006），处罚20万元。</w:t>
            </w:r>
          </w:p>
          <w:p>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3.</w:t>
            </w:r>
            <w:r>
              <w:rPr>
                <w:rFonts w:hint="eastAsia" w:asciiTheme="majorEastAsia" w:hAnsiTheme="majorEastAsia" w:eastAsiaTheme="majorEastAsia" w:cstheme="majorEastAsia"/>
                <w:sz w:val="15"/>
                <w:szCs w:val="15"/>
              </w:rPr>
              <w:t>城市电网年供电可靠率（ASAI）低于99%，或低于上年0.006个百分点以上，处罚50万元。</w:t>
            </w:r>
          </w:p>
        </w:tc>
        <w:tc>
          <w:tcPr>
            <w:tcW w:w="2385" w:type="dxa"/>
            <w:tcBorders>
              <w:bottom w:val="single" w:color="auto" w:sz="4" w:space="0"/>
            </w:tcBorders>
            <w:shd w:val="clear" w:color="auto" w:fill="FFFFFF"/>
            <w:vAlign w:val="center"/>
          </w:tcPr>
          <w:p>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490732698"/>
            <w:bookmarkStart w:id="194" w:name="_Toc110851497"/>
            <w:bookmarkStart w:id="195" w:name="_Toc2054618372"/>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pPr>
              <w:pStyle w:val="2"/>
              <w:bidi w:val="0"/>
              <w:rPr>
                <w:rFonts w:hint="eastAsia" w:asciiTheme="minorEastAsia" w:hAnsiTheme="minorEastAsia" w:eastAsiaTheme="minorEastAsia"/>
                <w:color w:val="auto"/>
                <w:szCs w:val="15"/>
                <w:highlight w:val="none"/>
              </w:rPr>
            </w:pPr>
            <w:bookmarkStart w:id="198" w:name="_Toc771447482"/>
            <w:r>
              <w:rPr>
                <w:rFonts w:hint="eastAsia"/>
              </w:rPr>
              <w:t>国际交往语言环境建设方面</w:t>
            </w:r>
            <w:bookmarkEnd w:id="1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pPr>
              <w:pStyle w:val="3"/>
              <w:bidi w:val="0"/>
              <w:jc w:val="center"/>
              <w:rPr>
                <w:rFonts w:hint="eastAsia" w:asciiTheme="minorEastAsia" w:hAnsiTheme="minorEastAsia" w:eastAsiaTheme="minorEastAsia"/>
                <w:color w:val="auto"/>
                <w:szCs w:val="15"/>
                <w:highlight w:val="none"/>
              </w:rPr>
            </w:pPr>
            <w:bookmarkStart w:id="199" w:name="_Toc1543116115"/>
            <w:r>
              <w:rPr>
                <w:rFonts w:hint="eastAsia"/>
              </w:rPr>
              <w:t>《</w:t>
            </w:r>
            <w:r>
              <w:rPr>
                <w:rFonts w:hint="eastAsia"/>
                <w:lang w:val="zh-CN"/>
              </w:rPr>
              <w:t>北京市国际交往语言环境建设条例</w:t>
            </w:r>
            <w:r>
              <w:rPr>
                <w:rFonts w:hint="eastAsia"/>
              </w:rPr>
              <w:t>》案由4项</w:t>
            </w:r>
            <w:bookmarkEnd w:id="1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pPr>
              <w:autoSpaceDE w:val="0"/>
              <w:spacing w:line="190" w:lineRule="exact"/>
              <w:jc w:val="center"/>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pPr>
              <w:pStyle w:val="2"/>
              <w:bidi w:val="0"/>
              <w:rPr>
                <w:rFonts w:hint="eastAsia"/>
                <w:sz w:val="21"/>
                <w:szCs w:val="21"/>
              </w:rPr>
            </w:pPr>
            <w:bookmarkStart w:id="200" w:name="_Toc1437339030"/>
            <w:bookmarkStart w:id="201" w:name="_Toc341845612"/>
            <w:bookmarkStart w:id="202" w:name="_Toc110851502"/>
            <w:bookmarkStart w:id="203" w:name="_Toc243115343"/>
            <w:bookmarkStart w:id="204" w:name="_Toc1953583257"/>
            <w:r>
              <w:rPr>
                <w:rFonts w:hint="eastAsia"/>
                <w:sz w:val="21"/>
                <w:szCs w:val="21"/>
              </w:rPr>
              <w:t>生态环境</w:t>
            </w:r>
            <w:bookmarkEnd w:id="200"/>
            <w:r>
              <w:rPr>
                <w:rFonts w:hint="eastAsia"/>
                <w:sz w:val="21"/>
                <w:szCs w:val="21"/>
                <w:lang w:eastAsia="zh-CN"/>
              </w:rPr>
              <w:t>下放</w:t>
            </w:r>
            <w:r>
              <w:rPr>
                <w:rFonts w:hint="eastAsia"/>
                <w:sz w:val="21"/>
                <w:szCs w:val="21"/>
                <w:lang w:val="en-US" w:eastAsia="zh-CN"/>
              </w:rPr>
              <w:t>2</w:t>
            </w:r>
            <w:r>
              <w:rPr>
                <w:rFonts w:hint="eastAsia"/>
                <w:sz w:val="21"/>
                <w:szCs w:val="21"/>
              </w:rPr>
              <w:t>项</w:t>
            </w:r>
            <w:bookmarkEnd w:id="201"/>
            <w:bookmarkEnd w:id="202"/>
            <w:bookmarkEnd w:id="203"/>
            <w:bookmarkEnd w:id="204"/>
          </w:p>
          <w:p>
            <w:pPr>
              <w:jc w:val="center"/>
              <w:rPr>
                <w:rFonts w:hint="eastAsia" w:asciiTheme="minorEastAsia" w:hAnsiTheme="minorEastAsia" w:eastAsiaTheme="minorEastAsia" w:cstheme="minorEastAsia"/>
                <w:b/>
                <w:bCs/>
                <w:sz w:val="21"/>
                <w:szCs w:val="21"/>
              </w:rPr>
            </w:pPr>
          </w:p>
          <w:p>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5"/>
            <w:noWrap w:val="0"/>
            <w:vAlign w:val="center"/>
          </w:tcPr>
          <w:p>
            <w:pPr>
              <w:pStyle w:val="2"/>
              <w:bidi w:val="0"/>
              <w:rPr>
                <w:rFonts w:hint="eastAsia"/>
                <w:sz w:val="21"/>
                <w:szCs w:val="21"/>
              </w:rPr>
            </w:pPr>
            <w:bookmarkStart w:id="205" w:name="_Toc1884371412"/>
            <w:bookmarkStart w:id="206" w:name="_Toc1112894806"/>
            <w:bookmarkStart w:id="207" w:name="_Toc1642327804"/>
            <w:bookmarkStart w:id="208" w:name="_Toc110851503"/>
            <w:r>
              <w:rPr>
                <w:rFonts w:hint="eastAsia"/>
                <w:sz w:val="21"/>
                <w:szCs w:val="21"/>
              </w:rPr>
              <w:t>水务管理方面</w:t>
            </w:r>
            <w:r>
              <w:rPr>
                <w:rFonts w:hint="eastAsia"/>
                <w:sz w:val="21"/>
                <w:szCs w:val="21"/>
                <w:lang w:val="en-US" w:eastAsia="zh-CN"/>
              </w:rPr>
              <w:t>20</w:t>
            </w:r>
            <w:r>
              <w:rPr>
                <w:rFonts w:hint="eastAsia"/>
                <w:sz w:val="21"/>
                <w:szCs w:val="21"/>
              </w:rPr>
              <w:t>项</w:t>
            </w:r>
            <w:bookmarkEnd w:id="205"/>
            <w:bookmarkEnd w:id="206"/>
            <w:bookmarkEnd w:id="207"/>
            <w:bookmarkEnd w:id="208"/>
          </w:p>
          <w:p>
            <w:pPr>
              <w:rPr>
                <w:rFonts w:hint="eastAsia"/>
              </w:rPr>
            </w:pPr>
          </w:p>
          <w:p>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4"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6"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shd w:val="clear" w:color="auto" w:fill="auto"/>
            <w:noWrap w:val="0"/>
            <w:vAlign w:val="center"/>
          </w:tcPr>
          <w:p>
            <w:pPr>
              <w:spacing w:line="232" w:lineRule="exact"/>
              <w:jc w:val="center"/>
              <w:rPr>
                <w:rFonts w:hint="default" w:ascii="宋体" w:hAnsi="宋体" w:eastAsia="宋体" w:cs="仿宋_GB2312"/>
                <w:kern w:val="0"/>
                <w:sz w:val="15"/>
                <w:szCs w:val="15"/>
                <w:lang w:val="en-US" w:eastAsia="zh-CN" w:bidi="ar-SA"/>
              </w:rPr>
            </w:pPr>
            <w:bookmarkStart w:id="209" w:name="_Toc473764242"/>
            <w:bookmarkStart w:id="210" w:name="_Toc110851504"/>
            <w:bookmarkStart w:id="211" w:name="_Toc1290044525"/>
            <w:r>
              <w:rPr>
                <w:rFonts w:hint="default" w:ascii="宋体" w:hAnsi="宋体" w:eastAsia="宋体" w:cs="仿宋_GB2312"/>
                <w:kern w:val="0"/>
                <w:sz w:val="15"/>
                <w:szCs w:val="15"/>
                <w:lang w:val="en-US"/>
              </w:rPr>
              <w:t>20</w:t>
            </w:r>
          </w:p>
        </w:tc>
        <w:tc>
          <w:tcPr>
            <w:tcW w:w="1500" w:type="dxa"/>
            <w:gridSpan w:val="2"/>
            <w:shd w:val="clear" w:color="auto" w:fill="auto"/>
            <w:noWrap w:val="0"/>
            <w:vAlign w:val="center"/>
          </w:tcPr>
          <w:p>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pPr>
              <w:pStyle w:val="22"/>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pPr>
              <w:pStyle w:val="2"/>
              <w:bidi w:val="0"/>
              <w:rPr>
                <w:rFonts w:ascii="宋体" w:hAnsi="宋体" w:eastAsia="宋体"/>
                <w:szCs w:val="15"/>
              </w:rPr>
            </w:pPr>
            <w:bookmarkStart w:id="212" w:name="_Toc1421698366"/>
            <w:r>
              <w:rPr>
                <w:rFonts w:hint="eastAsia"/>
                <w:sz w:val="21"/>
                <w:szCs w:val="21"/>
              </w:rPr>
              <w:t>农业农村</w:t>
            </w:r>
            <w:r>
              <w:rPr>
                <w:rFonts w:hint="eastAsia"/>
                <w:sz w:val="21"/>
                <w:szCs w:val="21"/>
                <w:lang w:eastAsia="zh-CN"/>
              </w:rPr>
              <w:t>下放</w:t>
            </w:r>
            <w:r>
              <w:rPr>
                <w:rFonts w:hint="eastAsia"/>
                <w:sz w:val="21"/>
                <w:szCs w:val="21"/>
              </w:rPr>
              <w:t>1项</w:t>
            </w:r>
            <w:bookmarkEnd w:id="209"/>
            <w:bookmarkEnd w:id="210"/>
            <w:bookmarkEnd w:id="211"/>
            <w:bookmarkEnd w:id="2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pPr>
              <w:pStyle w:val="2"/>
              <w:bidi w:val="0"/>
              <w:rPr>
                <w:rFonts w:hint="eastAsia"/>
                <w:sz w:val="21"/>
                <w:szCs w:val="21"/>
              </w:rPr>
            </w:pPr>
            <w:bookmarkStart w:id="213" w:name="_Toc589852508"/>
            <w:bookmarkStart w:id="214" w:name="_Toc110851505"/>
            <w:bookmarkStart w:id="215" w:name="_Toc1956716489"/>
            <w:bookmarkStart w:id="216" w:name="_Toc2011773058"/>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3"/>
            <w:bookmarkEnd w:id="214"/>
            <w:bookmarkEnd w:id="215"/>
            <w:bookmarkEnd w:id="216"/>
          </w:p>
          <w:p>
            <w:pPr>
              <w:rPr>
                <w:rFonts w:hint="eastAsia"/>
              </w:rPr>
            </w:pPr>
          </w:p>
          <w:p>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pPr>
              <w:pStyle w:val="2"/>
              <w:bidi w:val="0"/>
              <w:rPr>
                <w:rFonts w:hint="default" w:ascii="宋体" w:hAnsi="宋体" w:eastAsia="宋体" w:cs="Times New Roman"/>
                <w:b/>
                <w:bCs/>
                <w:color w:val="000000"/>
                <w:kern w:val="44"/>
                <w:szCs w:val="15"/>
                <w:lang w:val="en-US" w:eastAsia="zh-CN" w:bidi="ar-SA"/>
              </w:rPr>
            </w:pPr>
            <w:bookmarkStart w:id="217" w:name="_Toc889625702"/>
            <w:bookmarkStart w:id="218" w:name="_Toc979026322"/>
            <w:r>
              <w:rPr>
                <w:rFonts w:hint="eastAsia"/>
                <w:b/>
                <w:bCs/>
                <w:sz w:val="21"/>
                <w:szCs w:val="21"/>
                <w:lang w:eastAsia="zh-CN"/>
              </w:rPr>
              <w:t>住房城乡建设下放</w:t>
            </w:r>
            <w:r>
              <w:rPr>
                <w:rFonts w:hint="eastAsia"/>
                <w:b/>
                <w:bCs/>
                <w:sz w:val="21"/>
                <w:szCs w:val="21"/>
                <w:lang w:val="en-US" w:eastAsia="zh-CN"/>
              </w:rPr>
              <w:t>3项</w:t>
            </w:r>
            <w:bookmarkEnd w:id="2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trPr>
        <w:tc>
          <w:tcPr>
            <w:tcW w:w="14329" w:type="dxa"/>
            <w:gridSpan w:val="15"/>
            <w:noWrap w:val="0"/>
            <w:vAlign w:val="center"/>
          </w:tcPr>
          <w:p>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8"/>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9"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9"/>
    </w:tbl>
    <w:p>
      <w:pPr>
        <w:pStyle w:val="8"/>
      </w:pPr>
    </w:p>
    <w:p>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icrosoft JhengHei">
    <w:panose1 w:val="020B0604030504040204"/>
    <w:charset w:val="88"/>
    <w:family w:val="swiss"/>
    <w:pitch w:val="default"/>
    <w:sig w:usb0="000002A7" w:usb1="28CF4400" w:usb2="00000016" w:usb3="00000000" w:csb0="00100009"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2265F9"/>
    <w:rsid w:val="0AEF46DA"/>
    <w:rsid w:val="0B9F92F6"/>
    <w:rsid w:val="0BF216FD"/>
    <w:rsid w:val="0BFBDC50"/>
    <w:rsid w:val="0C14055E"/>
    <w:rsid w:val="0DB203EF"/>
    <w:rsid w:val="0E9654A5"/>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366245"/>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8B41ED"/>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1E45C6"/>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EB71E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136</Pages>
  <Words>124895</Words>
  <Characters>131914</Characters>
  <Lines>1186</Lines>
  <Paragraphs>334</Paragraphs>
  <TotalTime>295</TotalTime>
  <ScaleCrop>false</ScaleCrop>
  <LinksUpToDate>false</LinksUpToDate>
  <CharactersWithSpaces>134862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2022-09-05T02:35:00Z</dcterms:created>
  <dc:creator>张通</dc:creator>
  <cp:lastModifiedBy>FZ</cp:lastModifiedBy>
  <cp:lastPrinted>2024-09-07T23:37:00Z</cp:lastPrinted>
  <dcterms:modified xsi:type="dcterms:W3CDTF">2025-05-19T08:04:07Z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124BE05945A608BAC113EA6786105068_43</vt:lpwstr>
  </property>
</Properties>
</file>