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6" w:line="183" w:lineRule="auto"/>
        <w:ind w:left="1056" w:firstLine="920" w:firstLineChars="200"/>
        <w:rPr>
          <w:rFonts w:ascii="微软雅黑" w:hAnsi="微软雅黑" w:eastAsia="微软雅黑" w:cs="微软雅黑"/>
          <w:sz w:val="41"/>
          <w:szCs w:val="41"/>
        </w:rPr>
      </w:pPr>
      <w:r>
        <w:rPr>
          <w:rFonts w:ascii="微软雅黑" w:hAnsi="微软雅黑" w:eastAsia="微软雅黑" w:cs="微软雅黑"/>
          <w:spacing w:val="25"/>
          <w:sz w:val="41"/>
          <w:szCs w:val="41"/>
        </w:rPr>
        <w:t>应急管理轻微违法行为可以不予行政处罚事项清单(试行)</w:t>
      </w:r>
    </w:p>
    <w:p>
      <w:pPr>
        <w:spacing w:line="43" w:lineRule="exact"/>
      </w:pPr>
    </w:p>
    <w:tbl>
      <w:tblPr>
        <w:tblStyle w:val="4"/>
        <w:tblW w:w="14048" w:type="dxa"/>
        <w:tblInd w:w="3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314"/>
        <w:gridCol w:w="5448"/>
        <w:gridCol w:w="55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80" w:type="dxa"/>
            <w:vAlign w:val="top"/>
          </w:tcPr>
          <w:p>
            <w:pPr>
              <w:spacing w:before="154" w:line="238" w:lineRule="auto"/>
              <w:ind w:left="127"/>
              <w:rPr>
                <w:rFonts w:ascii="FZHei-B01" w:hAnsi="FZHei-B01" w:eastAsia="FZHei-B01" w:cs="FZHei-B01"/>
                <w:sz w:val="26"/>
                <w:szCs w:val="26"/>
              </w:rPr>
            </w:pPr>
            <w:r>
              <w:rPr>
                <w:rFonts w:ascii="FZHei-B01" w:hAnsi="FZHei-B01" w:eastAsia="FZHei-B01" w:cs="FZHei-B01"/>
                <w:spacing w:val="4"/>
                <w:sz w:val="26"/>
                <w:szCs w:val="26"/>
              </w:rPr>
              <w:t>序号</w:t>
            </w:r>
          </w:p>
        </w:tc>
        <w:tc>
          <w:tcPr>
            <w:tcW w:w="2314" w:type="dxa"/>
            <w:vAlign w:val="top"/>
          </w:tcPr>
          <w:p>
            <w:pPr>
              <w:spacing w:before="155" w:line="236" w:lineRule="auto"/>
              <w:ind w:left="630"/>
              <w:rPr>
                <w:rFonts w:ascii="FZHei-B01" w:hAnsi="FZHei-B01" w:eastAsia="FZHei-B01" w:cs="FZHei-B01"/>
                <w:sz w:val="26"/>
                <w:szCs w:val="26"/>
              </w:rPr>
            </w:pPr>
            <w:r>
              <w:rPr>
                <w:rFonts w:ascii="FZHei-B01" w:hAnsi="FZHei-B01" w:eastAsia="FZHei-B01" w:cs="FZHei-B01"/>
                <w:spacing w:val="4"/>
                <w:sz w:val="26"/>
                <w:szCs w:val="26"/>
              </w:rPr>
              <w:t>违法行为</w:t>
            </w:r>
          </w:p>
        </w:tc>
        <w:tc>
          <w:tcPr>
            <w:tcW w:w="5448" w:type="dxa"/>
            <w:vAlign w:val="top"/>
          </w:tcPr>
          <w:p>
            <w:pPr>
              <w:spacing w:before="154" w:line="237" w:lineRule="auto"/>
              <w:ind w:left="2204"/>
              <w:rPr>
                <w:rFonts w:ascii="FZHei-B01" w:hAnsi="FZHei-B01" w:eastAsia="FZHei-B01" w:cs="FZHei-B01"/>
                <w:sz w:val="26"/>
                <w:szCs w:val="26"/>
              </w:rPr>
            </w:pPr>
            <w:r>
              <w:rPr>
                <w:rFonts w:ascii="FZHei-B01" w:hAnsi="FZHei-B01" w:eastAsia="FZHei-B01" w:cs="FZHei-B01"/>
                <w:spacing w:val="2"/>
                <w:sz w:val="26"/>
                <w:szCs w:val="26"/>
              </w:rPr>
              <w:t>法律规定</w:t>
            </w:r>
          </w:p>
        </w:tc>
        <w:tc>
          <w:tcPr>
            <w:tcW w:w="5506" w:type="dxa"/>
            <w:vAlign w:val="top"/>
          </w:tcPr>
          <w:p>
            <w:pPr>
              <w:spacing w:before="154" w:line="237" w:lineRule="auto"/>
              <w:ind w:left="2228"/>
              <w:rPr>
                <w:rFonts w:ascii="FZHei-B01" w:hAnsi="FZHei-B01" w:eastAsia="FZHei-B01" w:cs="FZHei-B01"/>
                <w:sz w:val="26"/>
                <w:szCs w:val="26"/>
              </w:rPr>
            </w:pPr>
            <w:r>
              <w:rPr>
                <w:rFonts w:ascii="FZHei-B01" w:hAnsi="FZHei-B01" w:eastAsia="FZHei-B01" w:cs="FZHei-B01"/>
                <w:spacing w:val="3"/>
                <w:sz w:val="26"/>
                <w:szCs w:val="26"/>
              </w:rPr>
              <w:t>处罚依据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3" w:hRule="atLeast"/>
        </w:trPr>
        <w:tc>
          <w:tcPr>
            <w:tcW w:w="78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84" w:line="184" w:lineRule="auto"/>
              <w:ind w:left="318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1</w:t>
            </w:r>
          </w:p>
        </w:tc>
        <w:tc>
          <w:tcPr>
            <w:tcW w:w="231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80" w:line="261" w:lineRule="auto"/>
              <w:ind w:left="104" w:right="101" w:firstLine="8"/>
              <w:jc w:val="both"/>
              <w:rPr>
                <w:rFonts w:ascii="FZHei-B01" w:hAnsi="FZHei-B01" w:eastAsia="FZHei-B01" w:cs="FZHei-B01"/>
                <w:sz w:val="22"/>
                <w:szCs w:val="22"/>
              </w:rPr>
            </w:pPr>
            <w:r>
              <w:rPr>
                <w:rFonts w:ascii="FZHei-B01" w:hAnsi="FZHei-B01" w:eastAsia="FZHei-B01" w:cs="FZHei-B01"/>
                <w:spacing w:val="12"/>
                <w:sz w:val="22"/>
                <w:szCs w:val="22"/>
              </w:rPr>
              <w:t>生产经营单位未将事</w:t>
            </w:r>
            <w:r>
              <w:rPr>
                <w:rFonts w:ascii="FZHei-B01" w:hAnsi="FZHei-B01" w:eastAsia="FZHei-B01" w:cs="FZHei-B01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22"/>
                <w:szCs w:val="22"/>
              </w:rPr>
              <w:t>故隐患排查治理情况</w:t>
            </w:r>
            <w:r>
              <w:rPr>
                <w:rFonts w:ascii="FZHei-B01" w:hAnsi="FZHei-B01" w:eastAsia="FZHei-B01" w:cs="FZHei-B01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22"/>
                <w:szCs w:val="22"/>
              </w:rPr>
              <w:t>如实记录或者未向从</w:t>
            </w:r>
            <w:r>
              <w:rPr>
                <w:rFonts w:ascii="FZHei-B01" w:hAnsi="FZHei-B01" w:eastAsia="FZHei-B01" w:cs="FZHei-B01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FZHei-B01" w:hAnsi="FZHei-B01" w:eastAsia="FZHei-B01" w:cs="FZHei-B01"/>
                <w:spacing w:val="6"/>
                <w:sz w:val="22"/>
                <w:szCs w:val="22"/>
              </w:rPr>
              <w:t>业人员通报的</w:t>
            </w:r>
          </w:p>
        </w:tc>
        <w:tc>
          <w:tcPr>
            <w:tcW w:w="5448" w:type="dxa"/>
            <w:vAlign w:val="top"/>
          </w:tcPr>
          <w:p>
            <w:pPr>
              <w:pStyle w:val="5"/>
              <w:spacing w:before="74" w:line="216" w:lineRule="auto"/>
              <w:ind w:left="111" w:right="99" w:firstLine="13"/>
            </w:pPr>
            <w:r>
              <w:rPr>
                <w:rFonts w:ascii="宋体" w:hAnsi="宋体" w:eastAsia="宋体" w:cs="宋体"/>
              </w:rPr>
              <w:t xml:space="preserve">1. </w:t>
            </w:r>
            <w:r>
              <w:t>【法律】《中华人民共和国安全生产法</w:t>
            </w:r>
            <w:r>
              <w:rPr>
                <w:spacing w:val="-1"/>
              </w:rPr>
              <w:t>》第四十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一</w:t>
            </w:r>
            <w:r>
              <w:t xml:space="preserve"> </w:t>
            </w:r>
            <w:r>
              <w:rPr>
                <w:spacing w:val="7"/>
              </w:rPr>
              <w:t>条第二款：生产经营单位应当建立健全并落实生产安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全事故隐患排查治理制度，采取技术、管理措施，及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时发现并消除事故隐患。事故隐患排查治理情况应当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如实记录，并通过职工大会或者职工代表大会、信息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公示栏等方式向从业人员通报。其中，重大事故隐患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排查治理情况应当及时向负有安全生产监督管理职责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的部门和职工大会或者职工代表大会报告。</w:t>
            </w:r>
          </w:p>
          <w:p>
            <w:pPr>
              <w:pStyle w:val="5"/>
              <w:spacing w:before="15" w:line="216" w:lineRule="auto"/>
              <w:ind w:left="112" w:right="99" w:hanging="1"/>
            </w:pPr>
            <w:r>
              <w:rPr>
                <w:rFonts w:ascii="宋体" w:hAnsi="宋体" w:eastAsia="宋体" w:cs="宋体"/>
                <w:spacing w:val="1"/>
              </w:rPr>
              <w:t xml:space="preserve">2. </w:t>
            </w:r>
            <w:r>
              <w:rPr>
                <w:spacing w:val="1"/>
              </w:rPr>
              <w:t>【部门规章】《工贸企业粉尘防爆安全规定》第十</w:t>
            </w:r>
            <w:r>
              <w:rPr>
                <w:spacing w:val="10"/>
              </w:rPr>
              <w:t xml:space="preserve"> </w:t>
            </w:r>
            <w:r>
              <w:rPr>
                <w:spacing w:val="7"/>
              </w:rPr>
              <w:t>二条第一款：粉尘涉爆企业应当根据《粉尘防爆安全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规程》等有关国家标准或者行业标准，结合粉尘爆炸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风险管控措施，建立事故隐患排查清单，明确和细化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排查事项、具体内容、排查周期及责任人员，及时组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织开展事故隐患排查治理，如实记录隐患排查治理情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况，并向从业人员通报。</w:t>
            </w:r>
          </w:p>
        </w:tc>
        <w:tc>
          <w:tcPr>
            <w:tcW w:w="5506" w:type="dxa"/>
            <w:vAlign w:val="top"/>
          </w:tcPr>
          <w:p>
            <w:pPr>
              <w:pStyle w:val="5"/>
              <w:spacing w:before="72" w:line="216" w:lineRule="auto"/>
              <w:ind w:left="113" w:right="31" w:firstLine="12"/>
            </w:pPr>
            <w:r>
              <w:rPr>
                <w:rFonts w:ascii="宋体" w:hAnsi="宋体" w:eastAsia="宋体" w:cs="宋体"/>
                <w:spacing w:val="9"/>
              </w:rPr>
              <w:t>1.</w:t>
            </w:r>
            <w:r>
              <w:rPr>
                <w:spacing w:val="9"/>
              </w:rPr>
              <w:t>【法律】《中华人民共和国安全生产法》第九十七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条第五项：</w:t>
            </w:r>
            <w:r>
              <w:rPr>
                <w:spacing w:val="-9"/>
              </w:rPr>
              <w:t xml:space="preserve"> </w:t>
            </w:r>
            <w:r>
              <w:rPr>
                <w:spacing w:val="6"/>
              </w:rPr>
              <w:t>生产经营单位有下列行为之一的，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责令限</w:t>
            </w:r>
            <w:r>
              <w:t xml:space="preserve">  </w:t>
            </w:r>
            <w:r>
              <w:rPr>
                <w:spacing w:val="6"/>
              </w:rPr>
              <w:t>期改正，</w:t>
            </w:r>
            <w:r>
              <w:rPr>
                <w:spacing w:val="-30"/>
              </w:rPr>
              <w:t xml:space="preserve"> </w:t>
            </w:r>
            <w:r>
              <w:rPr>
                <w:spacing w:val="6"/>
              </w:rPr>
              <w:t>处十万元以下的罚款；</w:t>
            </w:r>
            <w:r>
              <w:rPr>
                <w:spacing w:val="-42"/>
              </w:rPr>
              <w:t xml:space="preserve"> </w:t>
            </w:r>
            <w:r>
              <w:rPr>
                <w:spacing w:val="6"/>
              </w:rPr>
              <w:t>逾期未改正的，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责令</w:t>
            </w:r>
            <w:r>
              <w:t xml:space="preserve">  </w:t>
            </w:r>
            <w:r>
              <w:rPr>
                <w:spacing w:val="3"/>
              </w:rPr>
              <w:t>停产停业整顿，并处十万元以上二十万元以下的罚款，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对其直接负责的主管人员和其他直接责任人员处二万</w:t>
            </w:r>
            <w:r>
              <w:t xml:space="preserve">  </w:t>
            </w:r>
            <w:r>
              <w:rPr>
                <w:spacing w:val="11"/>
              </w:rPr>
              <w:t>元以上五万元以下的罚款</w:t>
            </w:r>
            <w:r>
              <w:rPr>
                <w:spacing w:val="-14"/>
              </w:rPr>
              <w:t>：（</w:t>
            </w:r>
            <w:r>
              <w:rPr>
                <w:spacing w:val="11"/>
              </w:rPr>
              <w:t>五）</w:t>
            </w:r>
            <w:r>
              <w:rPr>
                <w:spacing w:val="-38"/>
              </w:rPr>
              <w:t xml:space="preserve"> </w:t>
            </w:r>
            <w:r>
              <w:rPr>
                <w:spacing w:val="11"/>
              </w:rPr>
              <w:t>未将事故隐患排查</w:t>
            </w:r>
            <w:r>
              <w:t xml:space="preserve">  </w:t>
            </w:r>
            <w:r>
              <w:rPr>
                <w:spacing w:val="5"/>
              </w:rPr>
              <w:t>治理情况如实记录或者未向从业人员通报的；</w:t>
            </w:r>
          </w:p>
          <w:p>
            <w:pPr>
              <w:pStyle w:val="5"/>
              <w:spacing w:before="11" w:line="212" w:lineRule="auto"/>
              <w:ind w:left="112" w:right="95"/>
            </w:pPr>
            <w:r>
              <w:rPr>
                <w:rFonts w:ascii="宋体" w:hAnsi="宋体" w:eastAsia="宋体" w:cs="宋体"/>
                <w:spacing w:val="9"/>
              </w:rPr>
              <w:t>2.</w:t>
            </w:r>
            <w:r>
              <w:rPr>
                <w:spacing w:val="9"/>
              </w:rPr>
              <w:t>【部门规章】《工贸企业粉尘防爆安全规定》第二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十八条第二项：</w:t>
            </w:r>
            <w:r>
              <w:rPr>
                <w:spacing w:val="-18"/>
              </w:rPr>
              <w:t xml:space="preserve"> </w:t>
            </w:r>
            <w:r>
              <w:rPr>
                <w:spacing w:val="5"/>
              </w:rPr>
              <w:t>粉尘涉爆企业有下列行为之一的， 由</w:t>
            </w:r>
            <w:r>
              <w:t xml:space="preserve"> </w:t>
            </w:r>
            <w:r>
              <w:rPr>
                <w:spacing w:val="10"/>
              </w:rPr>
              <w:t>负责粉尘涉爆企业安全监管的部门依照《中华人民共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和国安全生产法》有关规定，</w:t>
            </w:r>
            <w:r>
              <w:rPr>
                <w:spacing w:val="64"/>
                <w:w w:val="101"/>
              </w:rPr>
              <w:t xml:space="preserve"> </w:t>
            </w:r>
            <w:r>
              <w:rPr>
                <w:spacing w:val="-4"/>
              </w:rPr>
              <w:t>责令限期改正，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处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10</w:t>
            </w:r>
            <w:r>
              <w:rPr>
                <w:rFonts w:ascii="宋体" w:hAnsi="宋体" w:eastAsia="宋体" w:cs="宋体"/>
                <w:spacing w:val="-28"/>
              </w:rPr>
              <w:t xml:space="preserve"> </w:t>
            </w:r>
            <w:r>
              <w:rPr>
                <w:spacing w:val="-4"/>
              </w:rPr>
              <w:t>万</w:t>
            </w:r>
            <w:r>
              <w:t xml:space="preserve"> </w:t>
            </w:r>
            <w:r>
              <w:rPr>
                <w:spacing w:val="7"/>
              </w:rPr>
              <w:t>元以下的罚款；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逾期未改正的，</w:t>
            </w:r>
            <w:r>
              <w:rPr>
                <w:spacing w:val="-31"/>
              </w:rPr>
              <w:t xml:space="preserve"> </w:t>
            </w:r>
            <w:r>
              <w:rPr>
                <w:spacing w:val="7"/>
              </w:rPr>
              <w:t>责令停产停业整顿，</w:t>
            </w:r>
            <w:r>
              <w:t xml:space="preserve"> </w:t>
            </w:r>
            <w:r>
              <w:rPr>
                <w:spacing w:val="4"/>
              </w:rPr>
              <w:t>并处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10</w:t>
            </w:r>
            <w:r>
              <w:rPr>
                <w:rFonts w:ascii="宋体" w:hAnsi="宋体" w:eastAsia="宋体" w:cs="宋体"/>
                <w:spacing w:val="-24"/>
              </w:rPr>
              <w:t xml:space="preserve"> </w:t>
            </w:r>
            <w:r>
              <w:rPr>
                <w:spacing w:val="4"/>
              </w:rPr>
              <w:t xml:space="preserve">万元以上 </w:t>
            </w:r>
            <w:r>
              <w:rPr>
                <w:rFonts w:ascii="宋体" w:hAnsi="宋体" w:eastAsia="宋体" w:cs="宋体"/>
                <w:spacing w:val="4"/>
              </w:rPr>
              <w:t>20</w:t>
            </w:r>
            <w:r>
              <w:rPr>
                <w:rFonts w:ascii="宋体" w:hAnsi="宋体" w:eastAsia="宋体" w:cs="宋体"/>
                <w:spacing w:val="-25"/>
              </w:rPr>
              <w:t xml:space="preserve"> </w:t>
            </w:r>
            <w:r>
              <w:rPr>
                <w:spacing w:val="4"/>
              </w:rPr>
              <w:t>万元以下的罚款，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对其直接负责</w:t>
            </w:r>
            <w:r>
              <w:t xml:space="preserve"> </w:t>
            </w:r>
            <w:r>
              <w:rPr>
                <w:spacing w:val="6"/>
              </w:rPr>
              <w:t xml:space="preserve">的主管人员和其他直接责任人员处 </w:t>
            </w:r>
            <w:r>
              <w:rPr>
                <w:rFonts w:ascii="宋体" w:hAnsi="宋体" w:eastAsia="宋体" w:cs="宋体"/>
                <w:spacing w:val="6"/>
              </w:rPr>
              <w:t>2</w:t>
            </w:r>
            <w:r>
              <w:rPr>
                <w:rFonts w:ascii="宋体" w:hAnsi="宋体" w:eastAsia="宋体" w:cs="宋体"/>
                <w:spacing w:val="-27"/>
              </w:rPr>
              <w:t xml:space="preserve"> </w:t>
            </w:r>
            <w:r>
              <w:rPr>
                <w:spacing w:val="6"/>
              </w:rPr>
              <w:t xml:space="preserve">万元以上 </w:t>
            </w:r>
            <w:r>
              <w:rPr>
                <w:rFonts w:ascii="宋体" w:hAnsi="宋体" w:eastAsia="宋体" w:cs="宋体"/>
                <w:spacing w:val="6"/>
              </w:rPr>
              <w:t>5</w:t>
            </w:r>
            <w:r>
              <w:rPr>
                <w:rFonts w:ascii="宋体" w:hAnsi="宋体" w:eastAsia="宋体" w:cs="宋体"/>
                <w:spacing w:val="-28"/>
              </w:rPr>
              <w:t xml:space="preserve"> </w:t>
            </w:r>
            <w:r>
              <w:rPr>
                <w:spacing w:val="6"/>
              </w:rPr>
              <w:t>万元</w:t>
            </w:r>
            <w:r>
              <w:t xml:space="preserve"> </w:t>
            </w:r>
            <w:r>
              <w:rPr>
                <w:spacing w:val="11"/>
              </w:rPr>
              <w:t>以下的罚款</w:t>
            </w:r>
            <w:r>
              <w:rPr>
                <w:spacing w:val="-14"/>
              </w:rPr>
              <w:t>：（</w:t>
            </w:r>
            <w:r>
              <w:rPr>
                <w:spacing w:val="11"/>
              </w:rPr>
              <w:t>二）</w:t>
            </w:r>
            <w:r>
              <w:rPr>
                <w:spacing w:val="-38"/>
              </w:rPr>
              <w:t xml:space="preserve"> </w:t>
            </w:r>
            <w:r>
              <w:rPr>
                <w:spacing w:val="11"/>
              </w:rPr>
              <w:t>未如实记录粉尘防爆隐患排查治</w:t>
            </w:r>
            <w:r>
              <w:t xml:space="preserve"> </w:t>
            </w:r>
            <w:r>
              <w:rPr>
                <w:spacing w:val="4"/>
              </w:rPr>
              <w:t>理情况或者未向从业人员通报的；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7" w:hRule="atLeast"/>
        </w:trPr>
        <w:tc>
          <w:tcPr>
            <w:tcW w:w="78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85" w:line="184" w:lineRule="auto"/>
              <w:ind w:left="301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2</w:t>
            </w:r>
          </w:p>
        </w:tc>
        <w:tc>
          <w:tcPr>
            <w:tcW w:w="231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80" w:line="262" w:lineRule="auto"/>
              <w:ind w:left="104" w:right="101" w:firstLine="8"/>
              <w:jc w:val="both"/>
              <w:rPr>
                <w:rFonts w:ascii="FZHei-B01" w:hAnsi="FZHei-B01" w:eastAsia="FZHei-B01" w:cs="FZHei-B01"/>
                <w:sz w:val="22"/>
                <w:szCs w:val="22"/>
              </w:rPr>
            </w:pPr>
            <w:r>
              <w:rPr>
                <w:rFonts w:ascii="FZHei-B01" w:hAnsi="FZHei-B01" w:eastAsia="FZHei-B01" w:cs="FZHei-B01"/>
                <w:spacing w:val="12"/>
                <w:sz w:val="22"/>
                <w:szCs w:val="22"/>
              </w:rPr>
              <w:t>生产经营单位未按规</w:t>
            </w:r>
            <w:r>
              <w:rPr>
                <w:rFonts w:ascii="FZHei-B01" w:hAnsi="FZHei-B01" w:eastAsia="FZHei-B01" w:cs="FZHei-B01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22"/>
                <w:szCs w:val="22"/>
              </w:rPr>
              <w:t>定上报事故隐患排查</w:t>
            </w:r>
            <w:r>
              <w:rPr>
                <w:rFonts w:ascii="FZHei-B01" w:hAnsi="FZHei-B01" w:eastAsia="FZHei-B01" w:cs="FZHei-B01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FZHei-B01" w:hAnsi="FZHei-B01" w:eastAsia="FZHei-B01" w:cs="FZHei-B01"/>
                <w:spacing w:val="7"/>
                <w:sz w:val="22"/>
                <w:szCs w:val="22"/>
              </w:rPr>
              <w:t>治理统计分析表的</w:t>
            </w:r>
          </w:p>
        </w:tc>
        <w:tc>
          <w:tcPr>
            <w:tcW w:w="5448" w:type="dxa"/>
            <w:vAlign w:val="top"/>
          </w:tcPr>
          <w:p>
            <w:pPr>
              <w:pStyle w:val="5"/>
              <w:spacing w:before="74" w:line="209" w:lineRule="auto"/>
              <w:ind w:left="112" w:hanging="20"/>
              <w:jc w:val="both"/>
            </w:pPr>
            <w:r>
              <w:rPr>
                <w:spacing w:val="3"/>
              </w:rPr>
              <w:t>【部门规章】《安全生产事故隐患排查治理暂行</w:t>
            </w:r>
            <w:r>
              <w:rPr>
                <w:spacing w:val="2"/>
              </w:rPr>
              <w:t>规定》</w:t>
            </w:r>
            <w:r>
              <w:t xml:space="preserve"> </w:t>
            </w:r>
            <w:r>
              <w:rPr>
                <w:spacing w:val="6"/>
              </w:rPr>
              <w:t>第十四条第一款：生产经营单位应当每季、每年对本</w:t>
            </w:r>
            <w:r>
              <w:t xml:space="preserve">   </w:t>
            </w:r>
            <w:r>
              <w:rPr>
                <w:spacing w:val="6"/>
              </w:rPr>
              <w:t>单位事故隐患排查治理情况进行统计分析，并分别于</w:t>
            </w:r>
            <w:r>
              <w:t xml:space="preserve">   </w:t>
            </w:r>
            <w:r>
              <w:rPr>
                <w:spacing w:val="-2"/>
              </w:rPr>
              <w:t>下一季度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 xml:space="preserve">15 </w:t>
            </w:r>
            <w:r>
              <w:rPr>
                <w:spacing w:val="-2"/>
              </w:rPr>
              <w:t>日前和下一年</w:t>
            </w:r>
            <w:r>
              <w:rPr>
                <w:spacing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1</w:t>
            </w:r>
            <w:r>
              <w:rPr>
                <w:rFonts w:ascii="宋体" w:hAnsi="宋体" w:eastAsia="宋体" w:cs="宋体"/>
                <w:spacing w:val="-32"/>
              </w:rPr>
              <w:t xml:space="preserve"> </w:t>
            </w:r>
            <w:r>
              <w:rPr>
                <w:spacing w:val="-2"/>
              </w:rPr>
              <w:t xml:space="preserve">月 </w:t>
            </w:r>
            <w:r>
              <w:rPr>
                <w:rFonts w:ascii="宋体" w:hAnsi="宋体" w:eastAsia="宋体" w:cs="宋体"/>
                <w:spacing w:val="-2"/>
              </w:rPr>
              <w:t xml:space="preserve">31 </w:t>
            </w:r>
            <w:r>
              <w:rPr>
                <w:spacing w:val="-2"/>
              </w:rPr>
              <w:t>日前向</w:t>
            </w:r>
            <w:r>
              <w:rPr>
                <w:spacing w:val="-3"/>
              </w:rPr>
              <w:t>安全监管监</w:t>
            </w:r>
            <w:r>
              <w:t xml:space="preserve">   </w:t>
            </w:r>
            <w:r>
              <w:rPr>
                <w:spacing w:val="6"/>
              </w:rPr>
              <w:t>察部门和有关部门报送书面统计分析表。统计分析表</w:t>
            </w:r>
            <w:r>
              <w:t xml:space="preserve">   </w:t>
            </w:r>
            <w:r>
              <w:rPr>
                <w:spacing w:val="4"/>
              </w:rPr>
              <w:t>应当由生产经营单位主要负责人签字。</w:t>
            </w:r>
          </w:p>
        </w:tc>
        <w:tc>
          <w:tcPr>
            <w:tcW w:w="5506" w:type="dxa"/>
            <w:vAlign w:val="top"/>
          </w:tcPr>
          <w:p>
            <w:pPr>
              <w:pStyle w:val="5"/>
              <w:spacing w:before="77" w:line="221" w:lineRule="auto"/>
              <w:ind w:left="113" w:hanging="20"/>
              <w:jc w:val="both"/>
            </w:pPr>
            <w:r>
              <w:rPr>
                <w:spacing w:val="5"/>
              </w:rPr>
              <w:t>【部门规章】《安全生产事故隐患排查治理暂行规定》</w:t>
            </w:r>
            <w:r>
              <w:rPr>
                <w:spacing w:val="6"/>
              </w:rPr>
              <w:t xml:space="preserve"> 第二十六条第二项：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生产经营单位违反本规定</w:t>
            </w:r>
            <w:r>
              <w:rPr>
                <w:spacing w:val="5"/>
              </w:rPr>
              <w:t>，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有下</w:t>
            </w:r>
            <w:r>
              <w:t xml:space="preserve">   </w:t>
            </w:r>
            <w:r>
              <w:rPr>
                <w:spacing w:val="4"/>
              </w:rPr>
              <w:t>列行为之一的， 由安全监管监察部门给予警告，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并处</w:t>
            </w:r>
            <w:r>
              <w:t xml:space="preserve">   </w:t>
            </w:r>
            <w:r>
              <w:rPr>
                <w:spacing w:val="11"/>
              </w:rPr>
              <w:t>三万元以下的罚款</w:t>
            </w:r>
            <w:r>
              <w:rPr>
                <w:spacing w:val="-14"/>
              </w:rPr>
              <w:t>：（</w:t>
            </w:r>
            <w:r>
              <w:rPr>
                <w:spacing w:val="11"/>
              </w:rPr>
              <w:t>二）未按规定上报事故隐患排</w:t>
            </w:r>
            <w:r>
              <w:t xml:space="preserve">   </w:t>
            </w:r>
            <w:r>
              <w:rPr>
                <w:spacing w:val="1"/>
              </w:rPr>
              <w:t>查治理统计分析表的；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41" w:h="11905"/>
          <w:pgMar w:top="400" w:right="1394" w:bottom="400" w:left="996" w:header="0" w:footer="0" w:gutter="0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tbl>
      <w:tblPr>
        <w:tblStyle w:val="4"/>
        <w:tblW w:w="14048" w:type="dxa"/>
        <w:tblInd w:w="3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314"/>
        <w:gridCol w:w="5448"/>
        <w:gridCol w:w="55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80" w:type="dxa"/>
            <w:vAlign w:val="top"/>
          </w:tcPr>
          <w:p>
            <w:pPr>
              <w:spacing w:before="154" w:line="238" w:lineRule="auto"/>
              <w:ind w:left="127"/>
              <w:rPr>
                <w:rFonts w:ascii="FZHei-B01" w:hAnsi="FZHei-B01" w:eastAsia="FZHei-B01" w:cs="FZHei-B01"/>
                <w:sz w:val="26"/>
                <w:szCs w:val="26"/>
              </w:rPr>
            </w:pPr>
            <w:r>
              <w:rPr>
                <w:rFonts w:ascii="FZHei-B01" w:hAnsi="FZHei-B01" w:eastAsia="FZHei-B01" w:cs="FZHei-B01"/>
                <w:spacing w:val="4"/>
                <w:sz w:val="26"/>
                <w:szCs w:val="26"/>
              </w:rPr>
              <w:t>序号</w:t>
            </w:r>
          </w:p>
        </w:tc>
        <w:tc>
          <w:tcPr>
            <w:tcW w:w="2314" w:type="dxa"/>
            <w:vAlign w:val="top"/>
          </w:tcPr>
          <w:p>
            <w:pPr>
              <w:spacing w:before="156" w:line="236" w:lineRule="auto"/>
              <w:ind w:left="630"/>
              <w:rPr>
                <w:rFonts w:ascii="FZHei-B01" w:hAnsi="FZHei-B01" w:eastAsia="FZHei-B01" w:cs="FZHei-B01"/>
                <w:sz w:val="26"/>
                <w:szCs w:val="26"/>
              </w:rPr>
            </w:pPr>
            <w:r>
              <w:rPr>
                <w:rFonts w:ascii="FZHei-B01" w:hAnsi="FZHei-B01" w:eastAsia="FZHei-B01" w:cs="FZHei-B01"/>
                <w:spacing w:val="4"/>
                <w:sz w:val="26"/>
                <w:szCs w:val="26"/>
              </w:rPr>
              <w:t>违法行为</w:t>
            </w:r>
          </w:p>
        </w:tc>
        <w:tc>
          <w:tcPr>
            <w:tcW w:w="5448" w:type="dxa"/>
            <w:vAlign w:val="top"/>
          </w:tcPr>
          <w:p>
            <w:pPr>
              <w:spacing w:before="155" w:line="237" w:lineRule="auto"/>
              <w:ind w:left="2204"/>
              <w:rPr>
                <w:rFonts w:ascii="FZHei-B01" w:hAnsi="FZHei-B01" w:eastAsia="FZHei-B01" w:cs="FZHei-B01"/>
                <w:sz w:val="26"/>
                <w:szCs w:val="26"/>
              </w:rPr>
            </w:pPr>
            <w:r>
              <w:rPr>
                <w:rFonts w:ascii="FZHei-B01" w:hAnsi="FZHei-B01" w:eastAsia="FZHei-B01" w:cs="FZHei-B01"/>
                <w:spacing w:val="2"/>
                <w:sz w:val="26"/>
                <w:szCs w:val="26"/>
              </w:rPr>
              <w:t>法律规定</w:t>
            </w:r>
          </w:p>
        </w:tc>
        <w:tc>
          <w:tcPr>
            <w:tcW w:w="5506" w:type="dxa"/>
            <w:vAlign w:val="top"/>
          </w:tcPr>
          <w:p>
            <w:pPr>
              <w:spacing w:before="155" w:line="237" w:lineRule="auto"/>
              <w:ind w:left="2228"/>
              <w:rPr>
                <w:rFonts w:ascii="FZHei-B01" w:hAnsi="FZHei-B01" w:eastAsia="FZHei-B01" w:cs="FZHei-B01"/>
                <w:sz w:val="26"/>
                <w:szCs w:val="26"/>
              </w:rPr>
            </w:pPr>
            <w:r>
              <w:rPr>
                <w:rFonts w:ascii="FZHei-B01" w:hAnsi="FZHei-B01" w:eastAsia="FZHei-B01" w:cs="FZHei-B01"/>
                <w:spacing w:val="3"/>
                <w:sz w:val="26"/>
                <w:szCs w:val="26"/>
              </w:rPr>
              <w:t>处罚依据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2" w:hRule="atLeast"/>
        </w:trPr>
        <w:tc>
          <w:tcPr>
            <w:tcW w:w="78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85" w:line="184" w:lineRule="auto"/>
              <w:ind w:left="303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3</w:t>
            </w:r>
          </w:p>
        </w:tc>
        <w:tc>
          <w:tcPr>
            <w:tcW w:w="231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80" w:line="261" w:lineRule="auto"/>
              <w:ind w:left="103" w:right="101" w:firstLine="9"/>
              <w:jc w:val="both"/>
              <w:rPr>
                <w:rFonts w:ascii="FZHei-B01" w:hAnsi="FZHei-B01" w:eastAsia="FZHei-B01" w:cs="FZHei-B01"/>
                <w:sz w:val="22"/>
                <w:szCs w:val="22"/>
              </w:rPr>
            </w:pPr>
            <w:r>
              <w:rPr>
                <w:rFonts w:ascii="FZHei-B01" w:hAnsi="FZHei-B01" w:eastAsia="FZHei-B01" w:cs="FZHei-B01"/>
                <w:spacing w:val="12"/>
                <w:sz w:val="22"/>
                <w:szCs w:val="22"/>
              </w:rPr>
              <w:t>生产经营单位在应急</w:t>
            </w:r>
            <w:r>
              <w:rPr>
                <w:rFonts w:ascii="FZHei-B01" w:hAnsi="FZHei-B01" w:eastAsia="FZHei-B01" w:cs="FZHei-B01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22"/>
                <w:szCs w:val="22"/>
              </w:rPr>
              <w:t>预案编制前未按照规</w:t>
            </w:r>
            <w:r>
              <w:rPr>
                <w:rFonts w:ascii="FZHei-B01" w:hAnsi="FZHei-B01" w:eastAsia="FZHei-B01" w:cs="FZHei-B01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22"/>
                <w:szCs w:val="22"/>
              </w:rPr>
              <w:t>定开展风险辨识、评</w:t>
            </w:r>
            <w:r>
              <w:rPr>
                <w:rFonts w:ascii="FZHei-B01" w:hAnsi="FZHei-B01" w:eastAsia="FZHei-B01" w:cs="FZHei-B01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FZHei-B01" w:hAnsi="FZHei-B01" w:eastAsia="FZHei-B01" w:cs="FZHei-B01"/>
                <w:spacing w:val="7"/>
                <w:sz w:val="22"/>
                <w:szCs w:val="22"/>
              </w:rPr>
              <w:t>估和应急资源调查的</w:t>
            </w:r>
          </w:p>
        </w:tc>
        <w:tc>
          <w:tcPr>
            <w:tcW w:w="5448" w:type="dxa"/>
            <w:vAlign w:val="top"/>
          </w:tcPr>
          <w:p>
            <w:pPr>
              <w:pStyle w:val="5"/>
              <w:spacing w:before="74" w:line="223" w:lineRule="auto"/>
              <w:ind w:left="119" w:right="99" w:hanging="27"/>
              <w:jc w:val="both"/>
            </w:pPr>
            <w:r>
              <w:rPr>
                <w:spacing w:val="7"/>
              </w:rPr>
              <w:t>【部门规章】《生产安全事故应急预案管理办法》第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十条第一款：编制应急预案前，编制单位应当进行事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故风险辨识、评估和应急资源调查。</w:t>
            </w:r>
          </w:p>
        </w:tc>
        <w:tc>
          <w:tcPr>
            <w:tcW w:w="5506" w:type="dxa"/>
            <w:vAlign w:val="top"/>
          </w:tcPr>
          <w:p>
            <w:pPr>
              <w:pStyle w:val="5"/>
              <w:spacing w:before="76" w:line="220" w:lineRule="auto"/>
              <w:ind w:left="118" w:right="95" w:hanging="25"/>
              <w:jc w:val="both"/>
            </w:pPr>
            <w:r>
              <w:rPr>
                <w:spacing w:val="11"/>
              </w:rPr>
              <w:t>【部门规章】《生产安全事故应急预案管理办</w:t>
            </w:r>
            <w:r>
              <w:rPr>
                <w:spacing w:val="10"/>
              </w:rPr>
              <w:t>法》第</w:t>
            </w:r>
            <w:r>
              <w:t xml:space="preserve"> </w:t>
            </w:r>
            <w:r>
              <w:rPr>
                <w:spacing w:val="8"/>
              </w:rPr>
              <w:t>四十五条第一款第一项：</w:t>
            </w:r>
            <w:r>
              <w:rPr>
                <w:spacing w:val="-24"/>
              </w:rPr>
              <w:t xml:space="preserve"> </w:t>
            </w:r>
            <w:r>
              <w:rPr>
                <w:spacing w:val="8"/>
              </w:rPr>
              <w:t>生产经营单位有下列情形之</w:t>
            </w:r>
            <w:r>
              <w:t xml:space="preserve"> </w:t>
            </w:r>
            <w:r>
              <w:rPr>
                <w:spacing w:val="6"/>
              </w:rPr>
              <w:t>一的， 由县级以上人民政府应急管理部门责令限期改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正，</w:t>
            </w:r>
            <w:r>
              <w:rPr>
                <w:spacing w:val="-31"/>
              </w:rPr>
              <w:t xml:space="preserve"> </w:t>
            </w:r>
            <w:r>
              <w:rPr>
                <w:spacing w:val="1"/>
              </w:rPr>
              <w:t>可以处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>1</w:t>
            </w:r>
            <w:r>
              <w:rPr>
                <w:rFonts w:ascii="宋体" w:hAnsi="宋体" w:eastAsia="宋体" w:cs="宋体"/>
                <w:spacing w:val="-25"/>
              </w:rPr>
              <w:t xml:space="preserve"> </w:t>
            </w:r>
            <w:r>
              <w:rPr>
                <w:spacing w:val="1"/>
              </w:rPr>
              <w:t xml:space="preserve">万元以上 </w:t>
            </w:r>
            <w:r>
              <w:rPr>
                <w:rFonts w:ascii="宋体" w:hAnsi="宋体" w:eastAsia="宋体" w:cs="宋体"/>
                <w:spacing w:val="1"/>
              </w:rPr>
              <w:t>3</w:t>
            </w:r>
            <w:r>
              <w:rPr>
                <w:rFonts w:ascii="宋体" w:hAnsi="宋体" w:eastAsia="宋体" w:cs="宋体"/>
                <w:spacing w:val="-28"/>
              </w:rPr>
              <w:t xml:space="preserve"> </w:t>
            </w:r>
            <w:r>
              <w:rPr>
                <w:spacing w:val="1"/>
              </w:rPr>
              <w:t>万元以下的罚款</w:t>
            </w:r>
            <w:r>
              <w:rPr>
                <w:spacing w:val="-1"/>
              </w:rPr>
              <w:t>：（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一）在</w:t>
            </w:r>
            <w:r>
              <w:t xml:space="preserve"> </w:t>
            </w:r>
            <w:r>
              <w:rPr>
                <w:spacing w:val="9"/>
              </w:rPr>
              <w:t>应急预案编制前未按照规定开展风险辨识、评估和应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急资源调查的；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1" w:hRule="atLeast"/>
        </w:trPr>
        <w:tc>
          <w:tcPr>
            <w:tcW w:w="78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84" w:line="184" w:lineRule="auto"/>
              <w:ind w:left="297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4</w:t>
            </w:r>
          </w:p>
        </w:tc>
        <w:tc>
          <w:tcPr>
            <w:tcW w:w="231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80" w:line="262" w:lineRule="auto"/>
              <w:ind w:left="104" w:right="101" w:firstLine="7"/>
              <w:jc w:val="both"/>
              <w:rPr>
                <w:rFonts w:ascii="FZHei-B01" w:hAnsi="FZHei-B01" w:eastAsia="FZHei-B01" w:cs="FZHei-B01"/>
                <w:sz w:val="22"/>
                <w:szCs w:val="22"/>
              </w:rPr>
            </w:pPr>
            <w:r>
              <w:rPr>
                <w:rFonts w:ascii="FZHei-B01" w:hAnsi="FZHei-B01" w:eastAsia="FZHei-B01" w:cs="FZHei-B01"/>
                <w:spacing w:val="12"/>
                <w:sz w:val="22"/>
                <w:szCs w:val="22"/>
              </w:rPr>
              <w:t>生产经营单位未按照</w:t>
            </w:r>
            <w:r>
              <w:rPr>
                <w:rFonts w:ascii="FZHei-B01" w:hAnsi="FZHei-B01" w:eastAsia="FZHei-B01" w:cs="FZHei-B01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22"/>
                <w:szCs w:val="22"/>
              </w:rPr>
              <w:t>规定开展应急预案评</w:t>
            </w:r>
            <w:r>
              <w:rPr>
                <w:rFonts w:ascii="FZHei-B01" w:hAnsi="FZHei-B01" w:eastAsia="FZHei-B01" w:cs="FZHei-B01"/>
                <w:spacing w:val="4"/>
                <w:sz w:val="22"/>
                <w:szCs w:val="22"/>
              </w:rPr>
              <w:t xml:space="preserve"> 审的</w:t>
            </w:r>
          </w:p>
        </w:tc>
        <w:tc>
          <w:tcPr>
            <w:tcW w:w="5448" w:type="dxa"/>
            <w:vAlign w:val="top"/>
          </w:tcPr>
          <w:p>
            <w:pPr>
              <w:pStyle w:val="5"/>
              <w:spacing w:before="79" w:line="217" w:lineRule="auto"/>
              <w:ind w:left="111" w:right="99" w:hanging="19"/>
              <w:jc w:val="both"/>
            </w:pPr>
            <w:r>
              <w:rPr>
                <w:spacing w:val="7"/>
              </w:rPr>
              <w:t>【部门规章】《生产安全事故应急预案管理办法》第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二十一条：矿山、金属冶炼企业和易燃易爆物品、危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险化学品的生产、经营（带储存设施的，下同）、储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存、运输企业，以及使用危险化学品达到国家规定数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量的化工企业、烟花爆竹生产、批发经营企业和中型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规模以上的其他生产经营单位，应当对本单位编制的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应急预案进行评审，并形成书面评审纪要。</w:t>
            </w:r>
          </w:p>
          <w:p>
            <w:pPr>
              <w:pStyle w:val="5"/>
              <w:spacing w:before="1" w:line="191" w:lineRule="auto"/>
              <w:ind w:left="118" w:right="94" w:hanging="3"/>
              <w:jc w:val="both"/>
            </w:pPr>
            <w:r>
              <w:rPr>
                <w:spacing w:val="17"/>
              </w:rPr>
              <w:t>前款规定以外的其他生产经营单位可以根据自身需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5"/>
              </w:rPr>
              <w:t>要，对本单位编制的应急预案进行论证。</w:t>
            </w:r>
          </w:p>
        </w:tc>
        <w:tc>
          <w:tcPr>
            <w:tcW w:w="5506" w:type="dxa"/>
            <w:vAlign w:val="top"/>
          </w:tcPr>
          <w:p>
            <w:pPr>
              <w:pStyle w:val="5"/>
              <w:spacing w:before="74" w:line="221" w:lineRule="auto"/>
              <w:ind w:left="111" w:right="95" w:hanging="18"/>
              <w:jc w:val="both"/>
            </w:pPr>
            <w:r>
              <w:rPr>
                <w:spacing w:val="11"/>
              </w:rPr>
              <w:t>【部门规章】《生产安全事故应急预案管理办</w:t>
            </w:r>
            <w:r>
              <w:rPr>
                <w:spacing w:val="10"/>
              </w:rPr>
              <w:t>法》第</w:t>
            </w:r>
            <w:r>
              <w:t xml:space="preserve"> </w:t>
            </w:r>
            <w:r>
              <w:rPr>
                <w:spacing w:val="8"/>
              </w:rPr>
              <w:t>四十五条第一款第二项：</w:t>
            </w:r>
            <w:r>
              <w:rPr>
                <w:spacing w:val="-17"/>
              </w:rPr>
              <w:t xml:space="preserve"> </w:t>
            </w:r>
            <w:r>
              <w:rPr>
                <w:spacing w:val="8"/>
              </w:rPr>
              <w:t>生产经营单位有下列情形之</w:t>
            </w:r>
            <w:r>
              <w:t xml:space="preserve"> </w:t>
            </w:r>
            <w:r>
              <w:rPr>
                <w:spacing w:val="7"/>
              </w:rPr>
              <w:t>一的， 由县级以上人民政府应急管理部门责令限期改</w:t>
            </w:r>
            <w:r>
              <w:t xml:space="preserve"> </w:t>
            </w:r>
            <w:r>
              <w:rPr>
                <w:spacing w:val="5"/>
              </w:rPr>
              <w:t>正，</w:t>
            </w:r>
            <w:r>
              <w:rPr>
                <w:spacing w:val="-29"/>
              </w:rPr>
              <w:t xml:space="preserve"> </w:t>
            </w:r>
            <w:r>
              <w:rPr>
                <w:spacing w:val="5"/>
              </w:rPr>
              <w:t>可以处</w:t>
            </w:r>
            <w:r>
              <w:rPr>
                <w:spacing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1</w:t>
            </w:r>
            <w:r>
              <w:rPr>
                <w:rFonts w:ascii="宋体" w:hAnsi="宋体" w:eastAsia="宋体" w:cs="宋体"/>
                <w:spacing w:val="-25"/>
              </w:rPr>
              <w:t xml:space="preserve"> </w:t>
            </w:r>
            <w:r>
              <w:rPr>
                <w:spacing w:val="5"/>
              </w:rPr>
              <w:t xml:space="preserve">万元以上 </w:t>
            </w:r>
            <w:r>
              <w:rPr>
                <w:rFonts w:ascii="宋体" w:hAnsi="宋体" w:eastAsia="宋体" w:cs="宋体"/>
                <w:spacing w:val="5"/>
              </w:rPr>
              <w:t>3</w:t>
            </w:r>
            <w:r>
              <w:rPr>
                <w:rFonts w:ascii="宋体" w:hAnsi="宋体" w:eastAsia="宋体" w:cs="宋体"/>
                <w:spacing w:val="-28"/>
              </w:rPr>
              <w:t xml:space="preserve"> </w:t>
            </w:r>
            <w:r>
              <w:rPr>
                <w:spacing w:val="5"/>
              </w:rPr>
              <w:t>万元以下的罚款</w:t>
            </w:r>
            <w:r>
              <w:rPr>
                <w:spacing w:val="-20"/>
              </w:rPr>
              <w:t>：（</w:t>
            </w:r>
            <w:r>
              <w:rPr>
                <w:spacing w:val="5"/>
              </w:rPr>
              <w:t>二）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未</w:t>
            </w:r>
            <w:r>
              <w:t xml:space="preserve"> </w:t>
            </w:r>
            <w:r>
              <w:rPr>
                <w:spacing w:val="4"/>
              </w:rPr>
              <w:t>按照规定开展应急预案评审的；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7" w:hRule="atLeast"/>
        </w:trPr>
        <w:tc>
          <w:tcPr>
            <w:tcW w:w="78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84" w:line="182" w:lineRule="auto"/>
              <w:ind w:left="303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5</w:t>
            </w:r>
          </w:p>
        </w:tc>
        <w:tc>
          <w:tcPr>
            <w:tcW w:w="2314" w:type="dxa"/>
            <w:vAlign w:val="top"/>
          </w:tcPr>
          <w:p>
            <w:pPr>
              <w:spacing w:before="73" w:line="247" w:lineRule="auto"/>
              <w:ind w:left="99" w:right="101" w:firstLine="8"/>
              <w:jc w:val="both"/>
              <w:rPr>
                <w:rFonts w:ascii="FZHei-B01" w:hAnsi="FZHei-B01" w:eastAsia="FZHei-B01" w:cs="FZHei-B01"/>
                <w:sz w:val="22"/>
                <w:szCs w:val="22"/>
              </w:rPr>
            </w:pPr>
            <w:r>
              <w:rPr>
                <w:rFonts w:ascii="FZHei-B01" w:hAnsi="FZHei-B01" w:eastAsia="FZHei-B01" w:cs="FZHei-B01"/>
                <w:spacing w:val="13"/>
                <w:sz w:val="22"/>
                <w:szCs w:val="22"/>
              </w:rPr>
              <w:t>事故风险可能影响周</w:t>
            </w:r>
            <w:r>
              <w:rPr>
                <w:rFonts w:ascii="FZHei-B01" w:hAnsi="FZHei-B01" w:eastAsia="FZHei-B01" w:cs="FZHei-B01"/>
                <w:sz w:val="22"/>
                <w:szCs w:val="22"/>
              </w:rPr>
              <w:t xml:space="preserve"> </w:t>
            </w:r>
            <w:r>
              <w:rPr>
                <w:rFonts w:ascii="FZHei-B01" w:hAnsi="FZHei-B01" w:eastAsia="FZHei-B01" w:cs="FZHei-B01"/>
                <w:spacing w:val="31"/>
                <w:sz w:val="22"/>
                <w:szCs w:val="22"/>
              </w:rPr>
              <w:t>边单位、人员的,生</w:t>
            </w:r>
            <w:r>
              <w:rPr>
                <w:rFonts w:ascii="FZHei-B01" w:hAnsi="FZHei-B01" w:eastAsia="FZHei-B01" w:cs="FZHei-B01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FZHei-B01" w:hAnsi="FZHei-B01" w:eastAsia="FZHei-B01" w:cs="FZHei-B01"/>
                <w:spacing w:val="14"/>
                <w:sz w:val="22"/>
                <w:szCs w:val="22"/>
              </w:rPr>
              <w:t>产经营单位未将事故</w:t>
            </w:r>
            <w:r>
              <w:rPr>
                <w:rFonts w:ascii="FZHei-B01" w:hAnsi="FZHei-B01" w:eastAsia="FZHei-B01" w:cs="FZHei-B01"/>
                <w:sz w:val="22"/>
                <w:szCs w:val="22"/>
              </w:rPr>
              <w:t xml:space="preserve"> </w:t>
            </w:r>
            <w:r>
              <w:rPr>
                <w:rFonts w:ascii="FZHei-B01" w:hAnsi="FZHei-B01" w:eastAsia="FZHei-B01" w:cs="FZHei-B01"/>
                <w:spacing w:val="14"/>
                <w:sz w:val="22"/>
                <w:szCs w:val="22"/>
              </w:rPr>
              <w:t>风险的性质、影响范</w:t>
            </w:r>
            <w:r>
              <w:rPr>
                <w:rFonts w:ascii="FZHei-B01" w:hAnsi="FZHei-B01" w:eastAsia="FZHei-B01" w:cs="FZHei-B01"/>
                <w:sz w:val="22"/>
                <w:szCs w:val="22"/>
              </w:rPr>
              <w:t xml:space="preserve"> </w:t>
            </w:r>
            <w:r>
              <w:rPr>
                <w:rFonts w:ascii="FZHei-B01" w:hAnsi="FZHei-B01" w:eastAsia="FZHei-B01" w:cs="FZHei-B01"/>
                <w:spacing w:val="14"/>
                <w:sz w:val="22"/>
                <w:szCs w:val="22"/>
              </w:rPr>
              <w:t>围和应急防范措施告</w:t>
            </w:r>
            <w:r>
              <w:rPr>
                <w:rFonts w:ascii="FZHei-B01" w:hAnsi="FZHei-B01" w:eastAsia="FZHei-B01" w:cs="FZHei-B01"/>
                <w:sz w:val="22"/>
                <w:szCs w:val="22"/>
              </w:rPr>
              <w:t xml:space="preserve"> </w:t>
            </w:r>
            <w:r>
              <w:rPr>
                <w:rFonts w:ascii="FZHei-B01" w:hAnsi="FZHei-B01" w:eastAsia="FZHei-B01" w:cs="FZHei-B01"/>
                <w:spacing w:val="7"/>
                <w:sz w:val="22"/>
                <w:szCs w:val="22"/>
              </w:rPr>
              <w:t>知周边单位和人员的</w:t>
            </w:r>
          </w:p>
        </w:tc>
        <w:tc>
          <w:tcPr>
            <w:tcW w:w="5448" w:type="dxa"/>
            <w:vAlign w:val="top"/>
          </w:tcPr>
          <w:p>
            <w:pPr>
              <w:pStyle w:val="5"/>
              <w:spacing w:before="74" w:line="221" w:lineRule="auto"/>
              <w:ind w:left="113" w:right="94" w:hanging="21"/>
            </w:pPr>
            <w:r>
              <w:rPr>
                <w:spacing w:val="7"/>
              </w:rPr>
              <w:t>【部门规章】《生产安全事故应急预案管理办法》第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二十四条第二款：事故风险可能影响周边其他单位、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人员的，生产经营单位应当将有关事故风险的性质、</w:t>
            </w:r>
            <w:r>
              <w:rPr>
                <w:spacing w:val="3"/>
              </w:rPr>
              <w:t xml:space="preserve"> </w:t>
            </w:r>
            <w:r>
              <w:rPr>
                <w:spacing w:val="17"/>
              </w:rPr>
              <w:t>影响范围和应急防范措施告知周边的其他单位和人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8"/>
              </w:rPr>
              <w:t>员。</w:t>
            </w:r>
          </w:p>
        </w:tc>
        <w:tc>
          <w:tcPr>
            <w:tcW w:w="5506" w:type="dxa"/>
            <w:vAlign w:val="top"/>
          </w:tcPr>
          <w:p>
            <w:pPr>
              <w:pStyle w:val="5"/>
              <w:spacing w:before="74" w:line="209" w:lineRule="auto"/>
              <w:ind w:left="120" w:right="95" w:hanging="27"/>
              <w:jc w:val="both"/>
            </w:pPr>
            <w:r>
              <w:rPr>
                <w:spacing w:val="11"/>
              </w:rPr>
              <w:t>【部门规章】《生产安全事故应急预案管理办</w:t>
            </w:r>
            <w:r>
              <w:rPr>
                <w:spacing w:val="10"/>
              </w:rPr>
              <w:t>法》第</w:t>
            </w:r>
            <w:r>
              <w:t xml:space="preserve"> </w:t>
            </w:r>
            <w:r>
              <w:rPr>
                <w:spacing w:val="8"/>
              </w:rPr>
              <w:t>四十五条第一款第三项：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生产经营单位有下列情形之</w:t>
            </w:r>
            <w:r>
              <w:t xml:space="preserve"> </w:t>
            </w:r>
            <w:r>
              <w:rPr>
                <w:spacing w:val="6"/>
              </w:rPr>
              <w:t>一的， 由县级以上人民政府应急管理部门责令限期改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正，</w:t>
            </w:r>
            <w:r>
              <w:rPr>
                <w:spacing w:val="-31"/>
              </w:rPr>
              <w:t xml:space="preserve"> </w:t>
            </w:r>
            <w:r>
              <w:rPr>
                <w:spacing w:val="4"/>
              </w:rPr>
              <w:t>可以处</w:t>
            </w:r>
            <w:r>
              <w:rPr>
                <w:spacing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1</w:t>
            </w:r>
            <w:r>
              <w:rPr>
                <w:rFonts w:ascii="宋体" w:hAnsi="宋体" w:eastAsia="宋体" w:cs="宋体"/>
                <w:spacing w:val="-26"/>
              </w:rPr>
              <w:t xml:space="preserve"> </w:t>
            </w:r>
            <w:r>
              <w:rPr>
                <w:spacing w:val="4"/>
              </w:rPr>
              <w:t xml:space="preserve">万元以上 </w:t>
            </w:r>
            <w:r>
              <w:rPr>
                <w:rFonts w:ascii="宋体" w:hAnsi="宋体" w:eastAsia="宋体" w:cs="宋体"/>
                <w:spacing w:val="4"/>
              </w:rPr>
              <w:t>3</w:t>
            </w:r>
            <w:r>
              <w:rPr>
                <w:rFonts w:ascii="宋体" w:hAnsi="宋体" w:eastAsia="宋体" w:cs="宋体"/>
                <w:spacing w:val="-27"/>
              </w:rPr>
              <w:t xml:space="preserve"> </w:t>
            </w:r>
            <w:r>
              <w:rPr>
                <w:spacing w:val="4"/>
              </w:rPr>
              <w:t>万元以下的罚款</w:t>
            </w:r>
            <w:r>
              <w:rPr>
                <w:spacing w:val="-15"/>
              </w:rPr>
              <w:t>：（</w:t>
            </w:r>
            <w:r>
              <w:rPr>
                <w:spacing w:val="4"/>
              </w:rPr>
              <w:t>三）</w:t>
            </w:r>
            <w:r>
              <w:rPr>
                <w:spacing w:val="-34"/>
              </w:rPr>
              <w:t xml:space="preserve"> </w:t>
            </w:r>
            <w:r>
              <w:rPr>
                <w:spacing w:val="4"/>
              </w:rPr>
              <w:t>事</w:t>
            </w:r>
            <w:r>
              <w:t xml:space="preserve"> </w:t>
            </w:r>
            <w:r>
              <w:rPr>
                <w:spacing w:val="8"/>
              </w:rPr>
              <w:t>故风险可能影响周边单位、人员的，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未将事故风险的</w:t>
            </w:r>
            <w:r>
              <w:t xml:space="preserve"> </w:t>
            </w:r>
            <w:r>
              <w:rPr>
                <w:spacing w:val="9"/>
              </w:rPr>
              <w:t>性质、影响范围和应急防范措施告知周边单位和人员</w:t>
            </w:r>
          </w:p>
        </w:tc>
      </w:tr>
    </w:tbl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tbl>
      <w:tblPr>
        <w:tblStyle w:val="4"/>
        <w:tblW w:w="14048" w:type="dxa"/>
        <w:tblInd w:w="3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314"/>
        <w:gridCol w:w="5448"/>
        <w:gridCol w:w="55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80" w:type="dxa"/>
            <w:vAlign w:val="top"/>
          </w:tcPr>
          <w:p>
            <w:pPr>
              <w:spacing w:before="154" w:line="238" w:lineRule="auto"/>
              <w:ind w:left="127"/>
              <w:rPr>
                <w:rFonts w:ascii="FZHei-B01" w:hAnsi="FZHei-B01" w:eastAsia="FZHei-B01" w:cs="FZHei-B01"/>
                <w:sz w:val="26"/>
                <w:szCs w:val="26"/>
              </w:rPr>
            </w:pPr>
            <w:r>
              <w:rPr>
                <w:rFonts w:ascii="FZHei-B01" w:hAnsi="FZHei-B01" w:eastAsia="FZHei-B01" w:cs="FZHei-B01"/>
                <w:spacing w:val="4"/>
                <w:sz w:val="26"/>
                <w:szCs w:val="26"/>
              </w:rPr>
              <w:t>序号</w:t>
            </w:r>
          </w:p>
        </w:tc>
        <w:tc>
          <w:tcPr>
            <w:tcW w:w="2314" w:type="dxa"/>
            <w:vAlign w:val="top"/>
          </w:tcPr>
          <w:p>
            <w:pPr>
              <w:spacing w:before="156" w:line="236" w:lineRule="auto"/>
              <w:ind w:left="630"/>
              <w:rPr>
                <w:rFonts w:ascii="FZHei-B01" w:hAnsi="FZHei-B01" w:eastAsia="FZHei-B01" w:cs="FZHei-B01"/>
                <w:sz w:val="26"/>
                <w:szCs w:val="26"/>
              </w:rPr>
            </w:pPr>
            <w:r>
              <w:rPr>
                <w:rFonts w:ascii="FZHei-B01" w:hAnsi="FZHei-B01" w:eastAsia="FZHei-B01" w:cs="FZHei-B01"/>
                <w:spacing w:val="4"/>
                <w:sz w:val="26"/>
                <w:szCs w:val="26"/>
              </w:rPr>
              <w:t>违法行为</w:t>
            </w:r>
          </w:p>
        </w:tc>
        <w:tc>
          <w:tcPr>
            <w:tcW w:w="5448" w:type="dxa"/>
            <w:vAlign w:val="top"/>
          </w:tcPr>
          <w:p>
            <w:pPr>
              <w:spacing w:before="155" w:line="237" w:lineRule="auto"/>
              <w:ind w:left="2204"/>
              <w:rPr>
                <w:rFonts w:ascii="FZHei-B01" w:hAnsi="FZHei-B01" w:eastAsia="FZHei-B01" w:cs="FZHei-B01"/>
                <w:sz w:val="26"/>
                <w:szCs w:val="26"/>
              </w:rPr>
            </w:pPr>
            <w:r>
              <w:rPr>
                <w:rFonts w:ascii="FZHei-B01" w:hAnsi="FZHei-B01" w:eastAsia="FZHei-B01" w:cs="FZHei-B01"/>
                <w:spacing w:val="2"/>
                <w:sz w:val="26"/>
                <w:szCs w:val="26"/>
              </w:rPr>
              <w:t>法律规定</w:t>
            </w:r>
          </w:p>
        </w:tc>
        <w:tc>
          <w:tcPr>
            <w:tcW w:w="5506" w:type="dxa"/>
            <w:vAlign w:val="top"/>
          </w:tcPr>
          <w:p>
            <w:pPr>
              <w:spacing w:before="155" w:line="237" w:lineRule="auto"/>
              <w:ind w:left="2228"/>
              <w:rPr>
                <w:rFonts w:ascii="FZHei-B01" w:hAnsi="FZHei-B01" w:eastAsia="FZHei-B01" w:cs="FZHei-B01"/>
                <w:sz w:val="26"/>
                <w:szCs w:val="26"/>
              </w:rPr>
            </w:pPr>
            <w:r>
              <w:rPr>
                <w:rFonts w:ascii="FZHei-B01" w:hAnsi="FZHei-B01" w:eastAsia="FZHei-B01" w:cs="FZHei-B01"/>
                <w:spacing w:val="3"/>
                <w:sz w:val="26"/>
                <w:szCs w:val="26"/>
              </w:rPr>
              <w:t>处罚依据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6" w:type="dxa"/>
            <w:vAlign w:val="top"/>
          </w:tcPr>
          <w:p>
            <w:pPr>
              <w:pStyle w:val="5"/>
              <w:spacing w:before="73" w:line="167" w:lineRule="auto"/>
              <w:ind w:left="134"/>
            </w:pPr>
            <w:r>
              <w:rPr>
                <w:spacing w:val="-15"/>
              </w:rPr>
              <w:t>的；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5" w:hRule="atLeast"/>
        </w:trPr>
        <w:tc>
          <w:tcPr>
            <w:tcW w:w="78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85" w:line="184" w:lineRule="auto"/>
              <w:ind w:left="300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6</w:t>
            </w:r>
          </w:p>
        </w:tc>
        <w:tc>
          <w:tcPr>
            <w:tcW w:w="231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9" w:line="262" w:lineRule="auto"/>
              <w:ind w:left="103" w:right="101" w:firstLine="9"/>
              <w:jc w:val="both"/>
              <w:rPr>
                <w:rFonts w:ascii="FZHei-B01" w:hAnsi="FZHei-B01" w:eastAsia="FZHei-B01" w:cs="FZHei-B01"/>
                <w:sz w:val="22"/>
                <w:szCs w:val="22"/>
              </w:rPr>
            </w:pPr>
            <w:r>
              <w:rPr>
                <w:rFonts w:ascii="FZHei-B01" w:hAnsi="FZHei-B01" w:eastAsia="FZHei-B01" w:cs="FZHei-B01"/>
                <w:spacing w:val="12"/>
                <w:sz w:val="22"/>
                <w:szCs w:val="22"/>
              </w:rPr>
              <w:t>生产经营单位未按照</w:t>
            </w:r>
            <w:r>
              <w:rPr>
                <w:rFonts w:ascii="FZHei-B01" w:hAnsi="FZHei-B01" w:eastAsia="FZHei-B01" w:cs="FZHei-B01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22"/>
                <w:szCs w:val="22"/>
              </w:rPr>
              <w:t>规定开展应急预案评</w:t>
            </w:r>
            <w:r>
              <w:rPr>
                <w:rFonts w:ascii="FZHei-B01" w:hAnsi="FZHei-B01" w:eastAsia="FZHei-B01" w:cs="FZHei-B01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FZHei-B01" w:hAnsi="FZHei-B01" w:eastAsia="FZHei-B01" w:cs="FZHei-B01"/>
                <w:spacing w:val="4"/>
                <w:sz w:val="22"/>
                <w:szCs w:val="22"/>
              </w:rPr>
              <w:t>估的</w:t>
            </w:r>
          </w:p>
        </w:tc>
        <w:tc>
          <w:tcPr>
            <w:tcW w:w="5448" w:type="dxa"/>
            <w:vAlign w:val="top"/>
          </w:tcPr>
          <w:p>
            <w:pPr>
              <w:pStyle w:val="5"/>
              <w:spacing w:before="76" w:line="217" w:lineRule="auto"/>
              <w:ind w:left="111" w:right="99" w:hanging="19"/>
            </w:pPr>
            <w:r>
              <w:rPr>
                <w:spacing w:val="7"/>
              </w:rPr>
              <w:t>【部门规章】《生产安全事故应急预案管理办法》第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三十五条：应急预案编制单位应当建立应急预案定期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评估制度，对预案内容的针对性和实用性进行分析，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并对应急预案是否需要修订作出结论。</w:t>
            </w:r>
          </w:p>
          <w:p>
            <w:pPr>
              <w:pStyle w:val="5"/>
              <w:spacing w:before="3" w:line="217" w:lineRule="auto"/>
              <w:ind w:left="107" w:right="9" w:firstLine="5"/>
            </w:pPr>
            <w:r>
              <w:rPr>
                <w:spacing w:val="7"/>
              </w:rPr>
              <w:t>矿山、金属冶炼、建筑施工企业和易燃易爆物品、危</w:t>
            </w:r>
            <w:r>
              <w:rPr>
                <w:spacing w:val="4"/>
              </w:rPr>
              <w:t xml:space="preserve">  </w:t>
            </w:r>
            <w:r>
              <w:rPr>
                <w:spacing w:val="2"/>
              </w:rPr>
              <w:t>险化学品等危险物品的生产、经营、储存、运输</w:t>
            </w:r>
            <w:r>
              <w:rPr>
                <w:spacing w:val="1"/>
              </w:rPr>
              <w:t>企业、</w:t>
            </w:r>
            <w:r>
              <w:t xml:space="preserve"> </w:t>
            </w:r>
            <w:r>
              <w:rPr>
                <w:spacing w:val="7"/>
              </w:rPr>
              <w:t xml:space="preserve">使用危险化学品达到国家规定数量的化工企业、烟花  爆竹生产、批发经营企业和中型规模以上的其他生产  </w:t>
            </w:r>
            <w:r>
              <w:rPr>
                <w:spacing w:val="6"/>
              </w:rPr>
              <w:t>经营单位，应当每三年进行一次应急预案评估。</w:t>
            </w:r>
          </w:p>
          <w:p>
            <w:pPr>
              <w:pStyle w:val="5"/>
              <w:spacing w:line="200" w:lineRule="auto"/>
              <w:ind w:left="111" w:right="99" w:firstLine="6"/>
            </w:pPr>
            <w:r>
              <w:rPr>
                <w:spacing w:val="6"/>
              </w:rPr>
              <w:t>应急预案评估可以邀请相关专业机构或者有关专家、</w:t>
            </w:r>
            <w:r>
              <w:t xml:space="preserve"> </w:t>
            </w:r>
            <w:r>
              <w:rPr>
                <w:spacing w:val="7"/>
              </w:rPr>
              <w:t>有实际应急救援工作经验的人员参加，必要时可以委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托安全生产技术服务机构实施。</w:t>
            </w:r>
          </w:p>
        </w:tc>
        <w:tc>
          <w:tcPr>
            <w:tcW w:w="5506" w:type="dxa"/>
            <w:vAlign w:val="top"/>
          </w:tcPr>
          <w:p>
            <w:pPr>
              <w:pStyle w:val="5"/>
              <w:spacing w:before="72" w:line="221" w:lineRule="auto"/>
              <w:ind w:left="111" w:right="95" w:hanging="18"/>
              <w:jc w:val="both"/>
            </w:pPr>
            <w:r>
              <w:rPr>
                <w:spacing w:val="11"/>
              </w:rPr>
              <w:t>【部门规章】《生产安全事故应急预案管理办</w:t>
            </w:r>
            <w:r>
              <w:rPr>
                <w:spacing w:val="10"/>
              </w:rPr>
              <w:t>法》第</w:t>
            </w:r>
            <w:r>
              <w:t xml:space="preserve"> </w:t>
            </w:r>
            <w:r>
              <w:rPr>
                <w:spacing w:val="8"/>
              </w:rPr>
              <w:t>四十五条第一款第四项：</w:t>
            </w:r>
            <w:r>
              <w:rPr>
                <w:spacing w:val="-17"/>
              </w:rPr>
              <w:t xml:space="preserve"> </w:t>
            </w:r>
            <w:r>
              <w:rPr>
                <w:spacing w:val="8"/>
              </w:rPr>
              <w:t>生产经营单位有下列情形之</w:t>
            </w:r>
            <w:r>
              <w:t xml:space="preserve"> </w:t>
            </w:r>
            <w:r>
              <w:rPr>
                <w:spacing w:val="7"/>
              </w:rPr>
              <w:t>一的， 由县级以上人民政府应急管理部门责令限期改</w:t>
            </w:r>
            <w:r>
              <w:t xml:space="preserve"> </w:t>
            </w:r>
            <w:r>
              <w:rPr>
                <w:spacing w:val="5"/>
              </w:rPr>
              <w:t>正，</w:t>
            </w:r>
            <w:r>
              <w:rPr>
                <w:spacing w:val="-29"/>
              </w:rPr>
              <w:t xml:space="preserve"> </w:t>
            </w:r>
            <w:r>
              <w:rPr>
                <w:spacing w:val="5"/>
              </w:rPr>
              <w:t>可以处</w:t>
            </w:r>
            <w:r>
              <w:rPr>
                <w:spacing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1</w:t>
            </w:r>
            <w:r>
              <w:rPr>
                <w:rFonts w:ascii="宋体" w:hAnsi="宋体" w:eastAsia="宋体" w:cs="宋体"/>
                <w:spacing w:val="-25"/>
              </w:rPr>
              <w:t xml:space="preserve"> </w:t>
            </w:r>
            <w:r>
              <w:rPr>
                <w:spacing w:val="5"/>
              </w:rPr>
              <w:t xml:space="preserve">万元以上 </w:t>
            </w:r>
            <w:r>
              <w:rPr>
                <w:rFonts w:ascii="宋体" w:hAnsi="宋体" w:eastAsia="宋体" w:cs="宋体"/>
                <w:spacing w:val="5"/>
              </w:rPr>
              <w:t>3</w:t>
            </w:r>
            <w:r>
              <w:rPr>
                <w:rFonts w:ascii="宋体" w:hAnsi="宋体" w:eastAsia="宋体" w:cs="宋体"/>
                <w:spacing w:val="-28"/>
              </w:rPr>
              <w:t xml:space="preserve"> </w:t>
            </w:r>
            <w:r>
              <w:rPr>
                <w:spacing w:val="5"/>
              </w:rPr>
              <w:t>万元以下的罚款</w:t>
            </w:r>
            <w:r>
              <w:rPr>
                <w:spacing w:val="-20"/>
              </w:rPr>
              <w:t>：（</w:t>
            </w:r>
            <w:r>
              <w:rPr>
                <w:spacing w:val="5"/>
              </w:rPr>
              <w:t>四）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未</w:t>
            </w:r>
            <w:r>
              <w:t xml:space="preserve"> </w:t>
            </w:r>
            <w:r>
              <w:rPr>
                <w:spacing w:val="4"/>
              </w:rPr>
              <w:t>按照规定开展应急预案评估的；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780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85" w:line="182" w:lineRule="auto"/>
              <w:ind w:left="304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7</w:t>
            </w:r>
          </w:p>
        </w:tc>
        <w:tc>
          <w:tcPr>
            <w:tcW w:w="2314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80" w:line="261" w:lineRule="auto"/>
              <w:ind w:left="103" w:right="101" w:firstLine="9"/>
              <w:jc w:val="both"/>
              <w:rPr>
                <w:rFonts w:ascii="FZHei-B01" w:hAnsi="FZHei-B01" w:eastAsia="FZHei-B01" w:cs="FZHei-B01"/>
                <w:sz w:val="22"/>
                <w:szCs w:val="22"/>
              </w:rPr>
            </w:pPr>
            <w:r>
              <w:rPr>
                <w:rFonts w:ascii="FZHei-B01" w:hAnsi="FZHei-B01" w:eastAsia="FZHei-B01" w:cs="FZHei-B01"/>
                <w:spacing w:val="12"/>
                <w:sz w:val="22"/>
                <w:szCs w:val="22"/>
              </w:rPr>
              <w:t>生产经营单位未落实</w:t>
            </w:r>
            <w:r>
              <w:rPr>
                <w:rFonts w:ascii="FZHei-B01" w:hAnsi="FZHei-B01" w:eastAsia="FZHei-B01" w:cs="FZHei-B01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22"/>
                <w:szCs w:val="22"/>
              </w:rPr>
              <w:t>应急预案规定的应急</w:t>
            </w:r>
            <w:r>
              <w:rPr>
                <w:rFonts w:ascii="FZHei-B01" w:hAnsi="FZHei-B01" w:eastAsia="FZHei-B01" w:cs="FZHei-B01"/>
                <w:spacing w:val="6"/>
                <w:sz w:val="22"/>
                <w:szCs w:val="22"/>
              </w:rPr>
              <w:t xml:space="preserve"> 物资及装备的</w:t>
            </w:r>
          </w:p>
        </w:tc>
        <w:tc>
          <w:tcPr>
            <w:tcW w:w="5448" w:type="dxa"/>
            <w:vAlign w:val="top"/>
          </w:tcPr>
          <w:p>
            <w:pPr>
              <w:pStyle w:val="5"/>
              <w:spacing w:before="80" w:line="207" w:lineRule="auto"/>
              <w:ind w:left="111" w:right="27" w:hanging="19"/>
            </w:pPr>
            <w:r>
              <w:rPr>
                <w:spacing w:val="7"/>
              </w:rPr>
              <w:t>【部门规章】《生产安全事故应急预案管理办法》第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三十八条：生产经营单位应当按照应急预案的规定，</w:t>
            </w:r>
            <w:r>
              <w:rPr>
                <w:spacing w:val="3"/>
              </w:rPr>
              <w:t xml:space="preserve">   </w:t>
            </w:r>
            <w:r>
              <w:rPr>
                <w:spacing w:val="1"/>
              </w:rPr>
              <w:t>落实应急指挥体系、应急救援队伍、应急物资及装备，</w:t>
            </w:r>
            <w:r>
              <w:t xml:space="preserve"> </w:t>
            </w:r>
            <w:r>
              <w:rPr>
                <w:spacing w:val="7"/>
              </w:rPr>
              <w:t>建立应急物资、装备配备及其使用档案，并对应急物</w:t>
            </w:r>
            <w:r>
              <w:rPr>
                <w:spacing w:val="4"/>
              </w:rPr>
              <w:t xml:space="preserve">  </w:t>
            </w:r>
            <w:r>
              <w:rPr>
                <w:spacing w:val="6"/>
              </w:rPr>
              <w:t>资、装备进行定期检测和维护，使其处于适用状态。</w:t>
            </w:r>
          </w:p>
        </w:tc>
        <w:tc>
          <w:tcPr>
            <w:tcW w:w="5506" w:type="dxa"/>
            <w:vAlign w:val="top"/>
          </w:tcPr>
          <w:p>
            <w:pPr>
              <w:pStyle w:val="5"/>
              <w:spacing w:before="80" w:line="207" w:lineRule="auto"/>
              <w:ind w:left="120" w:right="95" w:hanging="27"/>
              <w:jc w:val="both"/>
            </w:pPr>
            <w:r>
              <w:rPr>
                <w:spacing w:val="11"/>
              </w:rPr>
              <w:t>【部门规章】《生产安全事故应急预案管理办</w:t>
            </w:r>
            <w:r>
              <w:rPr>
                <w:spacing w:val="10"/>
              </w:rPr>
              <w:t>法》第</w:t>
            </w:r>
            <w:r>
              <w:t xml:space="preserve"> </w:t>
            </w:r>
            <w:r>
              <w:rPr>
                <w:spacing w:val="8"/>
              </w:rPr>
              <w:t>四十五条第一款第六项：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生产经营单位有下列情形之</w:t>
            </w:r>
            <w:r>
              <w:t xml:space="preserve"> </w:t>
            </w:r>
            <w:r>
              <w:rPr>
                <w:spacing w:val="6"/>
              </w:rPr>
              <w:t>一的， 由县级以上人民政府应急管理部门责令限期改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正，</w:t>
            </w:r>
            <w:r>
              <w:rPr>
                <w:spacing w:val="-30"/>
              </w:rPr>
              <w:t xml:space="preserve"> </w:t>
            </w:r>
            <w:r>
              <w:rPr>
                <w:spacing w:val="4"/>
              </w:rPr>
              <w:t>可以处</w:t>
            </w:r>
            <w:r>
              <w:rPr>
                <w:spacing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1</w:t>
            </w:r>
            <w:r>
              <w:rPr>
                <w:rFonts w:ascii="宋体" w:hAnsi="宋体" w:eastAsia="宋体" w:cs="宋体"/>
                <w:spacing w:val="-25"/>
              </w:rPr>
              <w:t xml:space="preserve"> </w:t>
            </w:r>
            <w:r>
              <w:rPr>
                <w:spacing w:val="4"/>
              </w:rPr>
              <w:t xml:space="preserve">万元以上 </w:t>
            </w:r>
            <w:r>
              <w:rPr>
                <w:rFonts w:ascii="宋体" w:hAnsi="宋体" w:eastAsia="宋体" w:cs="宋体"/>
                <w:spacing w:val="4"/>
              </w:rPr>
              <w:t>3</w:t>
            </w:r>
            <w:r>
              <w:rPr>
                <w:rFonts w:ascii="宋体" w:hAnsi="宋体" w:eastAsia="宋体" w:cs="宋体"/>
                <w:spacing w:val="-28"/>
              </w:rPr>
              <w:t xml:space="preserve"> </w:t>
            </w:r>
            <w:r>
              <w:rPr>
                <w:spacing w:val="4"/>
              </w:rPr>
              <w:t>万元以下的罚款</w:t>
            </w:r>
            <w:r>
              <w:rPr>
                <w:spacing w:val="-13"/>
              </w:rPr>
              <w:t>：（</w:t>
            </w:r>
            <w:r>
              <w:rPr>
                <w:spacing w:val="4"/>
              </w:rPr>
              <w:t>六）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未</w:t>
            </w:r>
            <w:r>
              <w:t xml:space="preserve"> </w:t>
            </w:r>
            <w:r>
              <w:rPr>
                <w:spacing w:val="5"/>
              </w:rPr>
              <w:t>落实应急预案规定的应急物资及装备的。</w:t>
            </w:r>
          </w:p>
        </w:tc>
      </w:tr>
    </w:tbl>
    <w:p>
      <w:pPr>
        <w:spacing w:before="81" w:line="204" w:lineRule="auto"/>
        <w:ind w:left="489" w:right="138" w:firstLine="651"/>
        <w:rPr>
          <w:rFonts w:ascii="微软雅黑" w:hAnsi="微软雅黑" w:eastAsia="微软雅黑" w:cs="微软雅黑"/>
          <w:sz w:val="30"/>
          <w:szCs w:val="30"/>
        </w:rPr>
      </w:pPr>
      <w:bookmarkStart w:id="0" w:name="_GoBack"/>
      <w:bookmarkEnd w:id="0"/>
      <w:r>
        <w:rPr>
          <w:rFonts w:ascii="FZHei-B01" w:hAnsi="FZHei-B01" w:eastAsia="FZHei-B01" w:cs="FZHei-B01"/>
          <w:spacing w:val="1"/>
          <w:sz w:val="30"/>
          <w:szCs w:val="30"/>
        </w:rPr>
        <w:t xml:space="preserve">附注   </w:t>
      </w:r>
      <w:r>
        <w:rPr>
          <w:rFonts w:ascii="微软雅黑" w:hAnsi="微软雅黑" w:eastAsia="微软雅黑" w:cs="微软雅黑"/>
          <w:spacing w:val="1"/>
          <w:sz w:val="30"/>
          <w:szCs w:val="30"/>
        </w:rPr>
        <w:t>一、本清单适用于近三年未发生生产安全事故，且未被纳入严重</w:t>
      </w:r>
      <w:r>
        <w:rPr>
          <w:rFonts w:ascii="微软雅黑" w:hAnsi="微软雅黑" w:eastAsia="微软雅黑" w:cs="微软雅黑"/>
          <w:sz w:val="30"/>
          <w:szCs w:val="30"/>
        </w:rPr>
        <w:t xml:space="preserve">失信主体名单的生产经营单位 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（高危行业领域生产经营单位除外）。</w:t>
      </w:r>
    </w:p>
    <w:p>
      <w:pPr>
        <w:spacing w:line="203" w:lineRule="auto"/>
        <w:ind w:left="1139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3"/>
          <w:sz w:val="30"/>
          <w:szCs w:val="30"/>
        </w:rPr>
        <w:t>二、本清单可以不予行政处罚的适用情形需同时满足初次违法、危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害后果轻微、及时改正等情形。</w:t>
      </w:r>
    </w:p>
    <w:p>
      <w:pPr>
        <w:spacing w:before="4" w:line="203" w:lineRule="auto"/>
        <w:ind w:left="522" w:firstLine="621"/>
        <w:rPr>
          <w:rFonts w:ascii="微软雅黑" w:hAnsi="微软雅黑" w:eastAsia="微软雅黑" w:cs="微软雅黑"/>
          <w:sz w:val="30"/>
          <w:szCs w:val="30"/>
        </w:rPr>
        <w:sectPr>
          <w:pgSz w:w="16841" w:h="11905"/>
          <w:pgMar w:top="400" w:right="1380" w:bottom="400" w:left="996" w:header="0" w:footer="0" w:gutter="0"/>
        </w:sectPr>
      </w:pPr>
      <w:r>
        <w:rPr>
          <w:rFonts w:ascii="微软雅黑" w:hAnsi="微软雅黑" w:eastAsia="微软雅黑" w:cs="微软雅黑"/>
          <w:spacing w:val="1"/>
          <w:sz w:val="30"/>
          <w:szCs w:val="30"/>
        </w:rPr>
        <w:t>三、对于清单中首次被发现，可以不予行政处罚的具体违法行为，</w:t>
      </w:r>
      <w:r>
        <w:rPr>
          <w:rFonts w:ascii="微软雅黑" w:hAnsi="微软雅黑" w:eastAsia="微软雅黑" w:cs="微软雅黑"/>
          <w:spacing w:val="-51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1"/>
          <w:sz w:val="30"/>
          <w:szCs w:val="30"/>
        </w:rPr>
        <w:t>执法人员应当对当事人进行教育，</w:t>
      </w:r>
      <w:r>
        <w:rPr>
          <w:rFonts w:ascii="微软雅黑" w:hAnsi="微软雅黑" w:eastAsia="微软雅黑" w:cs="微软雅黑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3"/>
          <w:sz w:val="30"/>
          <w:szCs w:val="30"/>
        </w:rPr>
        <w:t>并依法下达现场检查记录、责令限期整改指令书等文书，并按</w:t>
      </w:r>
      <w:r>
        <w:rPr>
          <w:rFonts w:ascii="微软雅黑" w:hAnsi="微软雅黑" w:eastAsia="微软雅黑" w:cs="微软雅黑"/>
          <w:spacing w:val="-4"/>
          <w:sz w:val="30"/>
          <w:szCs w:val="30"/>
        </w:rPr>
        <w:t>期复查。对逾期不予整改、整改不符合要求、</w:t>
      </w:r>
      <w:r>
        <w:rPr>
          <w:rFonts w:ascii="微软雅黑" w:hAnsi="微软雅黑" w:eastAsia="微软雅黑" w:cs="微软雅黑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拒不整改、弄虚作假、再次发现同项或者其他违法行为的，</w:t>
      </w:r>
      <w:r>
        <w:rPr>
          <w:rFonts w:ascii="微软雅黑" w:hAnsi="微软雅黑" w:eastAsia="微软雅黑" w:cs="微软雅黑"/>
          <w:spacing w:val="-41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执法人员应当依法立案查处。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ZHei-B01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17375"/>
    <w:rsid w:val="5B32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2025-01-16T03:24:00Z</dcterms:created>
  <dc:creator>admin</dc:creator>
  <cp:lastModifiedBy>王金泉</cp:lastModifiedBy>
  <dcterms:modified xsi:type="dcterms:W3CDTF">2025-01-16T03:52:56Z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