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00" w:type="dxa"/>
        <w:tblInd w:w="0" w:type="dxa"/>
        <w:shd w:val="clear" w:color="auto" w:fill="auto"/>
        <w:tblLayout w:type="autofit"/>
        <w:tblCellMar>
          <w:top w:w="0" w:type="dxa"/>
          <w:left w:w="0" w:type="dxa"/>
          <w:bottom w:w="0" w:type="dxa"/>
          <w:right w:w="0" w:type="dxa"/>
        </w:tblCellMar>
      </w:tblPr>
      <w:tblGrid>
        <w:gridCol w:w="1420"/>
        <w:gridCol w:w="1580"/>
        <w:gridCol w:w="2140"/>
        <w:gridCol w:w="2640"/>
        <w:gridCol w:w="3060"/>
        <w:gridCol w:w="1440"/>
        <w:gridCol w:w="2020"/>
      </w:tblGrid>
      <w:tr w14:paraId="391DFA38">
        <w:tblPrEx>
          <w:shd w:val="clear" w:color="auto" w:fill="auto"/>
          <w:tblCellMar>
            <w:top w:w="0" w:type="dxa"/>
            <w:left w:w="0" w:type="dxa"/>
            <w:bottom w:w="0" w:type="dxa"/>
            <w:right w:w="0" w:type="dxa"/>
          </w:tblCellMar>
        </w:tblPrEx>
        <w:trPr>
          <w:trHeight w:val="1632" w:hRule="atLeast"/>
        </w:trPr>
        <w:tc>
          <w:tcPr>
            <w:tcW w:w="14300" w:type="dxa"/>
            <w:gridSpan w:val="7"/>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14:paraId="65B3CBBB">
            <w:pPr>
              <w:keepNext w:val="0"/>
              <w:keepLines w:val="0"/>
              <w:widowControl/>
              <w:suppressLineNumbers w:val="0"/>
              <w:jc w:val="center"/>
              <w:textAlignment w:val="center"/>
              <w:rPr>
                <w:rFonts w:ascii="monospace" w:hAnsi="monospace" w:eastAsia="monospace" w:cs="monospace"/>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北京市丰台区人民政府看丹街道办事处2025年度执法检查计划</w:t>
            </w:r>
          </w:p>
        </w:tc>
      </w:tr>
      <w:tr w14:paraId="4838A08C">
        <w:tblPrEx>
          <w:tblCellMar>
            <w:top w:w="0" w:type="dxa"/>
            <w:left w:w="0" w:type="dxa"/>
            <w:bottom w:w="0" w:type="dxa"/>
            <w:right w:w="0" w:type="dxa"/>
          </w:tblCellMar>
        </w:tblPrEx>
        <w:trPr>
          <w:trHeight w:val="1092" w:hRule="atLeast"/>
        </w:trPr>
        <w:tc>
          <w:tcPr>
            <w:tcW w:w="142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4F81869">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检查主体</w:t>
            </w:r>
          </w:p>
        </w:tc>
        <w:tc>
          <w:tcPr>
            <w:tcW w:w="158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642CFC31">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检查事项</w:t>
            </w:r>
          </w:p>
        </w:tc>
        <w:tc>
          <w:tcPr>
            <w:tcW w:w="21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38DE0EB2">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检查方式</w:t>
            </w:r>
          </w:p>
        </w:tc>
        <w:tc>
          <w:tcPr>
            <w:tcW w:w="26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4AA780E4">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管理对象基数</w:t>
            </w:r>
          </w:p>
        </w:tc>
        <w:tc>
          <w:tcPr>
            <w:tcW w:w="30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414123F4">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检查比例</w:t>
            </w:r>
          </w:p>
        </w:tc>
        <w:tc>
          <w:tcPr>
            <w:tcW w:w="14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20190820">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检查要求</w:t>
            </w:r>
          </w:p>
        </w:tc>
        <w:tc>
          <w:tcPr>
            <w:tcW w:w="20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0F9E7F4E">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备注</w:t>
            </w:r>
          </w:p>
        </w:tc>
      </w:tr>
      <w:tr w14:paraId="3E43ECEA">
        <w:tblPrEx>
          <w:tblCellMar>
            <w:top w:w="0" w:type="dxa"/>
            <w:left w:w="0" w:type="dxa"/>
            <w:bottom w:w="0" w:type="dxa"/>
            <w:right w:w="0" w:type="dxa"/>
          </w:tblCellMar>
        </w:tblPrEx>
        <w:trPr>
          <w:trHeight w:val="948" w:hRule="atLeast"/>
        </w:trPr>
        <w:tc>
          <w:tcPr>
            <w:tcW w:w="1420"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0621FA6E">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北京市丰台区人民政府看丹街道办事处</w:t>
            </w:r>
          </w:p>
        </w:tc>
        <w:tc>
          <w:tcPr>
            <w:tcW w:w="1580"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21D638F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城乡规划管理方面、工商行政管理方面、停车管理方面、园林绿化管理方面、施工现场管理方面、环境</w:t>
            </w:r>
            <w:bookmarkStart w:id="0" w:name="_GoBack"/>
            <w:bookmarkEnd w:id="0"/>
            <w:r>
              <w:rPr>
                <w:rFonts w:hint="eastAsia" w:ascii="仿宋" w:hAnsi="仿宋" w:eastAsia="仿宋" w:cs="仿宋"/>
                <w:i w:val="0"/>
                <w:iCs w:val="0"/>
                <w:color w:val="auto"/>
                <w:kern w:val="0"/>
                <w:sz w:val="24"/>
                <w:szCs w:val="24"/>
                <w:u w:val="none"/>
                <w:lang w:val="en-US" w:eastAsia="zh-CN" w:bidi="ar"/>
              </w:rPr>
              <w:t>保护管理方面、市政管理方面、市容环境卫生方面、公用事业管理方面</w:t>
            </w:r>
          </w:p>
        </w:tc>
        <w:tc>
          <w:tcPr>
            <w:tcW w:w="2140"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6CC29C72">
            <w:pPr>
              <w:keepNext w:val="0"/>
              <w:keepLines w:val="0"/>
              <w:widowControl/>
              <w:suppressLineNumbers w:val="0"/>
              <w:spacing w:after="240" w:afterAutospacing="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1.接举报投诉后检查；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2.主动巡查；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3.根据季节、气候、重大活动保障等，开展不特定专项执法检查；</w:t>
            </w:r>
          </w:p>
        </w:tc>
        <w:tc>
          <w:tcPr>
            <w:tcW w:w="2640"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040E1C3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1.检查本辖区燃气企业、供暖企业、生活垃圾处理企业、餐馆、供电企业或营业机构等有明确被检查对象的，基数为本辖区内所负责的特定被检查对象总数；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2.针对市容环境卫生、流动无照经营、无证违法建设等违法形态无明确被检查对象的，按照道路、社区等区域对不特定被检查主体开展执法检查。</w:t>
            </w:r>
          </w:p>
        </w:tc>
        <w:tc>
          <w:tcPr>
            <w:tcW w:w="3060"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0E21F9E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1.针对12345等不同方式接到举报投诉的违法行为，按照“接诉即办”工作要求,现场检查比例达到100%;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2.针对已纳入双随机抽查清单的违法行为，按照双随机抽查所确定的比例开展执法检查;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3.针对不特定时期开展的专项执法检查，按照根据不同气候、天气、季节、违法形态特征等情况制定的专项执法检查方案所确定的检查比例开展所执法检查；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4.针对重大活动保障开展的专项执法检查，按照不特定区域、重点区域和场所不定期开展执法检查。</w:t>
            </w:r>
          </w:p>
        </w:tc>
        <w:tc>
          <w:tcPr>
            <w:tcW w:w="1440"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569F234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落实执法全过程记录制度要求，开展具体执法检查过程中，无特殊情况，应当通过文字、视音频、照相等方式进行记录。</w:t>
            </w:r>
          </w:p>
        </w:tc>
        <w:tc>
          <w:tcPr>
            <w:tcW w:w="2020"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2E98517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对辖区内特定被检查对象主体不多的，要做到执法检查全覆盖；对特定被检查对象较多、无法做到检查全覆盖的，可采取随机抽查措施。</w:t>
            </w:r>
          </w:p>
        </w:tc>
      </w:tr>
      <w:tr w14:paraId="0976C550">
        <w:tblPrEx>
          <w:tblCellMar>
            <w:top w:w="0" w:type="dxa"/>
            <w:left w:w="0" w:type="dxa"/>
            <w:bottom w:w="0" w:type="dxa"/>
            <w:right w:w="0" w:type="dxa"/>
          </w:tblCellMar>
        </w:tblPrEx>
        <w:trPr>
          <w:trHeight w:val="948" w:hRule="atLeast"/>
        </w:trPr>
        <w:tc>
          <w:tcPr>
            <w:tcW w:w="1420"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68CAF6B5">
            <w:pPr>
              <w:jc w:val="center"/>
              <w:rPr>
                <w:rFonts w:hint="eastAsia" w:ascii="仿宋" w:hAnsi="仿宋" w:eastAsia="仿宋" w:cs="仿宋"/>
                <w:i w:val="0"/>
                <w:iCs w:val="0"/>
                <w:color w:val="auto"/>
                <w:sz w:val="24"/>
                <w:szCs w:val="24"/>
                <w:u w:val="none"/>
              </w:rPr>
            </w:pPr>
          </w:p>
        </w:tc>
        <w:tc>
          <w:tcPr>
            <w:tcW w:w="1580"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61676486">
            <w:pPr>
              <w:rPr>
                <w:rFonts w:hint="eastAsia" w:ascii="仿宋" w:hAnsi="仿宋" w:eastAsia="仿宋" w:cs="仿宋"/>
                <w:i w:val="0"/>
                <w:iCs w:val="0"/>
                <w:color w:val="auto"/>
                <w:sz w:val="24"/>
                <w:szCs w:val="24"/>
                <w:u w:val="none"/>
              </w:rPr>
            </w:pPr>
          </w:p>
        </w:tc>
        <w:tc>
          <w:tcPr>
            <w:tcW w:w="2140"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73AF28E5">
            <w:pPr>
              <w:rPr>
                <w:rFonts w:hint="eastAsia" w:ascii="仿宋" w:hAnsi="仿宋" w:eastAsia="仿宋" w:cs="仿宋"/>
                <w:i w:val="0"/>
                <w:iCs w:val="0"/>
                <w:color w:val="auto"/>
                <w:sz w:val="24"/>
                <w:szCs w:val="24"/>
                <w:u w:val="none"/>
              </w:rPr>
            </w:pPr>
          </w:p>
        </w:tc>
        <w:tc>
          <w:tcPr>
            <w:tcW w:w="2640"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656384C6">
            <w:pPr>
              <w:rPr>
                <w:rFonts w:hint="eastAsia" w:ascii="仿宋" w:hAnsi="仿宋" w:eastAsia="仿宋" w:cs="仿宋"/>
                <w:i w:val="0"/>
                <w:iCs w:val="0"/>
                <w:color w:val="auto"/>
                <w:sz w:val="24"/>
                <w:szCs w:val="24"/>
                <w:u w:val="none"/>
              </w:rPr>
            </w:pPr>
          </w:p>
        </w:tc>
        <w:tc>
          <w:tcPr>
            <w:tcW w:w="3060"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17473E1C">
            <w:pPr>
              <w:rPr>
                <w:rFonts w:hint="eastAsia" w:ascii="仿宋" w:hAnsi="仿宋" w:eastAsia="仿宋" w:cs="仿宋"/>
                <w:i w:val="0"/>
                <w:iCs w:val="0"/>
                <w:color w:val="auto"/>
                <w:sz w:val="24"/>
                <w:szCs w:val="24"/>
                <w:u w:val="none"/>
              </w:rPr>
            </w:pPr>
          </w:p>
        </w:tc>
        <w:tc>
          <w:tcPr>
            <w:tcW w:w="1440"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4E3FDC86">
            <w:pPr>
              <w:rPr>
                <w:rFonts w:hint="eastAsia" w:ascii="仿宋" w:hAnsi="仿宋" w:eastAsia="仿宋" w:cs="仿宋"/>
                <w:i w:val="0"/>
                <w:iCs w:val="0"/>
                <w:color w:val="auto"/>
                <w:sz w:val="24"/>
                <w:szCs w:val="24"/>
                <w:u w:val="none"/>
              </w:rPr>
            </w:pPr>
          </w:p>
        </w:tc>
        <w:tc>
          <w:tcPr>
            <w:tcW w:w="2020"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14:paraId="032175A8">
            <w:pPr>
              <w:rPr>
                <w:rFonts w:hint="eastAsia" w:ascii="仿宋" w:hAnsi="仿宋" w:eastAsia="仿宋" w:cs="仿宋"/>
                <w:i w:val="0"/>
                <w:iCs w:val="0"/>
                <w:color w:val="auto"/>
                <w:sz w:val="24"/>
                <w:szCs w:val="24"/>
                <w:u w:val="none"/>
              </w:rPr>
            </w:pPr>
          </w:p>
        </w:tc>
      </w:tr>
    </w:tbl>
    <w:p w14:paraId="05DCD38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onospace">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TA0MjM1YmVmZGJlMjljMTNlNGI3YjA3MDQ3ZWQifQ=="/>
  </w:docVars>
  <w:rsids>
    <w:rsidRoot w:val="00000000"/>
    <w:rsid w:val="0451227C"/>
    <w:rsid w:val="07AA1B22"/>
    <w:rsid w:val="10214490"/>
    <w:rsid w:val="134D3AB0"/>
    <w:rsid w:val="1610669A"/>
    <w:rsid w:val="1A986A7C"/>
    <w:rsid w:val="4A0B57F5"/>
    <w:rsid w:val="6C96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customStyle="1" w:styleId="6">
    <w:name w:val="first-child"/>
    <w:basedOn w:val="3"/>
    <w:qFormat/>
    <w:uiPriority w:val="0"/>
  </w:style>
  <w:style w:type="character" w:customStyle="1" w:styleId="7">
    <w:name w:val="hover24"/>
    <w:basedOn w:val="3"/>
    <w:qFormat/>
    <w:uiPriority w:val="0"/>
    <w:rPr>
      <w:u w:val="none"/>
    </w:rPr>
  </w:style>
  <w:style w:type="character" w:customStyle="1" w:styleId="8">
    <w:name w:val="hover25"/>
    <w:basedOn w:val="3"/>
    <w:qFormat/>
    <w:uiPriority w:val="0"/>
    <w:rPr>
      <w:color w:val="5FB878"/>
    </w:rPr>
  </w:style>
  <w:style w:type="character" w:customStyle="1" w:styleId="9">
    <w:name w:val="hover26"/>
    <w:basedOn w:val="3"/>
    <w:qFormat/>
    <w:uiPriority w:val="0"/>
    <w:rPr>
      <w:color w:val="5FB878"/>
    </w:rPr>
  </w:style>
  <w:style w:type="character" w:customStyle="1" w:styleId="10">
    <w:name w:val="hover27"/>
    <w:basedOn w:val="3"/>
    <w:qFormat/>
    <w:uiPriority w:val="0"/>
    <w:rPr>
      <w:color w:val="FFFFFF"/>
    </w:rPr>
  </w:style>
  <w:style w:type="character" w:customStyle="1" w:styleId="11">
    <w:name w:val="sx"/>
    <w:basedOn w:val="3"/>
    <w:qFormat/>
    <w:uiPriority w:val="0"/>
    <w:rPr>
      <w:vanish/>
    </w:rPr>
  </w:style>
  <w:style w:type="character" w:customStyle="1" w:styleId="12">
    <w:name w:val="layui-this2"/>
    <w:basedOn w:val="3"/>
    <w:qFormat/>
    <w:uiPriority w:val="0"/>
    <w:rPr>
      <w:bdr w:val="single" w:color="EEEEEE" w:sz="6" w:space="0"/>
      <w:shd w:val="clear" w:fill="FFFFFF"/>
    </w:rPr>
  </w:style>
  <w:style w:type="character" w:customStyle="1" w:styleId="13">
    <w:name w:val="cur"/>
    <w:basedOn w:val="3"/>
    <w:qFormat/>
    <w:uiPriority w:val="0"/>
  </w:style>
  <w:style w:type="character" w:customStyle="1" w:styleId="14">
    <w:name w:val="cur1"/>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669</Characters>
  <Lines>0</Lines>
  <Paragraphs>0</Paragraphs>
  <TotalTime>3</TotalTime>
  <ScaleCrop>false</ScaleCrop>
  <LinksUpToDate>false</LinksUpToDate>
  <CharactersWithSpaces>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2021-08-25T07:16:00Z</dcterms:created>
  <dc:creator>dell</dc:creator>
  <cp:lastModifiedBy>Administrator</cp:lastModifiedBy>
  <dcterms:modified xsi:type="dcterms:W3CDTF">2025-01-02T01:53:37Z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804A69853D1B4F11AEF291870CF544D9</vt:lpwstr>
  </property>
  <property fmtid="{D5CDD505-2E9C-101B-9397-08002B2CF9AE}" pid="4" name="KSOTemplateDocerSaveRecord">
    <vt:lpwstr>eyJoZGlkIjoiNGE2MTA0MjM1YmVmZGJlMjljMTNlNGI3YjA3MDQ3ZWQifQ==</vt:lpwstr>
  </property>
</Properties>
</file>