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center"/>
        <w:rPr>
          <w:rFonts w:hint="eastAsia" w:ascii="宋体" w:hAnsi="宋体"/>
          <w:b/>
          <w:sz w:val="32"/>
          <w:szCs w:val="32"/>
          <w:lang w:eastAsia="zh-CN"/>
        </w:rPr>
      </w:pPr>
    </w:p>
    <w:p>
      <w:pPr>
        <w:spacing w:line="600" w:lineRule="exact"/>
        <w:jc w:val="center"/>
        <w:rPr>
          <w:rFonts w:ascii="方正小标宋简体" w:hAnsi="仿宋" w:eastAsia="方正小标宋简体"/>
          <w:sz w:val="44"/>
          <w:szCs w:val="44"/>
        </w:rPr>
      </w:pPr>
      <w:bookmarkStart w:id="1" w:name="_GoBack"/>
      <w:bookmarkStart w:id="0" w:name="OLE_LINK1"/>
      <w:r>
        <w:rPr>
          <w:rFonts w:hint="eastAsia" w:ascii="方正小标宋简体" w:hAnsi="仿宋" w:eastAsia="方正小标宋简体"/>
          <w:sz w:val="44"/>
          <w:szCs w:val="44"/>
        </w:rPr>
        <w:t>丰台区应急管理局</w:t>
      </w:r>
    </w:p>
    <w:p>
      <w:pPr>
        <w:spacing w:line="600" w:lineRule="exact"/>
        <w:jc w:val="center"/>
        <w:rPr>
          <w:rFonts w:ascii="方正小标宋简体" w:hAnsi="仿宋" w:eastAsia="方正小标宋简体"/>
          <w:sz w:val="44"/>
          <w:szCs w:val="44"/>
        </w:rPr>
      </w:pPr>
      <w:r>
        <w:rPr>
          <w:rFonts w:hint="eastAsia" w:ascii="方正小标宋简体" w:hAnsi="仿宋" w:eastAsia="方正小标宋简体"/>
          <w:sz w:val="44"/>
          <w:szCs w:val="44"/>
        </w:rPr>
        <w:t>202</w:t>
      </w:r>
      <w:r>
        <w:rPr>
          <w:rFonts w:hint="eastAsia" w:ascii="方正小标宋简体" w:hAnsi="仿宋" w:eastAsia="方正小标宋简体"/>
          <w:sz w:val="44"/>
          <w:szCs w:val="44"/>
          <w:lang w:eastAsia="zh-CN"/>
        </w:rPr>
        <w:t>5</w:t>
      </w:r>
      <w:r>
        <w:rPr>
          <w:rFonts w:hint="eastAsia" w:ascii="方正小标宋简体" w:hAnsi="仿宋" w:eastAsia="方正小标宋简体"/>
          <w:sz w:val="44"/>
          <w:szCs w:val="44"/>
        </w:rPr>
        <w:t>年度安全生产监督检查计划</w:t>
      </w:r>
      <w:bookmarkEnd w:id="0"/>
    </w:p>
    <w:bookmarkEnd w:id="1"/>
    <w:p>
      <w:pPr>
        <w:spacing w:line="640" w:lineRule="exact"/>
        <w:jc w:val="center"/>
        <w:rPr>
          <w:rFonts w:ascii="方正小标宋简体" w:hAnsi="仿宋" w:eastAsia="方正小标宋简体"/>
          <w:sz w:val="44"/>
          <w:szCs w:val="44"/>
        </w:rPr>
      </w:pPr>
    </w:p>
    <w:p>
      <w:pPr>
        <w:spacing w:line="560" w:lineRule="exact"/>
        <w:ind w:firstLine="640" w:firstLineChars="200"/>
        <w:rPr>
          <w:rFonts w:ascii="仿宋_GB2312" w:hAnsi="仿宋" w:eastAsia="仿宋_GB2312"/>
          <w:sz w:val="32"/>
          <w:szCs w:val="32"/>
          <w:lang w:eastAsia="zh-CN"/>
        </w:rPr>
      </w:pPr>
      <w:r>
        <w:rPr>
          <w:rFonts w:hint="eastAsia" w:ascii="仿宋_GB2312" w:hAnsi="仿宋" w:eastAsia="仿宋_GB2312"/>
          <w:sz w:val="32"/>
          <w:szCs w:val="32"/>
          <w:lang w:eastAsia="zh-CN"/>
        </w:rPr>
        <w:t>为进一步规范我局安全生产行政执法行为，依据《中华人民共和国安全生产法》《应急管理行政执法人员依法履职管理规定》等有关规定，按照《安全生产年度监督检查计划编制办法》(安监总政法〔2017〕150号)《关于加强本市安全隐患依法督改提升执法检查质效的指导意见》(京安发〔2023〕8号)《北京市应急管理系统分类分级执法暂行办法》（京应急发〔2024〕2号）等文件要求，制定丰台区应急管理局2025年度安全生产监督检查计划。</w:t>
      </w:r>
    </w:p>
    <w:p>
      <w:pPr>
        <w:spacing w:line="560" w:lineRule="exact"/>
        <w:ind w:firstLine="640" w:firstLineChars="200"/>
        <w:rPr>
          <w:rFonts w:ascii="黑体" w:hAnsi="黑体" w:eastAsia="黑体"/>
          <w:sz w:val="32"/>
          <w:szCs w:val="32"/>
          <w:lang w:eastAsia="zh-CN"/>
        </w:rPr>
      </w:pPr>
      <w:r>
        <w:rPr>
          <w:rFonts w:hint="eastAsia" w:ascii="黑体" w:hAnsi="黑体" w:eastAsia="黑体"/>
          <w:sz w:val="32"/>
          <w:szCs w:val="32"/>
        </w:rPr>
        <w:t>一、指导思想</w:t>
      </w:r>
    </w:p>
    <w:p>
      <w:pPr>
        <w:spacing w:line="560" w:lineRule="exact"/>
        <w:ind w:firstLine="640" w:firstLineChars="200"/>
        <w:rPr>
          <w:rFonts w:ascii="仿宋_GB2312" w:hAnsi="仿宋" w:eastAsia="仿宋_GB2312"/>
          <w:sz w:val="32"/>
          <w:szCs w:val="32"/>
          <w:lang w:eastAsia="zh-CN"/>
        </w:rPr>
      </w:pPr>
      <w:r>
        <w:rPr>
          <w:rFonts w:hint="eastAsia" w:ascii="仿宋_GB2312" w:hAnsi="仿宋" w:eastAsia="仿宋_GB2312"/>
          <w:sz w:val="32"/>
          <w:szCs w:val="32"/>
          <w:lang w:eastAsia="zh-CN"/>
        </w:rPr>
        <w:t>以习近平新时代中国特色社会主义思想为指导，深入贯彻党的二十大和党的二十届一中、二中、三中全会精神，全面贯彻习近平法治思想，深入落实党中央、国务院、市委市政府及区委区政府、市应急管理局关于加强安全生产工作的一系列部署要求，紧紧围绕本区安全生产重点工作，严格履行安全生产监管职责,不断提高行政执法效能，全力促进全区安全发展。</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二、工作目标</w:t>
      </w:r>
    </w:p>
    <w:p>
      <w:pPr>
        <w:spacing w:line="560" w:lineRule="exact"/>
        <w:ind w:firstLine="640" w:firstLineChars="200"/>
        <w:rPr>
          <w:rFonts w:ascii="仿宋_GB2312" w:hAnsi="仿宋" w:eastAsia="仿宋_GB2312"/>
          <w:sz w:val="32"/>
          <w:szCs w:val="32"/>
          <w:lang w:eastAsia="zh-CN"/>
        </w:rPr>
      </w:pPr>
      <w:r>
        <w:rPr>
          <w:rFonts w:hint="eastAsia" w:ascii="仿宋_GB2312" w:hAnsi="仿宋" w:eastAsia="仿宋_GB2312"/>
          <w:sz w:val="32"/>
          <w:szCs w:val="32"/>
          <w:lang w:eastAsia="zh-CN"/>
        </w:rPr>
        <w:t>立足全区安全发展需要，以督促落实生产经营单位安全生产主体责任为主线，分类分级开展执法工作，严格依法履行监管职责，不断提升执法效能。严厉打击安全生产非法违法行为，全力遏制较大以上生产安全事故，压减一般事故，推动提升本质安全水平。</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三、主要任务</w:t>
      </w:r>
    </w:p>
    <w:p>
      <w:pPr>
        <w:spacing w:line="560" w:lineRule="exact"/>
        <w:ind w:firstLine="640" w:firstLineChars="200"/>
        <w:rPr>
          <w:rFonts w:ascii="仿宋_GB2312" w:eastAsia="仿宋_GB2312"/>
          <w:sz w:val="32"/>
          <w:szCs w:val="32"/>
        </w:rPr>
      </w:pPr>
      <w:r>
        <w:rPr>
          <w:rFonts w:hint="eastAsia" w:ascii="楷体_GB2312" w:eastAsia="楷体_GB2312"/>
          <w:sz w:val="32"/>
          <w:szCs w:val="32"/>
        </w:rPr>
        <w:t>（一）加强</w:t>
      </w:r>
      <w:r>
        <w:rPr>
          <w:rFonts w:hint="eastAsia" w:ascii="楷体_GB2312" w:eastAsia="楷体_GB2312"/>
          <w:sz w:val="32"/>
          <w:szCs w:val="32"/>
          <w:lang w:eastAsia="zh-CN"/>
        </w:rPr>
        <w:t>区级许可单位执法</w:t>
      </w:r>
      <w:r>
        <w:rPr>
          <w:rFonts w:hint="eastAsia" w:ascii="楷体_GB2312" w:eastAsia="楷体_GB2312"/>
          <w:sz w:val="32"/>
          <w:szCs w:val="32"/>
        </w:rPr>
        <w:t>：</w:t>
      </w:r>
      <w:r>
        <w:rPr>
          <w:rFonts w:hint="eastAsia" w:ascii="仿宋_GB2312" w:hAnsi="仿宋" w:eastAsia="仿宋_GB2312"/>
          <w:sz w:val="32"/>
          <w:szCs w:val="32"/>
          <w:lang w:eastAsia="zh-CN"/>
        </w:rPr>
        <w:t>依法做好危险化学品经营企业等由我局颁发许可证的生产经营</w:t>
      </w:r>
      <w:r>
        <w:rPr>
          <w:rFonts w:ascii="仿宋_GB2312" w:hAnsi="仿宋" w:eastAsia="仿宋_GB2312"/>
          <w:sz w:val="32"/>
          <w:szCs w:val="32"/>
          <w:lang w:eastAsia="zh-CN"/>
        </w:rPr>
        <w:t>单位</w:t>
      </w:r>
      <w:r>
        <w:rPr>
          <w:rFonts w:hint="eastAsia" w:ascii="仿宋_GB2312" w:hAnsi="仿宋" w:eastAsia="仿宋_GB2312"/>
          <w:sz w:val="32"/>
          <w:szCs w:val="32"/>
          <w:lang w:eastAsia="zh-CN"/>
        </w:rPr>
        <w:t>的行政执法工作，强化事中事后监管并实现执法检查全覆盖。</w:t>
      </w:r>
    </w:p>
    <w:p>
      <w:pPr>
        <w:spacing w:line="560" w:lineRule="exact"/>
        <w:ind w:firstLine="640" w:firstLineChars="200"/>
        <w:rPr>
          <w:rFonts w:ascii="仿宋_GB2312" w:hAnsi="仿宋" w:eastAsia="仿宋_GB2312"/>
          <w:sz w:val="32"/>
          <w:szCs w:val="32"/>
          <w:lang w:eastAsia="zh-CN"/>
        </w:rPr>
      </w:pPr>
      <w:r>
        <w:rPr>
          <w:rFonts w:hint="eastAsia" w:ascii="楷体_GB2312" w:eastAsia="楷体_GB2312"/>
          <w:sz w:val="32"/>
          <w:szCs w:val="32"/>
        </w:rPr>
        <w:t>（二）开展重点</w:t>
      </w:r>
      <w:r>
        <w:rPr>
          <w:rFonts w:hint="eastAsia" w:ascii="楷体_GB2312" w:eastAsia="楷体_GB2312"/>
          <w:sz w:val="32"/>
          <w:szCs w:val="32"/>
          <w:lang w:eastAsia="zh-CN"/>
        </w:rPr>
        <w:t>行业</w:t>
      </w:r>
      <w:r>
        <w:rPr>
          <w:rFonts w:hint="eastAsia" w:ascii="楷体_GB2312" w:eastAsia="楷体_GB2312"/>
          <w:sz w:val="32"/>
          <w:szCs w:val="32"/>
        </w:rPr>
        <w:t>领域</w:t>
      </w:r>
      <w:r>
        <w:rPr>
          <w:rFonts w:hint="eastAsia" w:ascii="楷体_GB2312" w:eastAsia="楷体_GB2312"/>
          <w:sz w:val="32"/>
          <w:szCs w:val="32"/>
          <w:lang w:eastAsia="zh-CN"/>
        </w:rPr>
        <w:t>执法</w:t>
      </w:r>
      <w:r>
        <w:rPr>
          <w:rFonts w:hint="eastAsia" w:ascii="楷体_GB2312" w:eastAsia="楷体_GB2312"/>
          <w:sz w:val="32"/>
          <w:szCs w:val="32"/>
        </w:rPr>
        <w:t>：</w:t>
      </w:r>
      <w:r>
        <w:rPr>
          <w:rFonts w:hint="eastAsia" w:ascii="仿宋_GB2312" w:hAnsi="仿宋" w:eastAsia="仿宋_GB2312"/>
          <w:sz w:val="32"/>
          <w:szCs w:val="32"/>
          <w:lang w:eastAsia="zh-CN"/>
        </w:rPr>
        <w:t>按照《北京市应急管理系统分类分级执法暂行办法》（京应急发〔2024〕2号），综合考量执法人员数量、风险评估、信用评价等情况，选取涉及医药化工、工业企业及部分商贸等重点行业领域的生产经营单位开展执法检查。</w:t>
      </w:r>
    </w:p>
    <w:p>
      <w:pPr>
        <w:spacing w:line="560" w:lineRule="exact"/>
        <w:ind w:firstLine="640" w:firstLineChars="200"/>
        <w:jc w:val="left"/>
        <w:rPr>
          <w:rFonts w:ascii="仿宋_GB2312" w:hAnsi="仿宋" w:eastAsia="仿宋_GB2312"/>
          <w:sz w:val="32"/>
          <w:szCs w:val="32"/>
          <w:lang w:eastAsia="zh-CN"/>
        </w:rPr>
      </w:pPr>
      <w:r>
        <w:rPr>
          <w:rFonts w:hint="eastAsia" w:ascii="楷体_GB2312" w:eastAsia="楷体_GB2312"/>
          <w:sz w:val="32"/>
          <w:szCs w:val="32"/>
          <w:lang w:eastAsia="zh-CN"/>
        </w:rPr>
        <w:t>（三</w:t>
      </w:r>
      <w:r>
        <w:rPr>
          <w:rFonts w:hint="eastAsia" w:ascii="楷体_GB2312" w:eastAsia="楷体_GB2312"/>
          <w:sz w:val="32"/>
          <w:szCs w:val="32"/>
        </w:rPr>
        <w:t>）</w:t>
      </w:r>
      <w:r>
        <w:rPr>
          <w:rFonts w:hint="eastAsia" w:ascii="楷体_GB2312" w:eastAsia="楷体_GB2312"/>
          <w:sz w:val="32"/>
          <w:szCs w:val="32"/>
          <w:lang w:eastAsia="zh-CN"/>
        </w:rPr>
        <w:t>推进</w:t>
      </w:r>
      <w:r>
        <w:rPr>
          <w:rFonts w:hint="eastAsia" w:ascii="楷体_GB2312" w:eastAsia="楷体_GB2312"/>
          <w:sz w:val="32"/>
          <w:szCs w:val="32"/>
        </w:rPr>
        <w:t>随机抽查工作：</w:t>
      </w:r>
      <w:r>
        <w:rPr>
          <w:rFonts w:hint="eastAsia" w:ascii="仿宋_GB2312" w:hAnsi="仿宋" w:eastAsia="仿宋_GB2312"/>
          <w:sz w:val="32"/>
          <w:szCs w:val="32"/>
          <w:lang w:eastAsia="zh-CN"/>
        </w:rPr>
        <w:t>落实应急管理部</w:t>
      </w:r>
      <w:r>
        <w:rPr>
          <w:rFonts w:ascii="仿宋_GB2312" w:hAnsi="仿宋" w:eastAsia="仿宋_GB2312"/>
          <w:sz w:val="32"/>
          <w:szCs w:val="32"/>
          <w:lang w:eastAsia="zh-CN"/>
        </w:rPr>
        <w:t>、市</w:t>
      </w:r>
      <w:r>
        <w:rPr>
          <w:rFonts w:hint="eastAsia" w:ascii="仿宋_GB2312" w:hAnsi="仿宋" w:eastAsia="仿宋_GB2312"/>
          <w:sz w:val="32"/>
          <w:szCs w:val="32"/>
          <w:lang w:eastAsia="zh-CN"/>
        </w:rPr>
        <w:t>、区政府关于随机抽查相关工作要求，</w:t>
      </w:r>
      <w:r>
        <w:rPr>
          <w:rFonts w:ascii="仿宋_GB2312" w:hAnsi="仿宋" w:eastAsia="仿宋_GB2312"/>
          <w:sz w:val="32"/>
          <w:szCs w:val="32"/>
          <w:lang w:eastAsia="zh-CN"/>
        </w:rPr>
        <w:t>一般检查原则</w:t>
      </w:r>
      <w:r>
        <w:rPr>
          <w:rFonts w:hint="eastAsia" w:ascii="仿宋_GB2312" w:hAnsi="仿宋" w:eastAsia="仿宋_GB2312"/>
          <w:sz w:val="32"/>
          <w:szCs w:val="32"/>
          <w:lang w:eastAsia="zh-CN"/>
        </w:rPr>
        <w:t>上全部采用“双随机”抽查方式开展。持续推进市场监管领域部门联合“双随机、一公开”监管工作。按照联合抽查事项清单组织开展工业企业、危险化学品经营企业的抽查工作。</w:t>
      </w:r>
    </w:p>
    <w:p>
      <w:pPr>
        <w:spacing w:line="560" w:lineRule="exact"/>
        <w:ind w:firstLine="640" w:firstLineChars="200"/>
        <w:rPr>
          <w:rFonts w:ascii="黑体" w:hAnsi="黑体" w:eastAsia="黑体"/>
          <w:sz w:val="32"/>
          <w:szCs w:val="32"/>
        </w:rPr>
      </w:pPr>
      <w:r>
        <w:rPr>
          <w:rFonts w:hint="eastAsia" w:ascii="楷体_GB2312" w:eastAsia="楷体_GB2312"/>
          <w:sz w:val="32"/>
          <w:szCs w:val="32"/>
        </w:rPr>
        <w:t>（</w:t>
      </w:r>
      <w:r>
        <w:rPr>
          <w:rFonts w:hint="eastAsia" w:ascii="楷体_GB2312" w:eastAsia="楷体_GB2312"/>
          <w:sz w:val="32"/>
          <w:szCs w:val="32"/>
          <w:lang w:eastAsia="zh-CN"/>
        </w:rPr>
        <w:t>四</w:t>
      </w:r>
      <w:r>
        <w:rPr>
          <w:rFonts w:hint="eastAsia" w:ascii="楷体_GB2312" w:eastAsia="楷体_GB2312"/>
          <w:sz w:val="32"/>
          <w:szCs w:val="32"/>
        </w:rPr>
        <w:t>）</w:t>
      </w:r>
      <w:r>
        <w:rPr>
          <w:rFonts w:hint="eastAsia" w:ascii="楷体_GB2312" w:eastAsia="楷体_GB2312"/>
          <w:sz w:val="32"/>
          <w:szCs w:val="32"/>
          <w:lang w:eastAsia="zh-CN"/>
        </w:rPr>
        <w:t>完成</w:t>
      </w:r>
      <w:r>
        <w:rPr>
          <w:rFonts w:hint="eastAsia" w:ascii="楷体_GB2312" w:eastAsia="楷体_GB2312"/>
          <w:sz w:val="32"/>
          <w:szCs w:val="32"/>
        </w:rPr>
        <w:t>计划外执法任务：</w:t>
      </w:r>
      <w:r>
        <w:rPr>
          <w:rFonts w:hint="eastAsia" w:ascii="仿宋_GB2312" w:hAnsi="仿宋" w:eastAsia="仿宋_GB2312"/>
          <w:sz w:val="32"/>
          <w:szCs w:val="32"/>
          <w:lang w:eastAsia="zh-CN"/>
        </w:rPr>
        <w:t>一是依法调查</w:t>
      </w:r>
      <w:r>
        <w:rPr>
          <w:rFonts w:ascii="仿宋_GB2312" w:hAnsi="仿宋" w:eastAsia="仿宋_GB2312"/>
          <w:sz w:val="32"/>
          <w:szCs w:val="32"/>
          <w:lang w:eastAsia="zh-CN"/>
        </w:rPr>
        <w:t>核实</w:t>
      </w:r>
      <w:r>
        <w:rPr>
          <w:rFonts w:hint="eastAsia" w:ascii="仿宋_GB2312" w:hAnsi="仿宋" w:eastAsia="仿宋_GB2312"/>
          <w:sz w:val="32"/>
          <w:szCs w:val="32"/>
          <w:lang w:eastAsia="zh-CN"/>
        </w:rPr>
        <w:t>安全生产</w:t>
      </w:r>
      <w:r>
        <w:rPr>
          <w:rFonts w:ascii="仿宋_GB2312" w:hAnsi="仿宋" w:eastAsia="仿宋_GB2312"/>
          <w:sz w:val="32"/>
          <w:szCs w:val="32"/>
          <w:lang w:eastAsia="zh-CN"/>
        </w:rPr>
        <w:t>举报投诉</w:t>
      </w:r>
      <w:r>
        <w:rPr>
          <w:rFonts w:hint="eastAsia" w:ascii="仿宋_GB2312" w:hAnsi="仿宋" w:eastAsia="仿宋_GB2312"/>
          <w:sz w:val="32"/>
          <w:szCs w:val="32"/>
          <w:lang w:eastAsia="zh-CN"/>
        </w:rPr>
        <w:t>案件。二是完成区委、区政府和市应急管理局安排的</w:t>
      </w:r>
      <w:r>
        <w:rPr>
          <w:rFonts w:ascii="仿宋_GB2312" w:hAnsi="仿宋" w:eastAsia="仿宋_GB2312"/>
          <w:sz w:val="32"/>
          <w:szCs w:val="32"/>
          <w:lang w:eastAsia="zh-CN"/>
        </w:rPr>
        <w:t>其他执法工作</w:t>
      </w:r>
      <w:r>
        <w:rPr>
          <w:rFonts w:hint="eastAsia" w:ascii="仿宋_GB2312" w:hAnsi="仿宋" w:eastAsia="仿宋_GB2312"/>
          <w:sz w:val="32"/>
          <w:szCs w:val="32"/>
          <w:lang w:eastAsia="zh-CN"/>
        </w:rPr>
        <w:t>任务。三是根据本区特点开展专项整治和重大活动保障等。四</w:t>
      </w:r>
      <w:r>
        <w:rPr>
          <w:rFonts w:ascii="仿宋_GB2312" w:hAnsi="仿宋" w:eastAsia="仿宋_GB2312"/>
          <w:sz w:val="32"/>
          <w:szCs w:val="32"/>
          <w:lang w:eastAsia="zh-CN"/>
        </w:rPr>
        <w:t>是</w:t>
      </w:r>
      <w:r>
        <w:rPr>
          <w:rFonts w:hint="eastAsia" w:ascii="仿宋_GB2312" w:hAnsi="仿宋" w:eastAsia="仿宋_GB2312"/>
          <w:sz w:val="32"/>
          <w:szCs w:val="32"/>
          <w:lang w:eastAsia="zh-CN"/>
        </w:rPr>
        <w:t>参加有关</w:t>
      </w:r>
      <w:r>
        <w:rPr>
          <w:rFonts w:ascii="仿宋_GB2312" w:hAnsi="仿宋" w:eastAsia="仿宋_GB2312"/>
          <w:sz w:val="32"/>
          <w:szCs w:val="32"/>
          <w:lang w:eastAsia="zh-CN"/>
        </w:rPr>
        <w:t>部门</w:t>
      </w:r>
      <w:r>
        <w:rPr>
          <w:rFonts w:hint="eastAsia" w:ascii="仿宋_GB2312" w:hAnsi="仿宋" w:eastAsia="仿宋_GB2312"/>
          <w:sz w:val="32"/>
          <w:szCs w:val="32"/>
          <w:lang w:eastAsia="zh-CN"/>
        </w:rPr>
        <w:t>发起的</w:t>
      </w:r>
      <w:r>
        <w:rPr>
          <w:rFonts w:ascii="仿宋_GB2312" w:hAnsi="仿宋" w:eastAsia="仿宋_GB2312"/>
          <w:sz w:val="32"/>
          <w:szCs w:val="32"/>
          <w:lang w:eastAsia="zh-CN"/>
        </w:rPr>
        <w:t>联合执法检查。</w:t>
      </w:r>
    </w:p>
    <w:p>
      <w:pPr>
        <w:spacing w:line="560" w:lineRule="exact"/>
        <w:ind w:firstLine="640" w:firstLineChars="200"/>
        <w:rPr>
          <w:rFonts w:ascii="楷体_GB2312" w:hAnsi="仿宋" w:eastAsia="楷体_GB2312"/>
          <w:sz w:val="32"/>
          <w:szCs w:val="32"/>
        </w:rPr>
      </w:pPr>
      <w:r>
        <w:rPr>
          <w:rFonts w:hint="eastAsia" w:ascii="黑体" w:hAnsi="黑体" w:eastAsia="黑体"/>
          <w:sz w:val="32"/>
          <w:szCs w:val="32"/>
        </w:rPr>
        <w:t>四、行政执法工作日测算</w:t>
      </w:r>
    </w:p>
    <w:p>
      <w:pPr>
        <w:spacing w:line="560" w:lineRule="exact"/>
        <w:ind w:firstLine="640" w:firstLineChars="200"/>
        <w:rPr>
          <w:rFonts w:ascii="楷体_GB2312" w:hAnsi="仿宋" w:eastAsia="楷体_GB2312"/>
          <w:sz w:val="32"/>
          <w:szCs w:val="32"/>
        </w:rPr>
      </w:pPr>
      <w:r>
        <w:rPr>
          <w:rFonts w:hint="eastAsia" w:ascii="楷体_GB2312" w:hAnsi="仿宋" w:eastAsia="楷体_GB2312"/>
          <w:sz w:val="32"/>
          <w:szCs w:val="32"/>
        </w:rPr>
        <w:t>（一）总法定工作日：</w:t>
      </w:r>
      <w:r>
        <w:rPr>
          <w:rFonts w:hint="eastAsia" w:ascii="仿宋_GB2312" w:hAnsi="仿宋" w:eastAsia="仿宋_GB2312"/>
          <w:sz w:val="32"/>
          <w:szCs w:val="32"/>
          <w:lang w:eastAsia="zh-CN"/>
        </w:rPr>
        <w:t>9920</w:t>
      </w:r>
      <w:r>
        <w:rPr>
          <w:rFonts w:hint="eastAsia" w:ascii="仿宋_GB2312" w:hAnsi="仿宋" w:eastAsia="仿宋_GB2312"/>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lang w:eastAsia="zh-CN"/>
        </w:rPr>
        <w:t>2025</w:t>
      </w:r>
      <w:r>
        <w:rPr>
          <w:rFonts w:hint="eastAsia" w:ascii="仿宋_GB2312" w:hAnsi="仿宋" w:eastAsia="仿宋_GB2312"/>
          <w:sz w:val="32"/>
          <w:szCs w:val="32"/>
        </w:rPr>
        <w:t>年全年共36</w:t>
      </w:r>
      <w:r>
        <w:rPr>
          <w:rFonts w:hint="eastAsia" w:ascii="仿宋_GB2312" w:hAnsi="仿宋" w:eastAsia="仿宋_GB2312"/>
          <w:sz w:val="32"/>
          <w:szCs w:val="32"/>
          <w:lang w:eastAsia="zh-CN"/>
        </w:rPr>
        <w:t>5</w:t>
      </w:r>
      <w:r>
        <w:rPr>
          <w:rFonts w:hint="eastAsia" w:ascii="仿宋_GB2312" w:hAnsi="仿宋" w:eastAsia="仿宋_GB2312"/>
          <w:sz w:val="32"/>
          <w:szCs w:val="32"/>
        </w:rPr>
        <w:t>天，有5</w:t>
      </w:r>
      <w:r>
        <w:rPr>
          <w:rFonts w:hint="eastAsia" w:ascii="仿宋_GB2312" w:hAnsi="仿宋" w:eastAsia="仿宋_GB2312"/>
          <w:sz w:val="32"/>
          <w:szCs w:val="32"/>
          <w:lang w:eastAsia="zh-CN"/>
        </w:rPr>
        <w:t>3</w:t>
      </w:r>
      <w:r>
        <w:rPr>
          <w:rFonts w:hint="eastAsia" w:ascii="仿宋_GB2312" w:hAnsi="仿宋" w:eastAsia="仿宋_GB2312"/>
          <w:sz w:val="32"/>
          <w:szCs w:val="32"/>
        </w:rPr>
        <w:t>周，双休日10</w:t>
      </w:r>
      <w:r>
        <w:rPr>
          <w:rFonts w:hint="eastAsia" w:ascii="仿宋_GB2312" w:hAnsi="仿宋" w:eastAsia="仿宋_GB2312"/>
          <w:sz w:val="32"/>
          <w:szCs w:val="32"/>
          <w:lang w:eastAsia="zh-CN"/>
        </w:rPr>
        <w:t>4</w:t>
      </w:r>
      <w:r>
        <w:rPr>
          <w:rFonts w:hint="eastAsia" w:ascii="仿宋_GB2312" w:hAnsi="仿宋" w:eastAsia="仿宋_GB2312"/>
          <w:sz w:val="32"/>
          <w:szCs w:val="32"/>
        </w:rPr>
        <w:t>天，元旦、春节、五一、端午、国庆等法定假日共计1</w:t>
      </w:r>
      <w:r>
        <w:rPr>
          <w:rFonts w:hint="eastAsia" w:ascii="仿宋_GB2312" w:hAnsi="仿宋" w:eastAsia="仿宋_GB2312"/>
          <w:sz w:val="32"/>
          <w:szCs w:val="32"/>
          <w:lang w:eastAsia="zh-CN"/>
        </w:rPr>
        <w:t>3</w:t>
      </w:r>
      <w:r>
        <w:rPr>
          <w:rFonts w:hint="eastAsia" w:ascii="仿宋_GB2312" w:hAnsi="仿宋" w:eastAsia="仿宋_GB2312"/>
          <w:sz w:val="32"/>
          <w:szCs w:val="32"/>
        </w:rPr>
        <w:t>天。国家法定工作日=36</w:t>
      </w:r>
      <w:r>
        <w:rPr>
          <w:rFonts w:hint="eastAsia" w:ascii="仿宋_GB2312" w:hAnsi="仿宋" w:eastAsia="仿宋_GB2312"/>
          <w:sz w:val="32"/>
          <w:szCs w:val="32"/>
          <w:lang w:eastAsia="zh-CN"/>
        </w:rPr>
        <w:t>5</w:t>
      </w:r>
      <w:r>
        <w:rPr>
          <w:rFonts w:hint="eastAsia" w:ascii="仿宋_GB2312" w:hAnsi="仿宋" w:eastAsia="仿宋_GB2312"/>
          <w:sz w:val="32"/>
          <w:szCs w:val="32"/>
        </w:rPr>
        <w:t>-10</w:t>
      </w:r>
      <w:r>
        <w:rPr>
          <w:rFonts w:hint="eastAsia" w:ascii="仿宋_GB2312" w:hAnsi="仿宋" w:eastAsia="仿宋_GB2312"/>
          <w:sz w:val="32"/>
          <w:szCs w:val="32"/>
          <w:lang w:eastAsia="zh-CN"/>
        </w:rPr>
        <w:t>4</w:t>
      </w:r>
      <w:r>
        <w:rPr>
          <w:rFonts w:hint="eastAsia" w:ascii="仿宋_GB2312" w:hAnsi="仿宋" w:eastAsia="仿宋_GB2312"/>
          <w:sz w:val="32"/>
          <w:szCs w:val="32"/>
        </w:rPr>
        <w:t>-1</w:t>
      </w:r>
      <w:r>
        <w:rPr>
          <w:rFonts w:hint="eastAsia" w:ascii="仿宋_GB2312" w:hAnsi="仿宋" w:eastAsia="仿宋_GB2312"/>
          <w:sz w:val="32"/>
          <w:szCs w:val="32"/>
          <w:lang w:eastAsia="zh-CN"/>
        </w:rPr>
        <w:t>3</w:t>
      </w:r>
      <w:r>
        <w:rPr>
          <w:rFonts w:hint="eastAsia" w:ascii="仿宋_GB2312" w:hAnsi="仿宋" w:eastAsia="仿宋_GB2312"/>
          <w:sz w:val="32"/>
          <w:szCs w:val="32"/>
        </w:rPr>
        <w:t>=2</w:t>
      </w:r>
      <w:r>
        <w:rPr>
          <w:rFonts w:hint="eastAsia" w:ascii="仿宋_GB2312" w:hAnsi="仿宋" w:eastAsia="仿宋_GB2312"/>
          <w:sz w:val="32"/>
          <w:szCs w:val="32"/>
          <w:lang w:eastAsia="zh-CN"/>
        </w:rPr>
        <w:t>48</w:t>
      </w:r>
      <w:r>
        <w:rPr>
          <w:rFonts w:hint="eastAsia" w:ascii="仿宋_GB2312" w:hAnsi="仿宋" w:eastAsia="仿宋_GB2312"/>
          <w:sz w:val="32"/>
          <w:szCs w:val="32"/>
        </w:rPr>
        <w:t>天。按照</w:t>
      </w:r>
      <w:r>
        <w:rPr>
          <w:rStyle w:val="10"/>
          <w:rFonts w:hint="eastAsia" w:ascii="仿宋_GB2312" w:hAnsi="仿宋_GB2312" w:eastAsia="仿宋_GB2312" w:cs="仿宋_GB2312"/>
          <w:b w:val="0"/>
          <w:sz w:val="32"/>
          <w:szCs w:val="32"/>
        </w:rPr>
        <w:t>《国家安全监管总局安全生产年度监督检查计划编制办法》文件要求，</w:t>
      </w:r>
      <w:r>
        <w:rPr>
          <w:rFonts w:hint="eastAsia" w:ascii="仿宋_GB2312" w:hAnsi="仿宋" w:eastAsia="仿宋_GB2312"/>
          <w:sz w:val="32"/>
          <w:szCs w:val="32"/>
        </w:rPr>
        <w:t>区应急管理局综合协调科（综合协调）、</w:t>
      </w:r>
      <w:r>
        <w:rPr>
          <w:rFonts w:hint="eastAsia" w:ascii="仿宋_GB2312" w:hAnsi="仿宋" w:eastAsia="仿宋_GB2312"/>
          <w:sz w:val="32"/>
          <w:szCs w:val="32"/>
          <w:lang w:eastAsia="zh-CN"/>
        </w:rPr>
        <w:t>灾害防御科</w:t>
      </w:r>
      <w:r>
        <w:rPr>
          <w:rFonts w:hint="eastAsia" w:ascii="仿宋_GB2312" w:hAnsi="仿宋" w:eastAsia="仿宋_GB2312"/>
          <w:sz w:val="32"/>
          <w:szCs w:val="32"/>
        </w:rPr>
        <w:t>（</w:t>
      </w:r>
      <w:r>
        <w:rPr>
          <w:rFonts w:hint="eastAsia" w:ascii="仿宋_GB2312" w:hAnsi="仿宋" w:eastAsia="仿宋_GB2312"/>
          <w:sz w:val="32"/>
          <w:szCs w:val="32"/>
          <w:lang w:eastAsia="zh-CN"/>
        </w:rPr>
        <w:t>灾害防御</w:t>
      </w:r>
      <w:r>
        <w:rPr>
          <w:rFonts w:hint="eastAsia" w:ascii="仿宋_GB2312" w:hAnsi="仿宋" w:eastAsia="仿宋_GB2312"/>
          <w:sz w:val="32"/>
          <w:szCs w:val="32"/>
        </w:rPr>
        <w:t>）、宣传动员科（教育培训）、安全监管科（许可、管理）、法制规划科（法规、应诉）、调查评估科（事故调查）、</w:t>
      </w:r>
      <w:r>
        <w:rPr>
          <w:rFonts w:hint="eastAsia" w:ascii="仿宋_GB2312" w:eastAsia="仿宋_GB2312"/>
          <w:sz w:val="32"/>
          <w:szCs w:val="32"/>
          <w:lang w:eastAsia="zh-CN"/>
        </w:rPr>
        <w:t>应急管理综合执法大队</w:t>
      </w:r>
      <w:r>
        <w:rPr>
          <w:rFonts w:hint="eastAsia" w:ascii="仿宋_GB2312" w:hAnsi="仿宋" w:eastAsia="仿宋_GB2312"/>
          <w:sz w:val="32"/>
          <w:szCs w:val="32"/>
        </w:rPr>
        <w:t>（执法、举报查处）</w:t>
      </w:r>
      <w:r>
        <w:rPr>
          <w:rFonts w:hint="eastAsia" w:ascii="仿宋_GB2312" w:hAnsi="仿宋" w:eastAsia="仿宋_GB2312"/>
          <w:sz w:val="32"/>
          <w:szCs w:val="32"/>
          <w:lang w:eastAsia="zh-CN"/>
        </w:rPr>
        <w:t>编制</w:t>
      </w:r>
      <w:r>
        <w:rPr>
          <w:rFonts w:hint="eastAsia" w:ascii="仿宋_GB2312" w:hAnsi="仿宋" w:eastAsia="仿宋_GB2312"/>
          <w:sz w:val="32"/>
          <w:szCs w:val="32"/>
        </w:rPr>
        <w:t>人数为</w:t>
      </w:r>
      <w:r>
        <w:rPr>
          <w:rFonts w:hint="eastAsia" w:ascii="仿宋_GB2312" w:hAnsi="仿宋" w:eastAsia="仿宋_GB2312"/>
          <w:sz w:val="32"/>
          <w:szCs w:val="32"/>
          <w:lang w:eastAsia="zh-CN"/>
        </w:rPr>
        <w:t>55</w:t>
      </w:r>
      <w:r>
        <w:rPr>
          <w:rFonts w:hint="eastAsia" w:ascii="仿宋_GB2312" w:hAnsi="仿宋" w:eastAsia="仿宋_GB2312"/>
          <w:sz w:val="32"/>
          <w:szCs w:val="32"/>
        </w:rPr>
        <w:t>人，实</w:t>
      </w:r>
      <w:r>
        <w:rPr>
          <w:rFonts w:hint="eastAsia" w:ascii="仿宋_GB2312" w:hAnsi="仿宋" w:eastAsia="仿宋_GB2312"/>
          <w:sz w:val="32"/>
          <w:szCs w:val="32"/>
          <w:lang w:eastAsia="zh-CN"/>
        </w:rPr>
        <w:t>有</w:t>
      </w:r>
      <w:r>
        <w:rPr>
          <w:rFonts w:hint="eastAsia" w:ascii="仿宋_GB2312" w:hAnsi="仿宋" w:eastAsia="仿宋_GB2312"/>
          <w:sz w:val="32"/>
          <w:szCs w:val="32"/>
        </w:rPr>
        <w:t>执法人员</w:t>
      </w:r>
      <w:r>
        <w:rPr>
          <w:rFonts w:hint="eastAsia" w:ascii="仿宋_GB2312" w:hAnsi="仿宋" w:eastAsia="仿宋_GB2312"/>
          <w:sz w:val="32"/>
          <w:szCs w:val="32"/>
          <w:lang w:eastAsia="zh-CN"/>
        </w:rPr>
        <w:t>40</w:t>
      </w:r>
      <w:r>
        <w:rPr>
          <w:rFonts w:hint="eastAsia" w:ascii="仿宋_GB2312" w:hAnsi="仿宋" w:eastAsia="仿宋_GB2312"/>
          <w:sz w:val="32"/>
          <w:szCs w:val="32"/>
        </w:rPr>
        <w:t>人，占定编在册人员的</w:t>
      </w:r>
      <w:r>
        <w:rPr>
          <w:rFonts w:hint="eastAsia" w:ascii="仿宋_GB2312" w:hAnsi="仿宋" w:eastAsia="仿宋_GB2312"/>
          <w:sz w:val="32"/>
          <w:szCs w:val="32"/>
          <w:lang w:eastAsia="zh-CN"/>
        </w:rPr>
        <w:t>72</w:t>
      </w:r>
      <w:r>
        <w:rPr>
          <w:rFonts w:hint="eastAsia" w:ascii="仿宋_GB2312" w:hAnsi="仿宋" w:eastAsia="仿宋_GB2312"/>
          <w:sz w:val="32"/>
          <w:szCs w:val="32"/>
        </w:rPr>
        <w:t>%。</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总法定工作日=国家法定工作日×执法人员数量=2</w:t>
      </w:r>
      <w:r>
        <w:rPr>
          <w:rFonts w:hint="eastAsia" w:ascii="仿宋_GB2312" w:hAnsi="仿宋" w:eastAsia="仿宋_GB2312"/>
          <w:sz w:val="32"/>
          <w:szCs w:val="32"/>
          <w:lang w:eastAsia="zh-CN"/>
        </w:rPr>
        <w:t>48</w:t>
      </w:r>
      <w:r>
        <w:rPr>
          <w:rFonts w:hint="eastAsia" w:ascii="仿宋_GB2312" w:hAnsi="仿宋" w:eastAsia="仿宋_GB2312"/>
          <w:sz w:val="32"/>
          <w:szCs w:val="32"/>
        </w:rPr>
        <w:t>×</w:t>
      </w:r>
      <w:r>
        <w:rPr>
          <w:rFonts w:hint="eastAsia" w:ascii="仿宋_GB2312" w:hAnsi="仿宋" w:eastAsia="仿宋_GB2312"/>
          <w:sz w:val="32"/>
          <w:szCs w:val="32"/>
          <w:lang w:eastAsia="zh-CN"/>
        </w:rPr>
        <w:t>40</w:t>
      </w:r>
      <w:r>
        <w:rPr>
          <w:rFonts w:hint="eastAsia" w:ascii="仿宋_GB2312" w:hAnsi="仿宋" w:eastAsia="仿宋_GB2312"/>
          <w:sz w:val="32"/>
          <w:szCs w:val="32"/>
        </w:rPr>
        <w:t>=</w:t>
      </w:r>
      <w:r>
        <w:rPr>
          <w:rFonts w:hint="eastAsia" w:ascii="仿宋_GB2312" w:hAnsi="仿宋" w:eastAsia="仿宋_GB2312"/>
          <w:sz w:val="32"/>
          <w:szCs w:val="32"/>
          <w:lang w:eastAsia="zh-CN"/>
        </w:rPr>
        <w:t>9920</w:t>
      </w:r>
      <w:r>
        <w:rPr>
          <w:rFonts w:hint="eastAsia" w:ascii="仿宋_GB2312" w:hAnsi="仿宋" w:eastAsia="仿宋_GB2312"/>
          <w:sz w:val="32"/>
          <w:szCs w:val="32"/>
        </w:rPr>
        <w:t>。</w:t>
      </w:r>
    </w:p>
    <w:p>
      <w:pPr>
        <w:spacing w:line="560" w:lineRule="exact"/>
        <w:ind w:firstLine="640" w:firstLineChars="200"/>
        <w:rPr>
          <w:rFonts w:ascii="仿宋_GB2312" w:hAnsi="仿宋" w:eastAsia="仿宋_GB2312"/>
          <w:sz w:val="32"/>
          <w:szCs w:val="32"/>
        </w:rPr>
      </w:pPr>
      <w:r>
        <w:rPr>
          <w:rFonts w:hint="eastAsia" w:ascii="楷体_GB2312" w:hAnsi="仿宋" w:eastAsia="楷体_GB2312"/>
          <w:sz w:val="32"/>
          <w:szCs w:val="32"/>
        </w:rPr>
        <w:t>（二）监督检查工作日：</w:t>
      </w:r>
      <w:r>
        <w:rPr>
          <w:rFonts w:hint="eastAsia" w:ascii="仿宋_GB2312" w:hAnsi="仿宋" w:eastAsia="仿宋_GB2312"/>
          <w:sz w:val="32"/>
          <w:szCs w:val="32"/>
          <w:lang w:eastAsia="zh-CN"/>
        </w:rPr>
        <w:t>1700</w:t>
      </w:r>
      <w:r>
        <w:rPr>
          <w:rFonts w:hint="eastAsia" w:ascii="仿宋_GB2312" w:hAnsi="仿宋" w:eastAsia="仿宋_GB2312"/>
          <w:sz w:val="32"/>
          <w:szCs w:val="32"/>
        </w:rPr>
        <w:t>个工作日</w:t>
      </w:r>
    </w:p>
    <w:p>
      <w:pPr>
        <w:adjustRightInd w:val="0"/>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监督检查工作日=总法定工作日-其他执法工作日-非执法工作日=</w:t>
      </w:r>
      <w:r>
        <w:rPr>
          <w:rFonts w:hint="eastAsia" w:ascii="仿宋_GB2312" w:hAnsi="仿宋" w:eastAsia="仿宋_GB2312"/>
          <w:sz w:val="32"/>
          <w:szCs w:val="32"/>
          <w:lang w:eastAsia="zh-CN"/>
        </w:rPr>
        <w:t>9920</w:t>
      </w:r>
      <w:r>
        <w:rPr>
          <w:rFonts w:hint="eastAsia" w:ascii="仿宋_GB2312" w:hAnsi="仿宋" w:eastAsia="仿宋_GB2312"/>
          <w:sz w:val="32"/>
          <w:szCs w:val="32"/>
        </w:rPr>
        <w:t>-41</w:t>
      </w:r>
      <w:r>
        <w:rPr>
          <w:rFonts w:hint="eastAsia" w:ascii="仿宋_GB2312" w:hAnsi="仿宋" w:eastAsia="仿宋_GB2312"/>
          <w:sz w:val="32"/>
          <w:szCs w:val="32"/>
          <w:lang w:eastAsia="zh-CN"/>
        </w:rPr>
        <w:t>20</w:t>
      </w:r>
      <w:r>
        <w:rPr>
          <w:rFonts w:hint="eastAsia" w:ascii="仿宋_GB2312" w:hAnsi="仿宋" w:eastAsia="仿宋_GB2312"/>
          <w:sz w:val="32"/>
          <w:szCs w:val="32"/>
        </w:rPr>
        <w:t>-41</w:t>
      </w:r>
      <w:r>
        <w:rPr>
          <w:rFonts w:hint="eastAsia" w:ascii="仿宋_GB2312" w:hAnsi="仿宋" w:eastAsia="仿宋_GB2312"/>
          <w:sz w:val="32"/>
          <w:szCs w:val="32"/>
          <w:lang w:eastAsia="zh-CN"/>
        </w:rPr>
        <w:t>00</w:t>
      </w:r>
      <w:r>
        <w:rPr>
          <w:rFonts w:hint="eastAsia" w:ascii="仿宋_GB2312" w:hAnsi="仿宋" w:eastAsia="仿宋_GB2312"/>
          <w:sz w:val="32"/>
          <w:szCs w:val="32"/>
        </w:rPr>
        <w:t>=</w:t>
      </w:r>
      <w:r>
        <w:rPr>
          <w:rFonts w:hint="eastAsia" w:ascii="仿宋_GB2312" w:hAnsi="仿宋" w:eastAsia="仿宋_GB2312"/>
          <w:sz w:val="32"/>
          <w:szCs w:val="32"/>
          <w:lang w:eastAsia="zh-CN"/>
        </w:rPr>
        <w:t>1700</w:t>
      </w:r>
      <w:r>
        <w:rPr>
          <w:rFonts w:hint="eastAsia" w:ascii="仿宋_GB2312" w:hAnsi="仿宋" w:eastAsia="仿宋_GB2312"/>
          <w:sz w:val="32"/>
          <w:szCs w:val="32"/>
        </w:rPr>
        <w:t>。</w:t>
      </w:r>
    </w:p>
    <w:p>
      <w:pPr>
        <w:spacing w:line="560" w:lineRule="exact"/>
        <w:ind w:firstLine="640" w:firstLineChars="200"/>
        <w:rPr>
          <w:rFonts w:ascii="仿宋_GB2312" w:hAnsi="仿宋" w:eastAsia="仿宋_GB2312"/>
          <w:sz w:val="32"/>
          <w:szCs w:val="32"/>
        </w:rPr>
      </w:pPr>
      <w:r>
        <w:rPr>
          <w:rFonts w:hint="eastAsia" w:ascii="楷体_GB2312" w:hAnsi="仿宋" w:eastAsia="楷体_GB2312"/>
          <w:sz w:val="32"/>
          <w:szCs w:val="32"/>
        </w:rPr>
        <w:t>（三）其他执法工作日：</w:t>
      </w:r>
      <w:r>
        <w:rPr>
          <w:rFonts w:hint="eastAsia" w:ascii="仿宋_GB2312" w:hAnsi="仿宋" w:eastAsia="仿宋_GB2312"/>
          <w:sz w:val="32"/>
          <w:szCs w:val="32"/>
          <w:lang w:eastAsia="zh-CN"/>
        </w:rPr>
        <w:t>4120</w:t>
      </w:r>
      <w:r>
        <w:rPr>
          <w:rFonts w:hint="eastAsia" w:ascii="仿宋_GB2312" w:hAnsi="仿宋" w:eastAsia="仿宋_GB2312"/>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1.开展安全生产综合监管：预计需用</w:t>
      </w:r>
      <w:r>
        <w:rPr>
          <w:rFonts w:hint="eastAsia" w:ascii="仿宋_GB2312" w:hAnsi="仿宋" w:eastAsia="仿宋_GB2312"/>
          <w:sz w:val="32"/>
          <w:szCs w:val="32"/>
          <w:lang w:eastAsia="zh-CN"/>
        </w:rPr>
        <w:t>942</w:t>
      </w:r>
      <w:r>
        <w:rPr>
          <w:rFonts w:hint="eastAsia" w:ascii="仿宋_GB2312" w:hAnsi="仿宋" w:eastAsia="仿宋_GB2312"/>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2.实施行政许可：预计需用283个工作日。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3.组织生产安全事故调查和处理：预计需要550个工作日。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4.调查核实安全生产投诉举报：预计需要2</w:t>
      </w:r>
      <w:r>
        <w:rPr>
          <w:rFonts w:hint="eastAsia" w:ascii="仿宋_GB2312" w:hAnsi="仿宋" w:eastAsia="仿宋_GB2312"/>
          <w:sz w:val="32"/>
          <w:szCs w:val="32"/>
          <w:lang w:eastAsia="zh-CN"/>
        </w:rPr>
        <w:t>69</w:t>
      </w:r>
      <w:r>
        <w:rPr>
          <w:rFonts w:hint="eastAsia" w:ascii="仿宋_GB2312" w:hAnsi="仿宋" w:eastAsia="仿宋_GB2312"/>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5.参加有关部门联合执法：预计需用321个工作日（根据前3年度的平均值测算）。</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6.办理有关法律、法规、规章规定的登记、备案：预计需用5个工作日。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7.开展安全生产宣传教育培训：预计需用34</w:t>
      </w:r>
      <w:r>
        <w:rPr>
          <w:rFonts w:hint="eastAsia" w:ascii="仿宋_GB2312" w:hAnsi="仿宋" w:eastAsia="仿宋_GB2312"/>
          <w:sz w:val="32"/>
          <w:szCs w:val="32"/>
          <w:lang w:eastAsia="zh-CN"/>
        </w:rPr>
        <w:t>1</w:t>
      </w:r>
      <w:r>
        <w:rPr>
          <w:rFonts w:hint="eastAsia" w:ascii="仿宋_GB2312" w:hAnsi="仿宋" w:eastAsia="仿宋_GB2312"/>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8.行政复议、行政应诉工作：预计需用161个工作日。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9.完成区委、区政府或者上级部门安排的其他执法任务：预计需用6</w:t>
      </w:r>
      <w:r>
        <w:rPr>
          <w:rFonts w:hint="eastAsia" w:ascii="仿宋_GB2312" w:hAnsi="仿宋" w:eastAsia="仿宋_GB2312"/>
          <w:sz w:val="32"/>
          <w:szCs w:val="32"/>
          <w:lang w:eastAsia="zh-CN"/>
        </w:rPr>
        <w:t>6</w:t>
      </w:r>
      <w:r>
        <w:rPr>
          <w:rFonts w:hint="eastAsia" w:ascii="仿宋_GB2312" w:hAnsi="仿宋" w:eastAsia="仿宋_GB2312"/>
          <w:sz w:val="32"/>
          <w:szCs w:val="32"/>
        </w:rPr>
        <w:t>0个工作日。</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10.</w:t>
      </w:r>
      <w:r>
        <w:rPr>
          <w:rFonts w:hint="eastAsia" w:ascii="仿宋_GB2312" w:hAnsi="仿宋" w:eastAsia="仿宋_GB2312"/>
          <w:sz w:val="32"/>
          <w:szCs w:val="32"/>
        </w:rPr>
        <w:t>街乡吹哨，部门报到：预计需用358个工作日（根据各执法单位提供的测算数据汇总）。</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11.小微企业、三级标准化</w:t>
      </w:r>
      <w:r>
        <w:rPr>
          <w:rFonts w:hint="eastAsia" w:ascii="仿宋_GB2312" w:hAnsi="黑体" w:eastAsia="仿宋_GB2312"/>
          <w:sz w:val="32"/>
          <w:szCs w:val="32"/>
          <w:lang w:eastAsia="zh-CN"/>
        </w:rPr>
        <w:t>创建</w:t>
      </w:r>
      <w:r>
        <w:rPr>
          <w:rFonts w:hint="eastAsia" w:ascii="仿宋_GB2312" w:hAnsi="黑体" w:eastAsia="仿宋_GB2312"/>
          <w:sz w:val="32"/>
          <w:szCs w:val="32"/>
        </w:rPr>
        <w:t>：130个工作日。</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12.工业企业监督管理：100个工作日。</w:t>
      </w:r>
    </w:p>
    <w:p>
      <w:pPr>
        <w:spacing w:line="560" w:lineRule="exact"/>
        <w:ind w:firstLine="640" w:firstLineChars="200"/>
        <w:rPr>
          <w:rFonts w:ascii="仿宋_GB2312" w:hAnsi="仿宋" w:eastAsia="仿宋_GB2312"/>
          <w:sz w:val="32"/>
          <w:szCs w:val="32"/>
        </w:rPr>
      </w:pPr>
      <w:r>
        <w:rPr>
          <w:rFonts w:hint="eastAsia" w:ascii="楷体_GB2312" w:hAnsi="仿宋" w:eastAsia="楷体_GB2312"/>
          <w:sz w:val="32"/>
          <w:szCs w:val="32"/>
        </w:rPr>
        <w:t>（四）非执法工作日：</w:t>
      </w:r>
      <w:r>
        <w:rPr>
          <w:rFonts w:hint="eastAsia" w:ascii="仿宋_GB2312" w:hAnsi="仿宋_GB2312" w:eastAsia="仿宋_GB2312" w:cs="仿宋_GB2312"/>
          <w:sz w:val="32"/>
          <w:szCs w:val="32"/>
          <w:lang w:eastAsia="zh-CN"/>
        </w:rPr>
        <w:t>4100</w:t>
      </w:r>
      <w:r>
        <w:rPr>
          <w:rFonts w:hint="eastAsia" w:ascii="仿宋_GB2312" w:hAnsi="仿宋_GB2312" w:eastAsia="仿宋_GB2312" w:cs="仿宋_GB2312"/>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1.单位值班：预计需用1095个工作日。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2.参加</w:t>
      </w:r>
      <w:r>
        <w:rPr>
          <w:rFonts w:hint="eastAsia" w:ascii="仿宋_GB2312" w:hAnsi="仿宋" w:eastAsia="仿宋_GB2312"/>
          <w:sz w:val="32"/>
          <w:szCs w:val="32"/>
          <w:lang w:eastAsia="zh-CN"/>
        </w:rPr>
        <w:t>应急部</w:t>
      </w:r>
      <w:r>
        <w:rPr>
          <w:rFonts w:hint="eastAsia" w:ascii="仿宋_GB2312" w:hAnsi="仿宋" w:eastAsia="仿宋_GB2312"/>
          <w:sz w:val="32"/>
          <w:szCs w:val="32"/>
        </w:rPr>
        <w:t>视频培训考核交流研讨：预计需用1</w:t>
      </w:r>
      <w:r>
        <w:rPr>
          <w:rFonts w:hint="eastAsia" w:ascii="仿宋_GB2312" w:hAnsi="仿宋" w:eastAsia="仿宋_GB2312"/>
          <w:sz w:val="32"/>
          <w:szCs w:val="32"/>
          <w:lang w:eastAsia="zh-CN"/>
        </w:rPr>
        <w:t>28</w:t>
      </w:r>
      <w:r>
        <w:rPr>
          <w:rFonts w:hint="eastAsia" w:ascii="仿宋_GB2312" w:hAnsi="仿宋" w:eastAsia="仿宋_GB2312"/>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3.参加市局专业培训：预计需用404个工作日。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4.局内培训考核：预计需用271个工作日。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5.处级干部培训考核参加中心组学习：预计需用191个工作日。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6.科级干部参加局务会：预计需用112个工作日。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lang w:eastAsia="zh-CN"/>
        </w:rPr>
        <w:t>7.</w:t>
      </w:r>
      <w:r>
        <w:rPr>
          <w:rFonts w:hint="eastAsia" w:ascii="仿宋_GB2312" w:hAnsi="仿宋" w:eastAsia="仿宋_GB2312"/>
          <w:sz w:val="32"/>
          <w:szCs w:val="32"/>
        </w:rPr>
        <w:t>参加区政府有关部门会议、培训：预计需用3</w:t>
      </w:r>
      <w:r>
        <w:rPr>
          <w:rFonts w:hint="eastAsia" w:ascii="仿宋_GB2312" w:hAnsi="仿宋" w:eastAsia="仿宋_GB2312"/>
          <w:sz w:val="32"/>
          <w:szCs w:val="32"/>
          <w:lang w:eastAsia="zh-CN"/>
        </w:rPr>
        <w:t>17</w:t>
      </w:r>
      <w:r>
        <w:rPr>
          <w:rFonts w:hint="eastAsia" w:ascii="仿宋_GB2312" w:hAnsi="仿宋" w:eastAsia="仿宋_GB2312"/>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8.专题会和其他会议：预计需用207个工作日。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9.病假、事假：预计需用27</w:t>
      </w:r>
      <w:r>
        <w:rPr>
          <w:rFonts w:hint="eastAsia" w:ascii="仿宋_GB2312" w:hAnsi="仿宋" w:eastAsia="仿宋_GB2312"/>
          <w:sz w:val="32"/>
          <w:szCs w:val="32"/>
          <w:lang w:eastAsia="zh-CN"/>
        </w:rPr>
        <w:t>2</w:t>
      </w:r>
      <w:r>
        <w:rPr>
          <w:rFonts w:hint="eastAsia" w:ascii="仿宋_GB2312" w:hAnsi="仿宋" w:eastAsia="仿宋_GB2312"/>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10.公务员法定年休假、探亲假、婚（丧）假：预计需用695个工作日。</w:t>
      </w:r>
    </w:p>
    <w:p>
      <w:pPr>
        <w:adjustRightInd w:val="0"/>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11.参加党群活动：预计需用40</w:t>
      </w:r>
      <w:r>
        <w:rPr>
          <w:rFonts w:hint="eastAsia" w:ascii="仿宋_GB2312" w:hAnsi="仿宋" w:eastAsia="仿宋_GB2312"/>
          <w:sz w:val="32"/>
          <w:szCs w:val="32"/>
          <w:lang w:eastAsia="zh-CN"/>
        </w:rPr>
        <w:t>8</w:t>
      </w:r>
      <w:r>
        <w:rPr>
          <w:rFonts w:hint="eastAsia" w:ascii="仿宋_GB2312" w:hAnsi="仿宋" w:eastAsia="仿宋_GB2312"/>
          <w:sz w:val="32"/>
          <w:szCs w:val="32"/>
        </w:rPr>
        <w:t>个工作日。</w:t>
      </w:r>
    </w:p>
    <w:p>
      <w:pPr>
        <w:widowControl/>
        <w:spacing w:line="560" w:lineRule="exact"/>
        <w:ind w:firstLine="640" w:firstLineChars="200"/>
        <w:rPr>
          <w:rFonts w:ascii="黑体" w:hAnsi="黑体" w:eastAsia="黑体"/>
          <w:sz w:val="32"/>
          <w:szCs w:val="32"/>
          <w:lang w:eastAsia="zh-CN"/>
        </w:rPr>
      </w:pPr>
      <w:r>
        <w:rPr>
          <w:rFonts w:hint="eastAsia" w:ascii="黑体" w:hAnsi="黑体" w:eastAsia="黑体"/>
          <w:sz w:val="32"/>
          <w:szCs w:val="32"/>
        </w:rPr>
        <w:t>五、监督检查安排及职责分工</w:t>
      </w:r>
    </w:p>
    <w:p>
      <w:pPr>
        <w:widowControl/>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rPr>
        <w:t>在</w:t>
      </w:r>
      <w:r>
        <w:rPr>
          <w:rFonts w:ascii="仿宋_GB2312" w:eastAsia="仿宋_GB2312"/>
          <w:sz w:val="32"/>
          <w:szCs w:val="32"/>
        </w:rPr>
        <w:t>监督检查安排中</w:t>
      </w:r>
      <w:r>
        <w:rPr>
          <w:rFonts w:hint="eastAsia" w:ascii="仿宋_GB2312" w:eastAsia="仿宋_GB2312"/>
          <w:sz w:val="32"/>
          <w:szCs w:val="32"/>
          <w:lang w:eastAsia="zh-CN"/>
        </w:rPr>
        <w:t>，在分类分级确定区级重点单位和一般单位的基础上，</w:t>
      </w:r>
      <w:r>
        <w:rPr>
          <w:rFonts w:hint="eastAsia" w:ascii="仿宋_GB2312" w:eastAsia="仿宋_GB2312"/>
          <w:sz w:val="32"/>
          <w:szCs w:val="32"/>
        </w:rPr>
        <w:t>一是</w:t>
      </w:r>
      <w:r>
        <w:rPr>
          <w:rFonts w:hint="eastAsia" w:ascii="仿宋_GB2312" w:eastAsia="仿宋_GB2312"/>
          <w:sz w:val="32"/>
          <w:szCs w:val="32"/>
          <w:lang w:eastAsia="zh-CN"/>
        </w:rPr>
        <w:t>加强</w:t>
      </w:r>
      <w:r>
        <w:rPr>
          <w:rFonts w:hint="eastAsia" w:ascii="仿宋_GB2312" w:eastAsia="仿宋_GB2312"/>
          <w:sz w:val="32"/>
          <w:szCs w:val="32"/>
        </w:rPr>
        <w:t>与市局</w:t>
      </w:r>
      <w:r>
        <w:rPr>
          <w:rFonts w:hint="eastAsia" w:ascii="仿宋_GB2312" w:eastAsia="仿宋_GB2312"/>
          <w:sz w:val="32"/>
          <w:szCs w:val="32"/>
          <w:lang w:eastAsia="zh-CN"/>
        </w:rPr>
        <w:t>年度</w:t>
      </w:r>
      <w:r>
        <w:rPr>
          <w:rFonts w:hint="eastAsia" w:ascii="仿宋_GB2312" w:eastAsia="仿宋_GB2312"/>
          <w:sz w:val="32"/>
          <w:szCs w:val="32"/>
        </w:rPr>
        <w:t>监督检查计划的</w:t>
      </w:r>
      <w:r>
        <w:rPr>
          <w:rFonts w:hint="eastAsia" w:ascii="仿宋_GB2312" w:eastAsia="仿宋_GB2312"/>
          <w:sz w:val="32"/>
          <w:szCs w:val="32"/>
          <w:lang w:eastAsia="zh-CN"/>
        </w:rPr>
        <w:t>协同衔接</w:t>
      </w:r>
      <w:r>
        <w:rPr>
          <w:rFonts w:hint="eastAsia" w:ascii="仿宋_GB2312" w:eastAsia="仿宋_GB2312"/>
          <w:sz w:val="32"/>
          <w:szCs w:val="32"/>
        </w:rPr>
        <w:t>，</w:t>
      </w:r>
      <w:r>
        <w:rPr>
          <w:rFonts w:hint="eastAsia" w:ascii="仿宋_GB2312" w:eastAsia="仿宋_GB2312"/>
          <w:sz w:val="32"/>
          <w:szCs w:val="32"/>
          <w:lang w:eastAsia="zh-CN"/>
        </w:rPr>
        <w:t>原</w:t>
      </w:r>
      <w:r>
        <w:rPr>
          <w:rFonts w:hint="eastAsia" w:ascii="仿宋_GB2312" w:eastAsia="仿宋_GB2312"/>
          <w:sz w:val="32"/>
          <w:szCs w:val="32"/>
        </w:rPr>
        <w:t>则上覆盖除市级重点单位以外，辖区内符合重点检查单位范围的其他所有生产经营单位</w:t>
      </w:r>
      <w:r>
        <w:rPr>
          <w:rFonts w:hint="eastAsia" w:ascii="仿宋_GB2312" w:eastAsia="仿宋_GB2312"/>
          <w:sz w:val="32"/>
          <w:szCs w:val="32"/>
          <w:lang w:eastAsia="zh-CN"/>
        </w:rPr>
        <w:t>。</w:t>
      </w:r>
      <w:r>
        <w:rPr>
          <w:rFonts w:hint="eastAsia" w:ascii="仿宋_GB2312" w:eastAsia="仿宋_GB2312"/>
          <w:sz w:val="32"/>
          <w:szCs w:val="32"/>
        </w:rPr>
        <w:t>二是坚持问题导向，</w:t>
      </w:r>
      <w:r>
        <w:rPr>
          <w:rFonts w:hint="eastAsia" w:ascii="仿宋_GB2312" w:eastAsia="仿宋_GB2312"/>
          <w:sz w:val="32"/>
          <w:szCs w:val="32"/>
          <w:lang w:eastAsia="zh-CN"/>
        </w:rPr>
        <w:t>及时查处镇街道报告的监督管理职责</w:t>
      </w:r>
      <w:r>
        <w:rPr>
          <w:rFonts w:hint="eastAsia" w:ascii="仿宋_GB2312" w:eastAsia="仿宋_GB2312"/>
          <w:sz w:val="32"/>
          <w:szCs w:val="32"/>
        </w:rPr>
        <w:t>范围内的安全生产违法行为或事故隐患案件</w:t>
      </w:r>
      <w:r>
        <w:rPr>
          <w:rFonts w:hint="eastAsia" w:ascii="仿宋_GB2312" w:eastAsia="仿宋_GB2312"/>
          <w:sz w:val="32"/>
          <w:szCs w:val="32"/>
          <w:lang w:eastAsia="zh-CN"/>
        </w:rPr>
        <w:t>。</w:t>
      </w:r>
      <w:r>
        <w:rPr>
          <w:rFonts w:hint="eastAsia" w:ascii="仿宋_GB2312" w:eastAsia="仿宋_GB2312"/>
          <w:sz w:val="32"/>
          <w:szCs w:val="32"/>
        </w:rPr>
        <w:t>三是兼顾</w:t>
      </w:r>
      <w:r>
        <w:rPr>
          <w:rFonts w:ascii="仿宋_GB2312" w:eastAsia="仿宋_GB2312"/>
          <w:sz w:val="32"/>
          <w:szCs w:val="32"/>
        </w:rPr>
        <w:t>计划内</w:t>
      </w:r>
      <w:r>
        <w:rPr>
          <w:rFonts w:hint="eastAsia" w:ascii="仿宋_GB2312" w:eastAsia="仿宋_GB2312"/>
          <w:sz w:val="32"/>
          <w:szCs w:val="32"/>
        </w:rPr>
        <w:t>外</w:t>
      </w:r>
      <w:r>
        <w:rPr>
          <w:rFonts w:ascii="仿宋_GB2312" w:eastAsia="仿宋_GB2312"/>
          <w:sz w:val="32"/>
          <w:szCs w:val="32"/>
        </w:rPr>
        <w:t>执法检查。</w:t>
      </w:r>
      <w:r>
        <w:rPr>
          <w:rFonts w:hint="eastAsia" w:ascii="仿宋_GB2312" w:eastAsia="仿宋_GB2312"/>
          <w:sz w:val="32"/>
          <w:szCs w:val="32"/>
        </w:rPr>
        <w:t>运用综合执法、联合执法等方式，做好相关重点行业领域计划外执法工作</w:t>
      </w:r>
      <w:r>
        <w:rPr>
          <w:rFonts w:hint="eastAsia" w:ascii="仿宋_GB2312" w:eastAsia="仿宋_GB2312"/>
          <w:sz w:val="32"/>
          <w:szCs w:val="32"/>
          <w:lang w:eastAsia="zh-CN"/>
        </w:rPr>
        <w:t>，</w:t>
      </w:r>
      <w:r>
        <w:rPr>
          <w:rFonts w:hint="eastAsia" w:ascii="仿宋_GB2312" w:eastAsia="仿宋_GB2312"/>
          <w:sz w:val="32"/>
          <w:szCs w:val="32"/>
        </w:rPr>
        <w:t>不断提升执法质效。</w:t>
      </w:r>
    </w:p>
    <w:p>
      <w:pPr>
        <w:widowControl/>
        <w:spacing w:line="560" w:lineRule="exact"/>
        <w:ind w:firstLine="640" w:firstLineChars="200"/>
        <w:rPr>
          <w:rFonts w:ascii="仿宋_GB2312" w:eastAsia="仿宋_GB2312"/>
          <w:sz w:val="32"/>
          <w:szCs w:val="32"/>
        </w:rPr>
      </w:pPr>
      <w:r>
        <w:rPr>
          <w:rFonts w:hint="eastAsia" w:ascii="仿宋_GB2312" w:eastAsia="仿宋_GB2312"/>
          <w:sz w:val="32"/>
          <w:szCs w:val="32"/>
        </w:rPr>
        <w:t>按照</w:t>
      </w:r>
      <w:r>
        <w:rPr>
          <w:rFonts w:hint="eastAsia" w:ascii="仿宋_GB2312" w:hAnsi="仿宋" w:eastAsia="仿宋_GB2312"/>
          <w:kern w:val="0"/>
          <w:sz w:val="32"/>
          <w:szCs w:val="32"/>
        </w:rPr>
        <w:t>《北京市应急管理系统分类分级执法暂行办法》</w:t>
      </w:r>
      <w:r>
        <w:rPr>
          <w:rFonts w:hint="eastAsia" w:ascii="仿宋_GB2312" w:eastAsia="仿宋_GB2312"/>
          <w:sz w:val="32"/>
          <w:szCs w:val="32"/>
        </w:rPr>
        <w:t>确定</w:t>
      </w:r>
      <w:r>
        <w:rPr>
          <w:rFonts w:hint="eastAsia" w:ascii="仿宋_GB2312" w:eastAsia="仿宋_GB2312"/>
          <w:sz w:val="32"/>
          <w:szCs w:val="32"/>
          <w:lang w:eastAsia="zh-CN"/>
        </w:rPr>
        <w:t>区级</w:t>
      </w:r>
      <w:r>
        <w:rPr>
          <w:rFonts w:hint="eastAsia" w:ascii="仿宋_GB2312" w:eastAsia="仿宋_GB2312"/>
          <w:sz w:val="32"/>
          <w:szCs w:val="32"/>
        </w:rPr>
        <w:t>重点检查领域、重点检查单位及检查频次。全年共计划监督检查生产经营单位</w:t>
      </w:r>
      <w:r>
        <w:rPr>
          <w:rFonts w:hint="eastAsia" w:ascii="仿宋_GB2312" w:eastAsia="仿宋_GB2312"/>
          <w:sz w:val="32"/>
          <w:szCs w:val="32"/>
          <w:lang w:eastAsia="zh-CN"/>
        </w:rPr>
        <w:t>589</w:t>
      </w:r>
      <w:r>
        <w:rPr>
          <w:rFonts w:hint="eastAsia" w:ascii="仿宋_GB2312" w:eastAsia="仿宋_GB2312"/>
          <w:sz w:val="32"/>
          <w:szCs w:val="32"/>
        </w:rPr>
        <w:t>家，其中将我局颁发</w:t>
      </w:r>
      <w:r>
        <w:rPr>
          <w:rFonts w:ascii="仿宋_GB2312" w:eastAsia="仿宋_GB2312"/>
          <w:sz w:val="32"/>
          <w:szCs w:val="32"/>
        </w:rPr>
        <w:t>许可</w:t>
      </w:r>
      <w:r>
        <w:rPr>
          <w:rFonts w:hint="eastAsia" w:ascii="仿宋_GB2312" w:eastAsia="仿宋_GB2312"/>
          <w:sz w:val="32"/>
          <w:szCs w:val="32"/>
          <w:lang w:eastAsia="zh-CN"/>
        </w:rPr>
        <w:t>、</w:t>
      </w:r>
      <w:r>
        <w:rPr>
          <w:rFonts w:hint="eastAsia" w:ascii="仿宋_GB2312" w:eastAsia="仿宋_GB2312"/>
          <w:sz w:val="32"/>
          <w:szCs w:val="32"/>
        </w:rPr>
        <w:t>安全生产风险等级较高、</w:t>
      </w:r>
      <w:r>
        <w:rPr>
          <w:rFonts w:ascii="仿宋_GB2312" w:eastAsia="仿宋_GB2312"/>
          <w:sz w:val="32"/>
          <w:szCs w:val="32"/>
        </w:rPr>
        <w:t>近三年发生过亡人</w:t>
      </w:r>
      <w:r>
        <w:rPr>
          <w:rFonts w:hint="eastAsia" w:ascii="仿宋_GB2312" w:eastAsia="仿宋_GB2312"/>
          <w:sz w:val="32"/>
          <w:szCs w:val="32"/>
        </w:rPr>
        <w:t>事故</w:t>
      </w:r>
      <w:r>
        <w:rPr>
          <w:rFonts w:hint="eastAsia" w:ascii="仿宋_GB2312" w:eastAsia="仿宋_GB2312"/>
          <w:sz w:val="32"/>
          <w:szCs w:val="32"/>
          <w:lang w:eastAsia="zh-CN"/>
        </w:rPr>
        <w:t>和一年内因重大事故隐患被区应急局实施过行政处罚</w:t>
      </w:r>
      <w:r>
        <w:rPr>
          <w:rFonts w:hint="eastAsia" w:ascii="仿宋_GB2312" w:eastAsia="仿宋_GB2312"/>
          <w:sz w:val="32"/>
          <w:szCs w:val="32"/>
        </w:rPr>
        <w:t>的单位列为20</w:t>
      </w:r>
      <w:r>
        <w:rPr>
          <w:rFonts w:ascii="仿宋_GB2312" w:eastAsia="仿宋_GB2312"/>
          <w:sz w:val="32"/>
          <w:szCs w:val="32"/>
        </w:rPr>
        <w:t>2</w:t>
      </w:r>
      <w:r>
        <w:rPr>
          <w:rFonts w:hint="eastAsia" w:ascii="仿宋_GB2312" w:eastAsia="仿宋_GB2312"/>
          <w:sz w:val="32"/>
          <w:szCs w:val="32"/>
          <w:lang w:eastAsia="zh-CN"/>
        </w:rPr>
        <w:t>5</w:t>
      </w:r>
      <w:r>
        <w:rPr>
          <w:rFonts w:hint="eastAsia" w:ascii="仿宋_GB2312" w:eastAsia="仿宋_GB2312"/>
          <w:sz w:val="32"/>
          <w:szCs w:val="32"/>
        </w:rPr>
        <w:t>年度重点检查单位，共计</w:t>
      </w:r>
      <w:r>
        <w:rPr>
          <w:rFonts w:hint="eastAsia" w:ascii="仿宋_GB2312" w:eastAsia="仿宋_GB2312"/>
          <w:sz w:val="32"/>
          <w:szCs w:val="32"/>
          <w:lang w:eastAsia="zh-CN"/>
        </w:rPr>
        <w:t>355</w:t>
      </w:r>
      <w:r>
        <w:rPr>
          <w:rFonts w:hint="eastAsia" w:ascii="仿宋_GB2312" w:eastAsia="仿宋_GB2312"/>
          <w:sz w:val="32"/>
          <w:szCs w:val="32"/>
        </w:rPr>
        <w:t>家</w:t>
      </w:r>
      <w:r>
        <w:rPr>
          <w:rFonts w:hint="eastAsia" w:ascii="仿宋_GB2312" w:eastAsia="仿宋_GB2312"/>
          <w:sz w:val="32"/>
          <w:szCs w:val="32"/>
          <w:lang w:eastAsia="zh-CN"/>
        </w:rPr>
        <w:t>（名单附后）</w:t>
      </w:r>
      <w:r>
        <w:rPr>
          <w:rFonts w:hint="eastAsia" w:ascii="仿宋_GB2312" w:eastAsia="仿宋_GB2312"/>
          <w:sz w:val="32"/>
          <w:szCs w:val="32"/>
        </w:rPr>
        <w:t>，在年度监督检查计划中占</w:t>
      </w:r>
      <w:r>
        <w:rPr>
          <w:rFonts w:hint="eastAsia" w:ascii="仿宋_GB2312" w:eastAsia="仿宋_GB2312"/>
          <w:sz w:val="32"/>
          <w:szCs w:val="32"/>
          <w:lang w:eastAsia="zh-CN"/>
        </w:rPr>
        <w:t>60.3</w:t>
      </w:r>
      <w:r>
        <w:rPr>
          <w:rFonts w:hint="eastAsia" w:ascii="仿宋_GB2312" w:eastAsia="仿宋_GB2312"/>
          <w:sz w:val="32"/>
          <w:szCs w:val="32"/>
        </w:rPr>
        <w:t>%，符合《</w:t>
      </w:r>
      <w:r>
        <w:rPr>
          <w:rFonts w:hint="eastAsia" w:ascii="仿宋_GB2312" w:hAnsi="仿宋" w:eastAsia="仿宋_GB2312"/>
          <w:sz w:val="32"/>
          <w:szCs w:val="32"/>
        </w:rPr>
        <w:t>安全生产年度监督检查计划编制办法</w:t>
      </w:r>
      <w:r>
        <w:rPr>
          <w:rFonts w:hint="eastAsia" w:ascii="仿宋_GB2312" w:eastAsia="仿宋_GB2312"/>
          <w:sz w:val="32"/>
          <w:szCs w:val="32"/>
        </w:rPr>
        <w:t>》重点检查比例不低于60%的要求；一般检查</w:t>
      </w:r>
      <w:r>
        <w:rPr>
          <w:rFonts w:hint="eastAsia" w:ascii="仿宋_GB2312" w:eastAsia="仿宋_GB2312"/>
          <w:sz w:val="32"/>
          <w:szCs w:val="32"/>
          <w:lang w:eastAsia="zh-CN"/>
        </w:rPr>
        <w:t>234</w:t>
      </w:r>
      <w:r>
        <w:rPr>
          <w:rFonts w:hint="eastAsia" w:ascii="仿宋_GB2312" w:eastAsia="仿宋_GB2312"/>
          <w:sz w:val="32"/>
          <w:szCs w:val="32"/>
        </w:rPr>
        <w:t>家单位，在年度监督检查计划中占</w:t>
      </w:r>
      <w:r>
        <w:rPr>
          <w:rFonts w:hint="eastAsia" w:ascii="仿宋_GB2312" w:eastAsia="仿宋_GB2312"/>
          <w:sz w:val="32"/>
          <w:szCs w:val="32"/>
          <w:lang w:eastAsia="zh-CN"/>
        </w:rPr>
        <w:t>39.7</w:t>
      </w:r>
      <w:r>
        <w:rPr>
          <w:rFonts w:hint="eastAsia" w:ascii="仿宋_GB2312" w:eastAsia="仿宋_GB2312"/>
          <w:sz w:val="32"/>
          <w:szCs w:val="32"/>
        </w:rPr>
        <w:t>%。</w:t>
      </w:r>
    </w:p>
    <w:p>
      <w:pPr>
        <w:widowControl/>
        <w:spacing w:line="560" w:lineRule="exact"/>
        <w:ind w:firstLine="640" w:firstLineChars="200"/>
        <w:rPr>
          <w:rFonts w:ascii="仿宋_GB2312" w:eastAsia="仿宋_GB2312"/>
          <w:sz w:val="32"/>
          <w:szCs w:val="32"/>
        </w:rPr>
      </w:pPr>
      <w:r>
        <w:rPr>
          <w:rFonts w:hint="eastAsia" w:ascii="楷体_GB2312" w:eastAsia="楷体_GB2312"/>
          <w:sz w:val="32"/>
          <w:szCs w:val="32"/>
        </w:rPr>
        <w:t>（一）重点检查安排</w:t>
      </w:r>
    </w:p>
    <w:p>
      <w:pPr>
        <w:widowControl/>
        <w:spacing w:line="560" w:lineRule="exact"/>
        <w:ind w:firstLine="640" w:firstLineChars="200"/>
        <w:rPr>
          <w:rFonts w:ascii="仿宋_GB2312" w:eastAsia="仿宋_GB2312"/>
          <w:sz w:val="32"/>
          <w:szCs w:val="32"/>
        </w:rPr>
      </w:pPr>
      <w:r>
        <w:rPr>
          <w:rFonts w:hint="eastAsia" w:ascii="仿宋_GB2312" w:eastAsia="仿宋_GB2312"/>
          <w:sz w:val="32"/>
          <w:szCs w:val="32"/>
          <w:lang w:eastAsia="zh-CN"/>
        </w:rPr>
        <w:t>重点检查由我局颁发许可、</w:t>
      </w:r>
      <w:r>
        <w:rPr>
          <w:rFonts w:hint="eastAsia" w:ascii="仿宋_GB2312" w:eastAsia="仿宋_GB2312"/>
          <w:sz w:val="32"/>
          <w:szCs w:val="32"/>
        </w:rPr>
        <w:t>安全生产风险等级较高的生产经营单位</w:t>
      </w:r>
      <w:r>
        <w:rPr>
          <w:rFonts w:hint="eastAsia" w:ascii="仿宋_GB2312" w:eastAsia="仿宋_GB2312"/>
          <w:sz w:val="32"/>
          <w:szCs w:val="32"/>
          <w:lang w:eastAsia="zh-CN"/>
        </w:rPr>
        <w:t>355</w:t>
      </w:r>
      <w:r>
        <w:rPr>
          <w:rFonts w:hint="eastAsia" w:ascii="仿宋_GB2312" w:eastAsia="仿宋_GB2312"/>
          <w:sz w:val="32"/>
          <w:szCs w:val="32"/>
        </w:rPr>
        <w:t>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eastAsia="zh-CN"/>
        </w:rPr>
        <w:t>油库2</w:t>
      </w:r>
      <w:r>
        <w:rPr>
          <w:rFonts w:hint="eastAsia" w:ascii="仿宋_GB2312" w:eastAsia="仿宋_GB2312"/>
          <w:sz w:val="32"/>
          <w:szCs w:val="32"/>
        </w:rPr>
        <w:t>家，</w:t>
      </w:r>
      <w:r>
        <w:rPr>
          <w:rFonts w:hint="eastAsia" w:ascii="仿宋_GB2312" w:eastAsia="仿宋_GB2312"/>
          <w:sz w:val="32"/>
          <w:szCs w:val="32"/>
          <w:lang w:eastAsia="zh-CN"/>
        </w:rPr>
        <w:t>由综合执法大队完成。</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2.工业气体</w:t>
      </w:r>
      <w:r>
        <w:rPr>
          <w:rFonts w:hint="eastAsia" w:ascii="仿宋_GB2312" w:eastAsia="仿宋_GB2312"/>
          <w:sz w:val="32"/>
          <w:szCs w:val="32"/>
          <w:lang w:eastAsia="zh-CN"/>
        </w:rPr>
        <w:t>2</w:t>
      </w:r>
      <w:r>
        <w:rPr>
          <w:rFonts w:hint="eastAsia" w:ascii="仿宋_GB2312" w:eastAsia="仿宋_GB2312"/>
          <w:sz w:val="32"/>
          <w:szCs w:val="32"/>
        </w:rPr>
        <w:t>家，</w:t>
      </w:r>
      <w:r>
        <w:rPr>
          <w:rFonts w:hint="eastAsia" w:ascii="仿宋_GB2312" w:eastAsia="仿宋_GB2312"/>
          <w:sz w:val="32"/>
          <w:szCs w:val="32"/>
          <w:lang w:eastAsia="zh-CN"/>
        </w:rPr>
        <w:t>由综合执法大队完成。</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hint="eastAsia" w:ascii="仿宋_GB2312" w:hAnsi="仿宋_GB2312" w:eastAsia="仿宋_GB2312" w:cs="仿宋_GB2312"/>
          <w:sz w:val="32"/>
          <w:szCs w:val="32"/>
        </w:rPr>
        <w:t>医药制造</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家</w:t>
      </w:r>
      <w:r>
        <w:rPr>
          <w:rFonts w:hint="eastAsia" w:ascii="仿宋_GB2312" w:eastAsia="仿宋_GB2312"/>
          <w:sz w:val="32"/>
          <w:szCs w:val="32"/>
        </w:rPr>
        <w:t>，</w:t>
      </w:r>
      <w:r>
        <w:rPr>
          <w:rFonts w:hint="eastAsia" w:ascii="仿宋_GB2312" w:eastAsia="仿宋_GB2312"/>
          <w:sz w:val="32"/>
          <w:szCs w:val="32"/>
          <w:lang w:eastAsia="zh-CN"/>
        </w:rPr>
        <w:t>由综合执法大队完成。</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4.培训机构</w:t>
      </w:r>
      <w:r>
        <w:rPr>
          <w:rFonts w:hint="eastAsia" w:ascii="仿宋_GB2312" w:eastAsia="仿宋_GB2312"/>
          <w:sz w:val="32"/>
          <w:szCs w:val="32"/>
          <w:lang w:eastAsia="zh-CN"/>
        </w:rPr>
        <w:t>3</w:t>
      </w:r>
      <w:r>
        <w:rPr>
          <w:rFonts w:hint="eastAsia" w:ascii="仿宋_GB2312" w:eastAsia="仿宋_GB2312"/>
          <w:sz w:val="32"/>
          <w:szCs w:val="32"/>
        </w:rPr>
        <w:t>家，</w:t>
      </w:r>
      <w:r>
        <w:rPr>
          <w:rFonts w:hint="eastAsia" w:ascii="仿宋_GB2312" w:eastAsia="仿宋_GB2312"/>
          <w:sz w:val="32"/>
          <w:szCs w:val="32"/>
          <w:lang w:eastAsia="zh-CN"/>
        </w:rPr>
        <w:t>由综合执法大队完成。</w:t>
      </w:r>
    </w:p>
    <w:p>
      <w:pPr>
        <w:spacing w:line="56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5.加油站77家</w:t>
      </w:r>
      <w:r>
        <w:rPr>
          <w:rFonts w:hint="eastAsia" w:ascii="仿宋_GB2312" w:hAnsi="仿宋_GB2312" w:eastAsia="仿宋_GB2312" w:cs="仿宋_GB2312"/>
          <w:sz w:val="32"/>
          <w:szCs w:val="32"/>
        </w:rPr>
        <w:t>，</w:t>
      </w:r>
      <w:r>
        <w:rPr>
          <w:rFonts w:hint="eastAsia" w:ascii="仿宋_GB2312" w:eastAsia="仿宋_GB2312"/>
          <w:sz w:val="32"/>
          <w:szCs w:val="32"/>
          <w:lang w:eastAsia="zh-CN"/>
        </w:rPr>
        <w:t>由综合执法大队完成。</w:t>
      </w:r>
    </w:p>
    <w:p>
      <w:pPr>
        <w:spacing w:line="56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6.工业企业1</w:t>
      </w:r>
      <w:r>
        <w:rPr>
          <w:rFonts w:hint="eastAsia" w:ascii="仿宋_GB2312" w:eastAsia="仿宋_GB2312"/>
          <w:sz w:val="32"/>
          <w:szCs w:val="32"/>
          <w:lang w:eastAsia="zh-CN"/>
        </w:rPr>
        <w:t>11</w:t>
      </w:r>
      <w:r>
        <w:rPr>
          <w:rFonts w:hint="eastAsia" w:ascii="仿宋_GB2312" w:eastAsia="仿宋_GB2312"/>
          <w:sz w:val="32"/>
          <w:szCs w:val="32"/>
        </w:rPr>
        <w:t>家，</w:t>
      </w:r>
      <w:r>
        <w:rPr>
          <w:rFonts w:hint="eastAsia" w:ascii="仿宋_GB2312" w:eastAsia="仿宋_GB2312"/>
          <w:sz w:val="32"/>
          <w:szCs w:val="32"/>
          <w:lang w:eastAsia="zh-CN"/>
        </w:rPr>
        <w:t>由综合执法大队完成。</w:t>
      </w:r>
    </w:p>
    <w:p>
      <w:pPr>
        <w:spacing w:line="560" w:lineRule="exact"/>
        <w:ind w:firstLine="640" w:firstLineChars="200"/>
        <w:rPr>
          <w:rFonts w:ascii="仿宋_GB2312" w:eastAsia="仿宋_GB2312"/>
          <w:sz w:val="32"/>
          <w:szCs w:val="32"/>
        </w:rPr>
      </w:pPr>
      <w:r>
        <w:rPr>
          <w:rFonts w:hint="eastAsia" w:ascii="仿宋_GB2312" w:eastAsia="仿宋_GB2312"/>
          <w:sz w:val="32"/>
          <w:szCs w:val="32"/>
          <w:lang w:eastAsia="zh-CN"/>
        </w:rPr>
        <w:t>7</w:t>
      </w:r>
      <w:r>
        <w:rPr>
          <w:rFonts w:hint="eastAsia" w:ascii="仿宋_GB2312" w:eastAsia="仿宋_GB2312"/>
          <w:sz w:val="32"/>
          <w:szCs w:val="32"/>
        </w:rPr>
        <w:t>.</w:t>
      </w:r>
      <w:r>
        <w:rPr>
          <w:rFonts w:hint="eastAsia" w:ascii="仿宋_GB2312" w:eastAsia="仿宋_GB2312"/>
          <w:sz w:val="32"/>
          <w:szCs w:val="32"/>
          <w:lang w:eastAsia="zh-CN"/>
        </w:rPr>
        <w:t>商贸类84家，由综合执法大队完成。</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8</w:t>
      </w:r>
      <w:r>
        <w:rPr>
          <w:rFonts w:hint="eastAsia" w:ascii="仿宋_GB2312" w:eastAsia="仿宋_GB2312"/>
          <w:sz w:val="32"/>
          <w:szCs w:val="32"/>
        </w:rPr>
        <w:t>.</w:t>
      </w:r>
      <w:r>
        <w:rPr>
          <w:rFonts w:hint="eastAsia" w:ascii="仿宋_GB2312" w:eastAsia="仿宋_GB2312"/>
          <w:sz w:val="32"/>
          <w:szCs w:val="32"/>
          <w:lang w:eastAsia="zh-CN"/>
        </w:rPr>
        <w:t>危险化学品票据经营企业68家，由综合执法大队完成。</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9.涉爆粉尘生产经营单位1家，由综合执法大队完成。</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10.</w:t>
      </w:r>
      <w:r>
        <w:rPr>
          <w:rFonts w:hint="eastAsia" w:ascii="仿宋_GB2312" w:eastAsia="仿宋_GB2312"/>
          <w:sz w:val="32"/>
          <w:szCs w:val="32"/>
        </w:rPr>
        <w:t>近三年发生过造成人员死亡的生产安全事故的生产经营单位</w:t>
      </w:r>
      <w:r>
        <w:rPr>
          <w:rFonts w:hint="eastAsia" w:ascii="仿宋_GB2312" w:eastAsia="仿宋_GB2312"/>
          <w:sz w:val="32"/>
          <w:szCs w:val="32"/>
          <w:lang w:eastAsia="zh-CN"/>
        </w:rPr>
        <w:t>1</w:t>
      </w:r>
      <w:r>
        <w:rPr>
          <w:rFonts w:hint="eastAsia" w:ascii="仿宋_GB2312" w:eastAsia="仿宋_GB2312"/>
          <w:sz w:val="32"/>
          <w:szCs w:val="32"/>
        </w:rPr>
        <w:t>家，由调查评估科完成</w:t>
      </w:r>
      <w:r>
        <w:rPr>
          <w:rFonts w:hint="eastAsia" w:ascii="仿宋_GB2312" w:eastAsia="仿宋_GB2312"/>
          <w:sz w:val="32"/>
          <w:szCs w:val="32"/>
          <w:lang w:eastAsia="zh-CN"/>
        </w:rPr>
        <w:t>。</w:t>
      </w:r>
    </w:p>
    <w:p>
      <w:pPr>
        <w:spacing w:line="5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11.一年内因重大事故隐患被区应急局实施过行政处罚的</w:t>
      </w:r>
      <w:r>
        <w:rPr>
          <w:rFonts w:hint="eastAsia" w:ascii="仿宋_GB2312" w:eastAsia="仿宋_GB2312"/>
          <w:sz w:val="32"/>
          <w:szCs w:val="32"/>
        </w:rPr>
        <w:t>生产经营单位</w:t>
      </w:r>
      <w:r>
        <w:rPr>
          <w:rFonts w:hint="eastAsia" w:ascii="仿宋_GB2312" w:eastAsia="仿宋_GB2312"/>
          <w:sz w:val="32"/>
          <w:szCs w:val="32"/>
          <w:lang w:eastAsia="zh-CN"/>
        </w:rPr>
        <w:t>3家，由综合执法大队完成。</w:t>
      </w:r>
    </w:p>
    <w:p>
      <w:pPr>
        <w:spacing w:line="560" w:lineRule="exact"/>
        <w:ind w:firstLine="640" w:firstLineChars="200"/>
        <w:rPr>
          <w:rFonts w:ascii="仿宋_GB2312" w:hAnsi="仿宋" w:eastAsia="仿宋_GB2312"/>
          <w:sz w:val="32"/>
          <w:szCs w:val="32"/>
        </w:rPr>
      </w:pPr>
      <w:r>
        <w:rPr>
          <w:rFonts w:hint="eastAsia" w:ascii="楷体_GB2312" w:eastAsia="楷体_GB2312"/>
          <w:sz w:val="32"/>
          <w:szCs w:val="32"/>
        </w:rPr>
        <w:t>（二）一般检查安排</w:t>
      </w:r>
    </w:p>
    <w:p>
      <w:pPr>
        <w:spacing w:line="560" w:lineRule="exact"/>
        <w:ind w:firstLine="640" w:firstLineChars="200"/>
        <w:rPr>
          <w:rFonts w:ascii="仿宋_GB2312" w:hAnsi="仿宋" w:eastAsia="仿宋_GB2312"/>
          <w:sz w:val="32"/>
          <w:szCs w:val="32"/>
          <w:lang w:eastAsia="zh-CN"/>
        </w:rPr>
      </w:pPr>
      <w:r>
        <w:rPr>
          <w:rFonts w:hint="eastAsia" w:ascii="仿宋_GB2312" w:hAnsi="仿宋" w:eastAsia="仿宋_GB2312"/>
          <w:sz w:val="32"/>
          <w:szCs w:val="32"/>
        </w:rPr>
        <w:t>一般检查单位</w:t>
      </w:r>
      <w:r>
        <w:rPr>
          <w:rFonts w:hint="eastAsia" w:ascii="仿宋_GB2312" w:hAnsi="仿宋" w:eastAsia="仿宋_GB2312"/>
          <w:sz w:val="32"/>
          <w:szCs w:val="32"/>
          <w:lang w:eastAsia="zh-CN"/>
        </w:rPr>
        <w:t>234</w:t>
      </w:r>
      <w:r>
        <w:rPr>
          <w:rFonts w:hint="eastAsia" w:ascii="仿宋_GB2312" w:hAnsi="仿宋" w:eastAsia="仿宋_GB2312"/>
          <w:sz w:val="32"/>
          <w:szCs w:val="32"/>
        </w:rPr>
        <w:t>家</w:t>
      </w:r>
      <w:r>
        <w:rPr>
          <w:rFonts w:hint="eastAsia" w:ascii="仿宋_GB2312" w:hAnsi="仿宋" w:eastAsia="仿宋_GB2312"/>
          <w:sz w:val="32"/>
          <w:szCs w:val="32"/>
          <w:lang w:eastAsia="zh-CN"/>
        </w:rPr>
        <w:t>，抽查单位为商贸企业，由</w:t>
      </w:r>
      <w:r>
        <w:rPr>
          <w:rFonts w:hint="eastAsia" w:ascii="仿宋_GB2312" w:eastAsia="仿宋_GB2312"/>
          <w:sz w:val="32"/>
          <w:szCs w:val="32"/>
          <w:lang w:eastAsia="zh-CN"/>
        </w:rPr>
        <w:t>综合执法大队完成。</w:t>
      </w:r>
    </w:p>
    <w:p>
      <w:pPr>
        <w:pStyle w:val="3"/>
        <w:spacing w:line="560" w:lineRule="exact"/>
        <w:ind w:firstLine="640" w:firstLineChars="200"/>
        <w:rPr>
          <w:rFonts w:ascii="黑体" w:eastAsia="黑体"/>
        </w:rPr>
      </w:pPr>
      <w:r>
        <w:rPr>
          <w:rFonts w:hint="eastAsia" w:ascii="黑体" w:eastAsia="黑体"/>
        </w:rPr>
        <w:t>六、监督检查的主要内容、方式和要求</w:t>
      </w:r>
    </w:p>
    <w:p>
      <w:pPr>
        <w:spacing w:line="560" w:lineRule="exact"/>
        <w:ind w:firstLine="640" w:firstLineChars="200"/>
        <w:rPr>
          <w:rFonts w:ascii="仿宋" w:hAnsi="仿宋" w:eastAsia="仿宋" w:cs="仿宋"/>
          <w:sz w:val="32"/>
          <w:szCs w:val="32"/>
        </w:rPr>
      </w:pPr>
      <w:r>
        <w:rPr>
          <w:rFonts w:hint="eastAsia" w:ascii="楷体_GB2312" w:hAnsi="楷体_GB2312" w:eastAsia="楷体_GB2312" w:cs="楷体_GB2312"/>
          <w:sz w:val="32"/>
          <w:szCs w:val="32"/>
        </w:rPr>
        <w:t>（一）监督检查主要内容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严格依据行政规范化检查单确定的检查内容和检查标准开展涉企检查，对《中华人民共和国安全生产法》《生产安全事故应急条例》《北京市安全生产条例》《工贸企业粉尘防爆安全规定》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危险化学品安全管理条例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《工贸企业有限空间作业安全规定》贯彻落实情况的</w:t>
      </w:r>
      <w:r>
        <w:rPr>
          <w:rFonts w:hint="eastAsia" w:ascii="仿宋_GB2312" w:hAnsi="仿宋_GB2312" w:eastAsia="仿宋_GB2312" w:cs="仿宋_GB2312"/>
          <w:sz w:val="32"/>
          <w:szCs w:val="32"/>
          <w:lang w:eastAsia="zh-CN"/>
        </w:rPr>
        <w:t>监督</w:t>
      </w:r>
      <w:r>
        <w:rPr>
          <w:rFonts w:hint="eastAsia" w:ascii="仿宋_GB2312" w:hAnsi="仿宋_GB2312" w:eastAsia="仿宋_GB2312" w:cs="仿宋_GB2312"/>
          <w:sz w:val="32"/>
          <w:szCs w:val="32"/>
        </w:rPr>
        <w:t>检查。</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（二）监督检查</w:t>
      </w:r>
      <w:r>
        <w:rPr>
          <w:rFonts w:hint="eastAsia" w:ascii="楷体_GB2312" w:hAnsi="楷体_GB2312" w:eastAsia="楷体_GB2312" w:cs="楷体_GB2312"/>
          <w:sz w:val="32"/>
          <w:szCs w:val="32"/>
          <w:lang w:eastAsia="zh-CN"/>
        </w:rPr>
        <w:t>的</w:t>
      </w:r>
      <w:r>
        <w:rPr>
          <w:rFonts w:hint="eastAsia" w:ascii="楷体_GB2312" w:hAnsi="楷体_GB2312" w:eastAsia="楷体_GB2312" w:cs="楷体_GB2312"/>
          <w:sz w:val="32"/>
          <w:szCs w:val="32"/>
        </w:rPr>
        <w:t>方式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通过查阅生产经营单位台账资料、实地检查、询问等方式开展监督检查工作。鼓励执法单位创新检查方式，对低风险行业领域</w:t>
      </w:r>
      <w:r>
        <w:rPr>
          <w:rFonts w:hint="eastAsia" w:ascii="仿宋_GB2312" w:hAnsi="仿宋_GB2312" w:eastAsia="仿宋_GB2312" w:cs="仿宋_GB2312"/>
          <w:sz w:val="32"/>
          <w:szCs w:val="32"/>
          <w:lang w:eastAsia="zh-CN"/>
        </w:rPr>
        <w:t>可</w:t>
      </w:r>
      <w:r>
        <w:rPr>
          <w:rFonts w:hint="eastAsia" w:ascii="仿宋_GB2312" w:hAnsi="仿宋_GB2312" w:eastAsia="仿宋_GB2312" w:cs="仿宋_GB2312"/>
          <w:sz w:val="32"/>
          <w:szCs w:val="32"/>
        </w:rPr>
        <w:t>采用现场与非现场相结合的检查方式进行监管。</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（三）监督检查有关要求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1.监督检查前的准备工作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局内各执法科室队（以下简称执法部门）应根据已批准的年度监督检查计划，统筹考虑监督检查工作日数量、专业技术力量、监督检查装备力量、执法车辆使用等实际情况，编制本部门的年度监督检查计划，明确每月监督检查的单位名称或数量、检查重点事项、时间安排、责任人员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对一般检查应采用随机抽查方式确定被检查单位和执法人员。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（2）执法部门应当明确每次具体执法任务，制作现场检查方案，填写被检查单位的基本信息、检查时间、检查事项、检查方式以及执法人员组成等。</w:t>
      </w:r>
    </w:p>
    <w:p>
      <w:pPr>
        <w:spacing w:line="560" w:lineRule="exact"/>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rPr>
        <w:t>2.现场检查</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处理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（1）执法人员应当按照检查方案开展监督检查活动</w:t>
      </w:r>
      <w:r>
        <w:rPr>
          <w:rFonts w:hint="eastAsia" w:ascii="仿宋_GB2312" w:hAnsi="仿宋_GB2312" w:eastAsia="仿宋_GB2312" w:cs="仿宋_GB2312"/>
          <w:sz w:val="32"/>
          <w:szCs w:val="32"/>
          <w:lang w:eastAsia="zh-CN"/>
        </w:rPr>
        <w:t>并制作检查记录</w:t>
      </w:r>
      <w:r>
        <w:rPr>
          <w:rFonts w:hint="eastAsia" w:ascii="仿宋_GB2312" w:hAnsi="仿宋_GB2312" w:eastAsia="仿宋_GB2312" w:cs="仿宋_GB2312"/>
          <w:sz w:val="32"/>
          <w:szCs w:val="32"/>
        </w:rPr>
        <w:t>。如实记录检查的时间、地点、内容、发现的问题及处理情况</w:t>
      </w:r>
      <w:r>
        <w:rPr>
          <w:rFonts w:hint="eastAsia" w:ascii="仿宋_GB2312" w:hAnsi="仿宋_GB2312" w:eastAsia="仿宋_GB2312" w:cs="仿宋_GB2312"/>
          <w:sz w:val="32"/>
          <w:szCs w:val="32"/>
          <w:lang w:eastAsia="zh-CN"/>
        </w:rPr>
        <w:t>。如</w:t>
      </w:r>
      <w:r>
        <w:rPr>
          <w:rFonts w:hint="eastAsia" w:ascii="仿宋_GB2312" w:hAnsi="仿宋_GB2312" w:eastAsia="仿宋_GB2312" w:cs="仿宋_GB2312"/>
          <w:sz w:val="32"/>
          <w:szCs w:val="32"/>
        </w:rPr>
        <w:t>发现存在安全生产违法行为，应当当场予以纠正或者要求限期改正。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（2）对生产经营单位被责令限期改正的，执法部门应当按照“谁检查、谁负责”的原则，在规定的时间内对整改情况进行复查。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（3）对检查中发现生产经营单位或者有关人员有违反安全生产法律法规的行为，依法应当给予行政处罚的，应当依法立案调查、实施行政处罚。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3.归档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监督检查工作结束后，</w:t>
      </w:r>
      <w:r>
        <w:rPr>
          <w:rFonts w:hint="eastAsia" w:ascii="仿宋_GB2312" w:hAnsi="仿宋_GB2312" w:eastAsia="仿宋_GB2312" w:cs="仿宋_GB2312"/>
          <w:sz w:val="32"/>
          <w:szCs w:val="32"/>
          <w:lang w:eastAsia="zh-CN"/>
        </w:rPr>
        <w:t>执法人员</w:t>
      </w:r>
      <w:r>
        <w:rPr>
          <w:rFonts w:hint="eastAsia" w:ascii="仿宋_GB2312" w:hAnsi="仿宋_GB2312" w:eastAsia="仿宋_GB2312" w:cs="仿宋_GB2312"/>
          <w:sz w:val="32"/>
          <w:szCs w:val="32"/>
        </w:rPr>
        <w:t>应当将现场检查方案、检查笔录、现场处理文书等一并归档；对于立案调查，需要实施行政处罚的，还应当将行政处罚告知书、行政处罚决定书、送达回执、处罚落实情况等相关文书及证据材料一并归档。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4.公示、</w:t>
      </w:r>
      <w:r>
        <w:rPr>
          <w:rFonts w:hint="eastAsia" w:ascii="仿宋_GB2312" w:hAnsi="仿宋_GB2312" w:eastAsia="仿宋_GB2312" w:cs="仿宋_GB2312"/>
          <w:sz w:val="32"/>
          <w:szCs w:val="32"/>
          <w:lang w:eastAsia="zh-CN"/>
        </w:rPr>
        <w:t>备案</w:t>
      </w:r>
      <w:r>
        <w:rPr>
          <w:rFonts w:hint="eastAsia" w:ascii="仿宋_GB2312" w:hAnsi="仿宋_GB2312" w:eastAsia="仿宋_GB2312" w:cs="仿宋_GB2312"/>
          <w:sz w:val="32"/>
          <w:szCs w:val="32"/>
        </w:rPr>
        <w:t>和督办</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执法部门应当严格执行本年度监督检查计划,并将本部门检查单位情况及时填报至市局行政执法系统，每年7月15日前和次年1月15日前将本部门半年和全年监督检查完成情况录入局行政执法系统。局法制部门按规定做好年度监督检查计划的备案、公示、督办和总结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5.调整、报批程序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经区政府批准的局年度监督检查计划，原则上不予调整。确实因工作需要进行部分调整或者变更</w:t>
      </w:r>
      <w:r>
        <w:rPr>
          <w:rFonts w:hint="eastAsia" w:ascii="仿宋_GB2312" w:hAnsi="仿宋_GB2312" w:eastAsia="仿宋_GB2312" w:cs="仿宋_GB2312"/>
          <w:sz w:val="32"/>
          <w:szCs w:val="32"/>
          <w:lang w:eastAsia="zh-CN"/>
        </w:rPr>
        <w:t>的，经本执法部门科务会（队务会）审议通过后，由执法部门书面提出具体调整或者变更意见，报法制科备案。局年度监督检查计划需要进行重大调整，</w:t>
      </w:r>
      <w:r>
        <w:rPr>
          <w:rFonts w:hint="eastAsia" w:ascii="仿宋_GB2312" w:hAnsi="仿宋_GB2312" w:eastAsia="仿宋_GB2312" w:cs="仿宋_GB2312"/>
          <w:sz w:val="32"/>
          <w:szCs w:val="32"/>
        </w:rPr>
        <w:t>即重点检查单位数量超过原计划10%以上低于20%的经主管领导同意，报局法制部门并经局集体审议通过后实行，形成正式文件并报市局备案。年度监督检查计划需要进行重大调整，即重点检查单位数量减少幅度超过原计划10% 的，或者监督检查单位数量总体减少幅度超过原计划20%的，应当重新核定相应工作量，并经局集体审议决定后30日内，由局法制部门重新履行报批和备案手续。各执法部门按照调整后的监督检查计划执行。</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七、工作要求</w:t>
      </w:r>
    </w:p>
    <w:p>
      <w:pPr>
        <w:spacing w:line="560" w:lineRule="exact"/>
        <w:ind w:firstLine="640" w:firstLineChars="200"/>
        <w:rPr>
          <w:rFonts w:ascii="仿宋" w:hAnsi="仿宋" w:eastAsia="仿宋" w:cs="仿宋"/>
          <w:sz w:val="32"/>
          <w:szCs w:val="32"/>
          <w:lang w:eastAsia="zh-CN"/>
        </w:rPr>
      </w:pPr>
      <w:r>
        <w:rPr>
          <w:rFonts w:hint="eastAsia" w:ascii="楷体_GB2312" w:hAnsi="楷体_GB2312" w:eastAsia="楷体_GB2312" w:cs="楷体_GB2312"/>
          <w:sz w:val="32"/>
          <w:szCs w:val="32"/>
        </w:rPr>
        <w:t>（一）加强组织领导，确保年度监督检查计划</w:t>
      </w:r>
      <w:r>
        <w:rPr>
          <w:rFonts w:hint="eastAsia" w:ascii="楷体_GB2312" w:hAnsi="楷体_GB2312" w:eastAsia="楷体_GB2312" w:cs="楷体_GB2312"/>
          <w:sz w:val="32"/>
          <w:szCs w:val="32"/>
          <w:lang w:eastAsia="zh-CN"/>
        </w:rPr>
        <w:t>有效执行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执法部门要高度重视执法工作，亲自组织、提前谋划，把握节奏，确保监督检查任务全面落实。对于重点检查单位，必须按照检查名单、检查频次和检查时间实现全覆盖。强化执法检查与“企安安”的有机衔接，确保高质量完成年度监督检查计划。</w:t>
      </w:r>
    </w:p>
    <w:p>
      <w:pPr>
        <w:spacing w:line="560" w:lineRule="exact"/>
        <w:ind w:firstLine="640" w:firstLineChars="200"/>
        <w:rPr>
          <w:rFonts w:ascii="仿宋" w:hAnsi="仿宋" w:eastAsia="仿宋" w:cs="仿宋"/>
          <w:sz w:val="32"/>
          <w:szCs w:val="32"/>
        </w:rPr>
      </w:pP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eastAsia="zh-CN"/>
        </w:rPr>
        <w:t>加强市区协同</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严格落实分级分类执法工作要求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严格按照分级分类执法工作要求，加强与市局的沟通衔接和协同配合，科学制定本局年度监督检查计划，尽量避免重复执法或者执法缺位。确保重点检查全覆盖，一般</w:t>
      </w:r>
      <w:r>
        <w:rPr>
          <w:rFonts w:hint="eastAsia" w:ascii="仿宋_GB2312" w:hAnsi="仿宋_GB2312" w:eastAsia="仿宋_GB2312" w:cs="仿宋_GB2312"/>
          <w:sz w:val="32"/>
          <w:szCs w:val="32"/>
          <w:lang w:eastAsia="zh-CN"/>
        </w:rPr>
        <w:t>检查</w:t>
      </w:r>
      <w:r>
        <w:rPr>
          <w:rFonts w:hint="eastAsia" w:ascii="仿宋_GB2312" w:hAnsi="仿宋_GB2312" w:eastAsia="仿宋_GB2312" w:cs="仿宋_GB2312"/>
          <w:sz w:val="32"/>
          <w:szCs w:val="32"/>
        </w:rPr>
        <w:t>采用“双随机”。</w:t>
      </w:r>
    </w:p>
    <w:p>
      <w:pPr>
        <w:spacing w:line="560" w:lineRule="exact"/>
        <w:ind w:firstLine="640" w:firstLineChars="200"/>
        <w:rPr>
          <w:rFonts w:ascii="楷体_GB2312" w:hAnsi="楷体_GB2312" w:eastAsia="楷体_GB2312" w:cs="楷体_GB2312"/>
          <w:sz w:val="32"/>
          <w:szCs w:val="32"/>
          <w:lang w:eastAsia="zh-CN"/>
        </w:rPr>
      </w:pPr>
      <w:r>
        <w:rPr>
          <w:rFonts w:hint="eastAsia" w:ascii="楷体_GB2312" w:hAnsi="楷体_GB2312" w:eastAsia="楷体_GB2312" w:cs="楷体_GB2312"/>
          <w:sz w:val="32"/>
          <w:szCs w:val="32"/>
        </w:rPr>
        <w:t>（三）</w:t>
      </w:r>
      <w:r>
        <w:rPr>
          <w:rFonts w:hint="eastAsia" w:ascii="楷体_GB2312" w:hAnsi="楷体_GB2312" w:eastAsia="楷体_GB2312" w:cs="楷体_GB2312"/>
          <w:sz w:val="32"/>
          <w:szCs w:val="32"/>
          <w:lang w:eastAsia="zh-CN"/>
        </w:rPr>
        <w:t>严格规范执法</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持续</w:t>
      </w:r>
      <w:r>
        <w:rPr>
          <w:rFonts w:hint="eastAsia" w:ascii="楷体_GB2312" w:hAnsi="楷体_GB2312" w:eastAsia="楷体_GB2312" w:cs="楷体_GB2312"/>
          <w:sz w:val="32"/>
          <w:szCs w:val="32"/>
        </w:rPr>
        <w:t>提升</w:t>
      </w:r>
      <w:r>
        <w:rPr>
          <w:rFonts w:hint="eastAsia" w:ascii="楷体_GB2312" w:hAnsi="楷体_GB2312" w:eastAsia="楷体_GB2312" w:cs="楷体_GB2312"/>
          <w:sz w:val="32"/>
          <w:szCs w:val="32"/>
          <w:lang w:eastAsia="zh-CN"/>
        </w:rPr>
        <w:t>安全生产执法监管效能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执法部门要进一步规范公正文明执法，依法严肃查处各类安全生产违法行为，杜绝执法宽松软。严格落实行政执法“三项制度”，按规定及时公开相关执法信息，不断提高行政执法案件质量，严格做到事实清楚、证据确凿、程序正当、过罚相当。</w:t>
      </w: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hint="eastAsia" w:ascii="黑体" w:hAnsi="黑体" w:eastAsia="黑体" w:cs="黑体"/>
          <w:sz w:val="32"/>
          <w:szCs w:val="32"/>
        </w:rPr>
      </w:pPr>
    </w:p>
    <w:p>
      <w:pPr>
        <w:widowControl/>
        <w:spacing w:line="560" w:lineRule="exact"/>
        <w:rPr>
          <w:rFonts w:hint="eastAsia" w:ascii="黑体" w:hAnsi="黑体" w:eastAsia="黑体" w:cs="黑体"/>
          <w:sz w:val="32"/>
          <w:szCs w:val="32"/>
        </w:rPr>
      </w:pPr>
    </w:p>
    <w:p>
      <w:pPr>
        <w:widowControl/>
        <w:spacing w:line="560" w:lineRule="exact"/>
        <w:rPr>
          <w:rFonts w:ascii="仿宋_GB2312" w:hAnsi="黑体" w:eastAsia="仿宋_GB2312"/>
          <w:sz w:val="32"/>
          <w:szCs w:val="32"/>
        </w:rPr>
      </w:pPr>
    </w:p>
    <w:p>
      <w:pPr>
        <w:spacing w:line="600" w:lineRule="exact"/>
        <w:jc w:val="center"/>
        <w:rPr>
          <w:rFonts w:ascii="方正小标宋简体" w:hAnsi="仿宋" w:eastAsia="方正小标宋简体"/>
          <w:sz w:val="44"/>
          <w:szCs w:val="44"/>
        </w:rPr>
      </w:pPr>
      <w:r>
        <w:rPr>
          <w:rFonts w:hint="eastAsia" w:ascii="方正小标宋简体" w:hAnsi="仿宋" w:eastAsia="方正小标宋简体"/>
          <w:sz w:val="44"/>
          <w:szCs w:val="44"/>
        </w:rPr>
        <w:t>丰台区应急管理局</w:t>
      </w:r>
    </w:p>
    <w:p>
      <w:pPr>
        <w:spacing w:line="600" w:lineRule="exact"/>
        <w:jc w:val="center"/>
        <w:rPr>
          <w:rFonts w:ascii="方正小标宋简体" w:hAnsi="仿宋" w:eastAsia="方正小标宋简体"/>
          <w:sz w:val="44"/>
          <w:szCs w:val="44"/>
        </w:rPr>
      </w:pPr>
      <w:r>
        <w:rPr>
          <w:rFonts w:hint="eastAsia" w:ascii="方正小标宋简体" w:hAnsi="仿宋" w:eastAsia="方正小标宋简体"/>
          <w:sz w:val="44"/>
          <w:szCs w:val="44"/>
        </w:rPr>
        <w:t>行政执法工作日测算说明</w:t>
      </w:r>
    </w:p>
    <w:p>
      <w:pPr>
        <w:spacing w:line="560" w:lineRule="exact"/>
        <w:ind w:firstLine="640" w:firstLineChars="200"/>
        <w:rPr>
          <w:rFonts w:ascii="楷体_GB2312" w:hAnsi="仿宋" w:eastAsia="楷体_GB2312"/>
          <w:sz w:val="32"/>
          <w:szCs w:val="32"/>
        </w:rPr>
      </w:pPr>
    </w:p>
    <w:p>
      <w:pPr>
        <w:spacing w:line="560" w:lineRule="exact"/>
        <w:ind w:firstLine="640" w:firstLineChars="200"/>
        <w:rPr>
          <w:rFonts w:ascii="楷体_GB2312" w:hAnsi="仿宋" w:eastAsia="楷体_GB2312"/>
          <w:sz w:val="32"/>
          <w:szCs w:val="32"/>
        </w:rPr>
      </w:pPr>
      <w:r>
        <w:rPr>
          <w:rFonts w:hint="eastAsia" w:ascii="黑体" w:hAnsi="黑体" w:eastAsia="黑体"/>
          <w:sz w:val="32"/>
          <w:szCs w:val="32"/>
        </w:rPr>
        <w:t>一、总法定工作日：</w:t>
      </w:r>
      <w:r>
        <w:rPr>
          <w:rFonts w:hint="eastAsia" w:ascii="黑体" w:hAnsi="黑体" w:eastAsia="黑体"/>
          <w:sz w:val="32"/>
          <w:szCs w:val="32"/>
          <w:lang w:eastAsia="zh-CN"/>
        </w:rPr>
        <w:t>9920</w:t>
      </w:r>
      <w:r>
        <w:rPr>
          <w:rFonts w:hint="eastAsia" w:ascii="黑体" w:hAnsi="黑体" w:eastAsia="黑体"/>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lang w:eastAsia="zh-CN"/>
        </w:rPr>
        <w:t>2025</w:t>
      </w:r>
      <w:r>
        <w:rPr>
          <w:rFonts w:hint="eastAsia" w:ascii="仿宋_GB2312" w:hAnsi="仿宋" w:eastAsia="仿宋_GB2312"/>
          <w:sz w:val="32"/>
          <w:szCs w:val="32"/>
        </w:rPr>
        <w:t>年全年共36</w:t>
      </w:r>
      <w:r>
        <w:rPr>
          <w:rFonts w:hint="eastAsia" w:ascii="仿宋_GB2312" w:hAnsi="仿宋" w:eastAsia="仿宋_GB2312"/>
          <w:sz w:val="32"/>
          <w:szCs w:val="32"/>
          <w:lang w:eastAsia="zh-CN"/>
        </w:rPr>
        <w:t>5</w:t>
      </w:r>
      <w:r>
        <w:rPr>
          <w:rFonts w:hint="eastAsia" w:ascii="仿宋_GB2312" w:hAnsi="仿宋" w:eastAsia="仿宋_GB2312"/>
          <w:sz w:val="32"/>
          <w:szCs w:val="32"/>
        </w:rPr>
        <w:t>天，有5</w:t>
      </w:r>
      <w:r>
        <w:rPr>
          <w:rFonts w:hint="eastAsia" w:ascii="仿宋_GB2312" w:hAnsi="仿宋" w:eastAsia="仿宋_GB2312"/>
          <w:sz w:val="32"/>
          <w:szCs w:val="32"/>
          <w:lang w:eastAsia="zh-CN"/>
        </w:rPr>
        <w:t>3</w:t>
      </w:r>
      <w:r>
        <w:rPr>
          <w:rFonts w:hint="eastAsia" w:ascii="仿宋_GB2312" w:hAnsi="仿宋" w:eastAsia="仿宋_GB2312"/>
          <w:sz w:val="32"/>
          <w:szCs w:val="32"/>
        </w:rPr>
        <w:t>周，双休日10</w:t>
      </w:r>
      <w:r>
        <w:rPr>
          <w:rFonts w:hint="eastAsia" w:ascii="仿宋_GB2312" w:hAnsi="仿宋" w:eastAsia="仿宋_GB2312"/>
          <w:sz w:val="32"/>
          <w:szCs w:val="32"/>
          <w:lang w:eastAsia="zh-CN"/>
        </w:rPr>
        <w:t>4</w:t>
      </w:r>
      <w:r>
        <w:rPr>
          <w:rFonts w:hint="eastAsia" w:ascii="仿宋_GB2312" w:hAnsi="仿宋" w:eastAsia="仿宋_GB2312"/>
          <w:sz w:val="32"/>
          <w:szCs w:val="32"/>
        </w:rPr>
        <w:t>天，元旦、春节、五一、端午、国庆等法定假日共计1</w:t>
      </w:r>
      <w:r>
        <w:rPr>
          <w:rFonts w:hint="eastAsia" w:ascii="仿宋_GB2312" w:hAnsi="仿宋" w:eastAsia="仿宋_GB2312"/>
          <w:sz w:val="32"/>
          <w:szCs w:val="32"/>
          <w:lang w:eastAsia="zh-CN"/>
        </w:rPr>
        <w:t>3</w:t>
      </w:r>
      <w:r>
        <w:rPr>
          <w:rFonts w:hint="eastAsia" w:ascii="仿宋_GB2312" w:hAnsi="仿宋" w:eastAsia="仿宋_GB2312"/>
          <w:sz w:val="32"/>
          <w:szCs w:val="32"/>
        </w:rPr>
        <w:t>天。国家法定工作日=36</w:t>
      </w:r>
      <w:r>
        <w:rPr>
          <w:rFonts w:hint="eastAsia" w:ascii="仿宋_GB2312" w:hAnsi="仿宋" w:eastAsia="仿宋_GB2312"/>
          <w:sz w:val="32"/>
          <w:szCs w:val="32"/>
          <w:lang w:eastAsia="zh-CN"/>
        </w:rPr>
        <w:t>5</w:t>
      </w:r>
      <w:r>
        <w:rPr>
          <w:rFonts w:hint="eastAsia" w:ascii="仿宋_GB2312" w:hAnsi="仿宋" w:eastAsia="仿宋_GB2312"/>
          <w:sz w:val="32"/>
          <w:szCs w:val="32"/>
        </w:rPr>
        <w:t>-10</w:t>
      </w:r>
      <w:r>
        <w:rPr>
          <w:rFonts w:hint="eastAsia" w:ascii="仿宋_GB2312" w:hAnsi="仿宋" w:eastAsia="仿宋_GB2312"/>
          <w:sz w:val="32"/>
          <w:szCs w:val="32"/>
          <w:lang w:eastAsia="zh-CN"/>
        </w:rPr>
        <w:t>4</w:t>
      </w:r>
      <w:r>
        <w:rPr>
          <w:rFonts w:hint="eastAsia" w:ascii="仿宋_GB2312" w:hAnsi="仿宋" w:eastAsia="仿宋_GB2312"/>
          <w:sz w:val="32"/>
          <w:szCs w:val="32"/>
        </w:rPr>
        <w:t>-1</w:t>
      </w:r>
      <w:r>
        <w:rPr>
          <w:rFonts w:hint="eastAsia" w:ascii="仿宋_GB2312" w:hAnsi="仿宋" w:eastAsia="仿宋_GB2312"/>
          <w:sz w:val="32"/>
          <w:szCs w:val="32"/>
          <w:lang w:eastAsia="zh-CN"/>
        </w:rPr>
        <w:t>3</w:t>
      </w:r>
      <w:r>
        <w:rPr>
          <w:rFonts w:hint="eastAsia" w:ascii="仿宋_GB2312" w:hAnsi="仿宋" w:eastAsia="仿宋_GB2312"/>
          <w:sz w:val="32"/>
          <w:szCs w:val="32"/>
        </w:rPr>
        <w:t>=2</w:t>
      </w:r>
      <w:r>
        <w:rPr>
          <w:rFonts w:hint="eastAsia" w:ascii="仿宋_GB2312" w:hAnsi="仿宋" w:eastAsia="仿宋_GB2312"/>
          <w:sz w:val="32"/>
          <w:szCs w:val="32"/>
          <w:lang w:eastAsia="zh-CN"/>
        </w:rPr>
        <w:t>48</w:t>
      </w:r>
      <w:r>
        <w:rPr>
          <w:rFonts w:hint="eastAsia" w:ascii="仿宋_GB2312" w:hAnsi="仿宋" w:eastAsia="仿宋_GB2312"/>
          <w:sz w:val="32"/>
          <w:szCs w:val="32"/>
        </w:rPr>
        <w:t>天。目前，区应急管理局定编在册人数为</w:t>
      </w:r>
      <w:r>
        <w:rPr>
          <w:rFonts w:hint="eastAsia" w:ascii="仿宋_GB2312" w:hAnsi="仿宋" w:eastAsia="仿宋_GB2312"/>
          <w:sz w:val="32"/>
          <w:szCs w:val="32"/>
          <w:lang w:eastAsia="zh-CN"/>
        </w:rPr>
        <w:t>55</w:t>
      </w:r>
      <w:r>
        <w:rPr>
          <w:rFonts w:hint="eastAsia" w:ascii="仿宋_GB2312" w:hAnsi="仿宋" w:eastAsia="仿宋_GB2312"/>
          <w:sz w:val="32"/>
          <w:szCs w:val="32"/>
        </w:rPr>
        <w:t>人，实际纳入执法工作日计算的执法人员</w:t>
      </w:r>
      <w:r>
        <w:rPr>
          <w:rFonts w:hint="eastAsia" w:ascii="仿宋_GB2312" w:hAnsi="仿宋" w:eastAsia="仿宋_GB2312"/>
          <w:sz w:val="32"/>
          <w:szCs w:val="32"/>
          <w:lang w:eastAsia="zh-CN"/>
        </w:rPr>
        <w:t>40</w:t>
      </w:r>
      <w:r>
        <w:rPr>
          <w:rFonts w:hint="eastAsia" w:ascii="仿宋_GB2312" w:hAnsi="仿宋" w:eastAsia="仿宋_GB2312"/>
          <w:sz w:val="32"/>
          <w:szCs w:val="32"/>
        </w:rPr>
        <w:t>人，占定编在册人员的</w:t>
      </w:r>
      <w:r>
        <w:rPr>
          <w:rFonts w:hint="eastAsia" w:ascii="仿宋_GB2312" w:hAnsi="仿宋" w:eastAsia="仿宋_GB2312"/>
          <w:sz w:val="32"/>
          <w:szCs w:val="32"/>
          <w:lang w:eastAsia="zh-CN"/>
        </w:rPr>
        <w:t>72</w:t>
      </w:r>
      <w:r>
        <w:rPr>
          <w:rFonts w:hint="eastAsia" w:ascii="仿宋_GB2312" w:hAnsi="仿宋" w:eastAsia="仿宋_GB2312"/>
          <w:sz w:val="32"/>
          <w:szCs w:val="32"/>
        </w:rPr>
        <w:t>%。</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总法定工作日=国家法定工作日×执法人员数量=2</w:t>
      </w:r>
      <w:r>
        <w:rPr>
          <w:rFonts w:hint="eastAsia" w:ascii="仿宋_GB2312" w:hAnsi="仿宋" w:eastAsia="仿宋_GB2312"/>
          <w:sz w:val="32"/>
          <w:szCs w:val="32"/>
          <w:lang w:eastAsia="zh-CN"/>
        </w:rPr>
        <w:t>48</w:t>
      </w:r>
      <w:r>
        <w:rPr>
          <w:rFonts w:hint="eastAsia" w:ascii="仿宋_GB2312" w:hAnsi="仿宋" w:eastAsia="仿宋_GB2312"/>
          <w:sz w:val="32"/>
          <w:szCs w:val="32"/>
        </w:rPr>
        <w:t>×40=</w:t>
      </w:r>
      <w:r>
        <w:rPr>
          <w:rFonts w:hint="eastAsia" w:ascii="仿宋_GB2312" w:hAnsi="仿宋" w:eastAsia="仿宋_GB2312"/>
          <w:sz w:val="32"/>
          <w:szCs w:val="32"/>
          <w:lang w:eastAsia="zh-CN"/>
        </w:rPr>
        <w:t>9920</w:t>
      </w:r>
      <w:r>
        <w:rPr>
          <w:rFonts w:hint="eastAsia" w:ascii="仿宋_GB2312" w:hAnsi="仿宋" w:eastAsia="仿宋_GB2312"/>
          <w:sz w:val="32"/>
          <w:szCs w:val="32"/>
        </w:rPr>
        <w:t>。</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监督检查工作日：</w:t>
      </w:r>
      <w:r>
        <w:rPr>
          <w:rFonts w:hint="eastAsia" w:ascii="黑体" w:hAnsi="黑体" w:eastAsia="黑体" w:cs="黑体"/>
          <w:sz w:val="32"/>
          <w:szCs w:val="32"/>
          <w:lang w:eastAsia="zh-CN"/>
        </w:rPr>
        <w:t>1700个工作日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监督检查工作日=总法定工作日-其他执法工作日-非执法工作日=</w:t>
      </w:r>
      <w:r>
        <w:rPr>
          <w:rFonts w:hint="eastAsia" w:ascii="仿宋_GB2312" w:hAnsi="仿宋" w:eastAsia="仿宋_GB2312"/>
          <w:sz w:val="32"/>
          <w:szCs w:val="32"/>
          <w:lang w:eastAsia="zh-CN"/>
        </w:rPr>
        <w:t>9920</w:t>
      </w:r>
      <w:r>
        <w:rPr>
          <w:rFonts w:hint="eastAsia" w:ascii="仿宋_GB2312" w:hAnsi="仿宋" w:eastAsia="仿宋_GB2312"/>
          <w:sz w:val="32"/>
          <w:szCs w:val="32"/>
        </w:rPr>
        <w:t>-4120-4100=17</w:t>
      </w:r>
      <w:r>
        <w:rPr>
          <w:rFonts w:hint="eastAsia" w:ascii="仿宋_GB2312" w:hAnsi="仿宋" w:eastAsia="仿宋_GB2312"/>
          <w:sz w:val="32"/>
          <w:szCs w:val="32"/>
          <w:lang w:eastAsia="zh-CN"/>
        </w:rPr>
        <w:t>0</w:t>
      </w:r>
      <w:r>
        <w:rPr>
          <w:rFonts w:hint="eastAsia" w:ascii="仿宋_GB2312" w:hAnsi="仿宋" w:eastAsia="仿宋_GB2312"/>
          <w:sz w:val="32"/>
          <w:szCs w:val="32"/>
        </w:rPr>
        <w:t>0。</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三、其他行政执法工作日：4120个工作日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以下事项确定的次数、人数及占用工作日等参考前3年，特别是</w:t>
      </w:r>
      <w:r>
        <w:rPr>
          <w:rFonts w:hint="eastAsia" w:ascii="仿宋_GB2312" w:hAnsi="仿宋" w:eastAsia="仿宋_GB2312"/>
          <w:sz w:val="32"/>
          <w:szCs w:val="32"/>
          <w:lang w:eastAsia="zh-CN"/>
        </w:rPr>
        <w:t>2024</w:t>
      </w:r>
      <w:r>
        <w:rPr>
          <w:rFonts w:hint="eastAsia" w:ascii="仿宋_GB2312" w:hAnsi="仿宋" w:eastAsia="仿宋_GB2312"/>
          <w:sz w:val="32"/>
          <w:szCs w:val="32"/>
        </w:rPr>
        <w:t>年度的行政执法工作进行测算，并对各科室队上报预测情况进行了汇总测算。</w:t>
      </w:r>
    </w:p>
    <w:p>
      <w:pPr>
        <w:numPr>
          <w:ilvl w:val="0"/>
          <w:numId w:val="2"/>
        </w:numPr>
        <w:adjustRightInd w:val="0"/>
        <w:snapToGrid w:val="0"/>
        <w:spacing w:line="560" w:lineRule="exact"/>
        <w:rPr>
          <w:rFonts w:ascii="仿宋_GB2312" w:hAnsi="仿宋" w:eastAsia="仿宋_GB2312"/>
          <w:sz w:val="32"/>
          <w:szCs w:val="32"/>
          <w:lang w:eastAsia="zh-CN"/>
        </w:rPr>
      </w:pPr>
      <w:r>
        <w:rPr>
          <w:rFonts w:hint="eastAsia" w:ascii="楷体_GB2312" w:hAnsi="仿宋" w:eastAsia="楷体_GB2312"/>
          <w:sz w:val="32"/>
          <w:szCs w:val="32"/>
        </w:rPr>
        <w:t>开展安全生产综合监管：</w:t>
      </w:r>
      <w:r>
        <w:rPr>
          <w:rFonts w:hint="eastAsia" w:ascii="仿宋_GB2312" w:hAnsi="仿宋" w:eastAsia="仿宋_GB2312"/>
          <w:sz w:val="32"/>
          <w:szCs w:val="32"/>
        </w:rPr>
        <w:t>预计需用94</w:t>
      </w:r>
      <w:r>
        <w:rPr>
          <w:rFonts w:hint="eastAsia" w:ascii="仿宋_GB2312" w:hAnsi="仿宋" w:eastAsia="仿宋_GB2312"/>
          <w:sz w:val="32"/>
          <w:szCs w:val="32"/>
          <w:lang w:eastAsia="zh-CN"/>
        </w:rPr>
        <w:t>2</w:t>
      </w:r>
      <w:r>
        <w:rPr>
          <w:rFonts w:hint="eastAsia" w:ascii="仿宋_GB2312" w:hAnsi="仿宋" w:eastAsia="仿宋_GB2312"/>
          <w:sz w:val="32"/>
          <w:szCs w:val="32"/>
        </w:rPr>
        <w:t>个工作日（根</w:t>
      </w:r>
    </w:p>
    <w:p>
      <w:pPr>
        <w:adjustRightInd w:val="0"/>
        <w:snapToGrid w:val="0"/>
        <w:spacing w:line="560" w:lineRule="exact"/>
        <w:rPr>
          <w:rFonts w:ascii="仿宋_GB2312" w:hAnsi="仿宋" w:eastAsia="仿宋_GB2312"/>
          <w:sz w:val="32"/>
          <w:szCs w:val="32"/>
        </w:rPr>
      </w:pPr>
      <w:r>
        <w:rPr>
          <w:rFonts w:hint="eastAsia" w:ascii="仿宋_GB2312" w:hAnsi="仿宋" w:eastAsia="仿宋_GB2312"/>
          <w:sz w:val="32"/>
          <w:szCs w:val="32"/>
        </w:rPr>
        <w:t>据前3年度的平均值测算）。</w:t>
      </w:r>
    </w:p>
    <w:p>
      <w:pPr>
        <w:spacing w:line="560" w:lineRule="exact"/>
        <w:ind w:firstLine="640" w:firstLineChars="200"/>
        <w:rPr>
          <w:rFonts w:ascii="仿宋_GB2312" w:hAnsi="仿宋" w:eastAsia="仿宋_GB2312"/>
          <w:sz w:val="32"/>
          <w:szCs w:val="32"/>
        </w:rPr>
      </w:pPr>
      <w:r>
        <w:rPr>
          <w:rFonts w:hint="eastAsia" w:ascii="楷体_GB2312" w:hAnsi="仿宋" w:eastAsia="楷体_GB2312"/>
          <w:sz w:val="32"/>
          <w:szCs w:val="32"/>
        </w:rPr>
        <w:t>（二）实施行政许可：</w:t>
      </w:r>
      <w:r>
        <w:rPr>
          <w:rFonts w:hint="eastAsia" w:ascii="仿宋_GB2312" w:hAnsi="仿宋" w:eastAsia="仿宋_GB2312"/>
          <w:sz w:val="32"/>
          <w:szCs w:val="32"/>
        </w:rPr>
        <w:t>预计需用283个工作日。</w:t>
      </w:r>
    </w:p>
    <w:tbl>
      <w:tblPr>
        <w:tblStyle w:val="8"/>
        <w:tblW w:w="8640" w:type="dxa"/>
        <w:tblInd w:w="250" w:type="dxa"/>
        <w:tblLayout w:type="fixed"/>
        <w:tblCellMar>
          <w:top w:w="0" w:type="dxa"/>
          <w:left w:w="108" w:type="dxa"/>
          <w:bottom w:w="0" w:type="dxa"/>
          <w:right w:w="108" w:type="dxa"/>
        </w:tblCellMar>
      </w:tblPr>
      <w:tblGrid>
        <w:gridCol w:w="708"/>
        <w:gridCol w:w="2974"/>
        <w:gridCol w:w="708"/>
        <w:gridCol w:w="1559"/>
        <w:gridCol w:w="1133"/>
        <w:gridCol w:w="1558"/>
      </w:tblGrid>
      <w:tr>
        <w:tblPrEx>
          <w:tblCellMar>
            <w:top w:w="0" w:type="dxa"/>
            <w:left w:w="108" w:type="dxa"/>
            <w:bottom w:w="0" w:type="dxa"/>
            <w:right w:w="108" w:type="dxa"/>
          </w:tblCellMar>
        </w:tblPrEx>
        <w:trPr>
          <w:trHeight w:val="424" w:hRule="atLeast"/>
        </w:trPr>
        <w:tc>
          <w:tcPr>
            <w:tcW w:w="70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序号</w:t>
            </w:r>
          </w:p>
        </w:tc>
        <w:tc>
          <w:tcPr>
            <w:tcW w:w="2974"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许可名称</w:t>
            </w:r>
          </w:p>
        </w:tc>
        <w:tc>
          <w:tcPr>
            <w:tcW w:w="70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数量</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参与人员</w:t>
            </w:r>
          </w:p>
        </w:tc>
        <w:tc>
          <w:tcPr>
            <w:tcW w:w="1133"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工作日</w:t>
            </w:r>
          </w:p>
        </w:tc>
        <w:tc>
          <w:tcPr>
            <w:tcW w:w="155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共计工作日</w:t>
            </w:r>
          </w:p>
        </w:tc>
      </w:tr>
      <w:tr>
        <w:tblPrEx>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1</w:t>
            </w:r>
          </w:p>
        </w:tc>
        <w:tc>
          <w:tcPr>
            <w:tcW w:w="2974"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危险化学品经营许可</w:t>
            </w:r>
          </w:p>
        </w:tc>
        <w:tc>
          <w:tcPr>
            <w:tcW w:w="70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40</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受理1人</w:t>
            </w:r>
          </w:p>
        </w:tc>
        <w:tc>
          <w:tcPr>
            <w:tcW w:w="1133"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2</w:t>
            </w:r>
          </w:p>
        </w:tc>
        <w:tc>
          <w:tcPr>
            <w:tcW w:w="155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80</w:t>
            </w:r>
          </w:p>
        </w:tc>
      </w:tr>
      <w:tr>
        <w:tblPrEx>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560" w:lineRule="exact"/>
              <w:jc w:val="left"/>
              <w:rPr>
                <w:rFonts w:ascii="仿宋_GB2312" w:hAnsi="宋体" w:eastAsia="仿宋_GB2312"/>
                <w:sz w:val="24"/>
              </w:rPr>
            </w:pPr>
          </w:p>
        </w:tc>
        <w:tc>
          <w:tcPr>
            <w:tcW w:w="297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560" w:lineRule="exact"/>
              <w:jc w:val="left"/>
              <w:rPr>
                <w:rFonts w:ascii="仿宋_GB2312" w:hAnsi="宋体" w:eastAsia="仿宋_GB2312"/>
                <w:sz w:val="24"/>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40</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审核2人</w:t>
            </w:r>
          </w:p>
        </w:tc>
        <w:tc>
          <w:tcPr>
            <w:tcW w:w="1133"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0.5</w:t>
            </w:r>
          </w:p>
        </w:tc>
        <w:tc>
          <w:tcPr>
            <w:tcW w:w="155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40</w:t>
            </w:r>
          </w:p>
        </w:tc>
      </w:tr>
      <w:tr>
        <w:tblPrEx>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lang w:eastAsia="zh-CN"/>
              </w:rPr>
            </w:pPr>
            <w:r>
              <w:rPr>
                <w:rFonts w:hint="eastAsia" w:ascii="仿宋_GB2312" w:hAnsi="宋体" w:eastAsia="仿宋_GB2312"/>
                <w:sz w:val="24"/>
                <w:lang w:eastAsia="zh-CN"/>
              </w:rPr>
              <w:t>2</w:t>
            </w:r>
          </w:p>
        </w:tc>
        <w:tc>
          <w:tcPr>
            <w:tcW w:w="2974"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危险化学品建设项目安全条件审查</w:t>
            </w:r>
          </w:p>
        </w:tc>
        <w:tc>
          <w:tcPr>
            <w:tcW w:w="70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16</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受理1人</w:t>
            </w:r>
          </w:p>
        </w:tc>
        <w:tc>
          <w:tcPr>
            <w:tcW w:w="1133"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0.5</w:t>
            </w:r>
          </w:p>
        </w:tc>
        <w:tc>
          <w:tcPr>
            <w:tcW w:w="155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lang w:eastAsia="zh-CN"/>
              </w:rPr>
            </w:pPr>
            <w:r>
              <w:rPr>
                <w:rFonts w:hint="eastAsia" w:ascii="仿宋_GB2312" w:hAnsi="宋体" w:eastAsia="仿宋_GB2312"/>
                <w:sz w:val="24"/>
                <w:lang w:eastAsia="zh-CN"/>
              </w:rPr>
              <w:t>12</w:t>
            </w:r>
          </w:p>
        </w:tc>
      </w:tr>
      <w:tr>
        <w:tblPrEx>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560" w:lineRule="exact"/>
              <w:jc w:val="left"/>
              <w:rPr>
                <w:rFonts w:ascii="仿宋_GB2312" w:hAnsi="宋体" w:eastAsia="仿宋_GB2312"/>
                <w:sz w:val="24"/>
              </w:rPr>
            </w:pPr>
          </w:p>
        </w:tc>
        <w:tc>
          <w:tcPr>
            <w:tcW w:w="297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560" w:lineRule="exact"/>
              <w:jc w:val="left"/>
              <w:rPr>
                <w:rFonts w:ascii="仿宋_GB2312" w:hAnsi="宋体" w:eastAsia="仿宋_GB2312"/>
                <w:sz w:val="24"/>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16</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审核2人</w:t>
            </w:r>
          </w:p>
        </w:tc>
        <w:tc>
          <w:tcPr>
            <w:tcW w:w="1133"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1</w:t>
            </w:r>
          </w:p>
        </w:tc>
        <w:tc>
          <w:tcPr>
            <w:tcW w:w="155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32</w:t>
            </w:r>
          </w:p>
        </w:tc>
      </w:tr>
      <w:tr>
        <w:tblPrEx>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lang w:eastAsia="zh-CN"/>
              </w:rPr>
            </w:pPr>
            <w:r>
              <w:rPr>
                <w:rFonts w:hint="eastAsia" w:ascii="仿宋_GB2312" w:hAnsi="宋体" w:eastAsia="仿宋_GB2312"/>
                <w:sz w:val="24"/>
                <w:lang w:eastAsia="zh-CN"/>
              </w:rPr>
              <w:t>3</w:t>
            </w:r>
          </w:p>
        </w:tc>
        <w:tc>
          <w:tcPr>
            <w:tcW w:w="2974"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cs="宋体"/>
                <w:sz w:val="24"/>
              </w:rPr>
              <w:t>危险化学品应急预案备案</w:t>
            </w:r>
          </w:p>
        </w:tc>
        <w:tc>
          <w:tcPr>
            <w:tcW w:w="70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40</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备案1人</w:t>
            </w:r>
          </w:p>
        </w:tc>
        <w:tc>
          <w:tcPr>
            <w:tcW w:w="1133"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2</w:t>
            </w:r>
          </w:p>
        </w:tc>
        <w:tc>
          <w:tcPr>
            <w:tcW w:w="155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80</w:t>
            </w:r>
          </w:p>
        </w:tc>
      </w:tr>
      <w:tr>
        <w:tblPrEx>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lang w:eastAsia="zh-CN"/>
              </w:rPr>
            </w:pPr>
            <w:r>
              <w:rPr>
                <w:rFonts w:hint="eastAsia" w:ascii="仿宋_GB2312" w:hAnsi="宋体" w:eastAsia="仿宋_GB2312"/>
                <w:sz w:val="24"/>
                <w:lang w:eastAsia="zh-CN"/>
              </w:rPr>
              <w:t>4</w:t>
            </w:r>
          </w:p>
        </w:tc>
        <w:tc>
          <w:tcPr>
            <w:tcW w:w="2974"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cs="宋体"/>
                <w:sz w:val="24"/>
              </w:rPr>
              <w:t>非药品类易制毒化学品备案</w:t>
            </w:r>
          </w:p>
        </w:tc>
        <w:tc>
          <w:tcPr>
            <w:tcW w:w="70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7</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备案1人</w:t>
            </w:r>
          </w:p>
        </w:tc>
        <w:tc>
          <w:tcPr>
            <w:tcW w:w="1133"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1</w:t>
            </w:r>
          </w:p>
        </w:tc>
        <w:tc>
          <w:tcPr>
            <w:tcW w:w="155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7</w:t>
            </w:r>
          </w:p>
        </w:tc>
      </w:tr>
      <w:tr>
        <w:tblPrEx>
          <w:tblCellMar>
            <w:top w:w="0" w:type="dxa"/>
            <w:left w:w="108" w:type="dxa"/>
            <w:bottom w:w="0" w:type="dxa"/>
            <w:right w:w="108" w:type="dxa"/>
          </w:tblCellMar>
        </w:tblPrEx>
        <w:trPr>
          <w:trHeight w:val="620" w:hRule="atLeast"/>
        </w:trPr>
        <w:tc>
          <w:tcPr>
            <w:tcW w:w="70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lang w:eastAsia="zh-CN"/>
              </w:rPr>
            </w:pPr>
            <w:r>
              <w:rPr>
                <w:rFonts w:hint="eastAsia" w:ascii="仿宋_GB2312" w:hAnsi="宋体" w:eastAsia="仿宋_GB2312"/>
                <w:sz w:val="24"/>
                <w:lang w:eastAsia="zh-CN"/>
              </w:rPr>
              <w:t>5</w:t>
            </w:r>
          </w:p>
        </w:tc>
        <w:tc>
          <w:tcPr>
            <w:tcW w:w="2974"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cs="宋体"/>
                <w:sz w:val="24"/>
              </w:rPr>
              <w:t>加油站改造验收</w:t>
            </w:r>
          </w:p>
        </w:tc>
        <w:tc>
          <w:tcPr>
            <w:tcW w:w="70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16</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审核2人</w:t>
            </w:r>
          </w:p>
        </w:tc>
        <w:tc>
          <w:tcPr>
            <w:tcW w:w="1133"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hAnsi="宋体" w:eastAsia="仿宋_GB2312"/>
                <w:sz w:val="24"/>
              </w:rPr>
            </w:pPr>
            <w:r>
              <w:rPr>
                <w:rFonts w:hint="eastAsia" w:ascii="仿宋_GB2312" w:hAnsi="宋体" w:eastAsia="仿宋_GB2312"/>
                <w:sz w:val="24"/>
              </w:rPr>
              <w:t>1</w:t>
            </w:r>
          </w:p>
        </w:tc>
        <w:tc>
          <w:tcPr>
            <w:tcW w:w="1558" w:type="dxa"/>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ascii="Calibri" w:hAnsi="Calibri" w:eastAsia="Times New Roman"/>
              </w:rPr>
            </w:pPr>
            <w:r>
              <w:rPr>
                <w:rFonts w:hint="eastAsia" w:ascii="宋体" w:hAnsi="宋体"/>
              </w:rPr>
              <w:t>32</w:t>
            </w:r>
          </w:p>
        </w:tc>
      </w:tr>
    </w:tbl>
    <w:p>
      <w:pPr>
        <w:spacing w:line="560" w:lineRule="exact"/>
        <w:ind w:firstLine="640" w:firstLineChars="200"/>
        <w:rPr>
          <w:rFonts w:ascii="仿宋_GB2312" w:hAnsi="宋体" w:eastAsia="仿宋_GB2312"/>
          <w:sz w:val="32"/>
          <w:szCs w:val="32"/>
        </w:rPr>
      </w:pPr>
      <w:r>
        <w:rPr>
          <w:rFonts w:hint="eastAsia" w:ascii="楷体_GB2312" w:hAnsi="仿宋" w:eastAsia="楷体_GB2312"/>
          <w:sz w:val="32"/>
          <w:szCs w:val="32"/>
        </w:rPr>
        <w:t>（三）组织生产安全事故调查和处理：</w:t>
      </w:r>
      <w:r>
        <w:rPr>
          <w:rFonts w:hint="eastAsia" w:ascii="仿宋_GB2312" w:hAnsi="宋体" w:eastAsia="仿宋_GB2312"/>
          <w:sz w:val="32"/>
          <w:szCs w:val="32"/>
        </w:rPr>
        <w:t>预计需要5</w:t>
      </w:r>
      <w:r>
        <w:rPr>
          <w:rFonts w:hint="eastAsia" w:ascii="仿宋_GB2312" w:hAnsi="宋体" w:eastAsia="仿宋_GB2312"/>
          <w:sz w:val="32"/>
          <w:szCs w:val="32"/>
          <w:lang w:eastAsia="zh-CN"/>
        </w:rPr>
        <w:t>50</w:t>
      </w:r>
      <w:r>
        <w:rPr>
          <w:rFonts w:hint="eastAsia" w:ascii="仿宋_GB2312" w:hAnsi="宋体" w:eastAsia="仿宋_GB2312"/>
          <w:sz w:val="32"/>
          <w:szCs w:val="32"/>
        </w:rPr>
        <w:t>个工作日</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lang w:eastAsia="zh-CN"/>
        </w:rPr>
        <w:t>根据三年平均值测算，</w:t>
      </w:r>
      <w:r>
        <w:rPr>
          <w:rFonts w:hint="eastAsia" w:ascii="仿宋_GB2312" w:hAnsi="宋体" w:eastAsia="仿宋_GB2312"/>
          <w:sz w:val="32"/>
          <w:szCs w:val="32"/>
        </w:rPr>
        <w:t>预计全年约有10起，参与事故调查处理，每次2人，每次调查15天，共计300天；事故处理，每次2人，每次10天，合计</w:t>
      </w:r>
      <w:r>
        <w:rPr>
          <w:rFonts w:ascii="仿宋_GB2312" w:hAnsi="宋体" w:eastAsia="仿宋_GB2312"/>
          <w:sz w:val="32"/>
          <w:szCs w:val="32"/>
        </w:rPr>
        <w:t>20</w:t>
      </w:r>
      <w:r>
        <w:rPr>
          <w:rFonts w:hint="eastAsia" w:ascii="仿宋_GB2312" w:hAnsi="宋体" w:eastAsia="仿宋_GB2312"/>
          <w:sz w:val="32"/>
          <w:szCs w:val="32"/>
        </w:rPr>
        <w:t>0天；事故调查报告起草与修订以及调查组和案审会会议平均每次2人参加，每次2天，共40天；事故案卷整理每年以10起事故计算，平均1人参加，每次1天，共计10天。</w:t>
      </w:r>
    </w:p>
    <w:p>
      <w:pPr>
        <w:adjustRightInd w:val="0"/>
        <w:snapToGrid w:val="0"/>
        <w:spacing w:line="560" w:lineRule="exact"/>
        <w:ind w:firstLine="640" w:firstLineChars="200"/>
        <w:rPr>
          <w:rFonts w:ascii="仿宋_GB2312" w:hAnsi="仿宋" w:eastAsia="仿宋_GB2312"/>
          <w:sz w:val="32"/>
          <w:szCs w:val="32"/>
        </w:rPr>
      </w:pPr>
      <w:r>
        <w:rPr>
          <w:rFonts w:hint="eastAsia" w:ascii="楷体_GB2312" w:hAnsi="仿宋" w:eastAsia="楷体_GB2312"/>
          <w:sz w:val="32"/>
          <w:szCs w:val="32"/>
        </w:rPr>
        <w:t>（四）调查核实安全生产投诉举报：</w:t>
      </w:r>
      <w:r>
        <w:rPr>
          <w:rFonts w:hint="eastAsia" w:ascii="仿宋_GB2312" w:hAnsi="仿宋" w:eastAsia="仿宋_GB2312"/>
          <w:sz w:val="32"/>
          <w:szCs w:val="32"/>
        </w:rPr>
        <w:t>预计需要2</w:t>
      </w:r>
      <w:r>
        <w:rPr>
          <w:rFonts w:hint="eastAsia" w:ascii="仿宋_GB2312" w:hAnsi="仿宋" w:eastAsia="仿宋_GB2312"/>
          <w:sz w:val="32"/>
          <w:szCs w:val="32"/>
          <w:lang w:eastAsia="zh-CN"/>
        </w:rPr>
        <w:t>69</w:t>
      </w:r>
      <w:r>
        <w:rPr>
          <w:rFonts w:hint="eastAsia" w:ascii="仿宋_GB2312" w:hAnsi="仿宋" w:eastAsia="仿宋_GB2312"/>
          <w:sz w:val="32"/>
          <w:szCs w:val="32"/>
        </w:rPr>
        <w:t>个工作日（根据前3年度的平均值测算）。</w:t>
      </w:r>
    </w:p>
    <w:p>
      <w:pPr>
        <w:adjustRightInd w:val="0"/>
        <w:snapToGrid w:val="0"/>
        <w:spacing w:line="560" w:lineRule="exact"/>
        <w:ind w:firstLine="640" w:firstLineChars="200"/>
        <w:rPr>
          <w:rFonts w:ascii="仿宋_GB2312" w:hAnsi="仿宋" w:eastAsia="仿宋_GB2312"/>
          <w:sz w:val="32"/>
          <w:szCs w:val="32"/>
        </w:rPr>
      </w:pPr>
      <w:r>
        <w:rPr>
          <w:rFonts w:hint="eastAsia" w:ascii="楷体_GB2312" w:hAnsi="仿宋" w:eastAsia="楷体_GB2312"/>
          <w:sz w:val="32"/>
          <w:szCs w:val="32"/>
        </w:rPr>
        <w:t>（五）参加有关部门联合执法：</w:t>
      </w:r>
      <w:r>
        <w:rPr>
          <w:rFonts w:hint="eastAsia" w:ascii="仿宋_GB2312" w:hAnsi="仿宋" w:eastAsia="仿宋_GB2312"/>
          <w:sz w:val="32"/>
          <w:szCs w:val="32"/>
        </w:rPr>
        <w:t>预计需用321个工作日（根据前3年度的平均值测算）。</w:t>
      </w:r>
    </w:p>
    <w:p>
      <w:pPr>
        <w:adjustRightInd w:val="0"/>
        <w:snapToGrid w:val="0"/>
        <w:spacing w:line="560" w:lineRule="exact"/>
        <w:ind w:firstLine="640" w:firstLineChars="200"/>
        <w:rPr>
          <w:rFonts w:ascii="仿宋_GB2312" w:hAnsi="仿宋" w:eastAsia="仿宋_GB2312"/>
          <w:sz w:val="32"/>
          <w:szCs w:val="32"/>
        </w:rPr>
      </w:pPr>
      <w:r>
        <w:rPr>
          <w:rFonts w:hint="eastAsia" w:ascii="楷体_GB2312" w:hAnsi="仿宋" w:eastAsia="楷体_GB2312"/>
          <w:sz w:val="32"/>
          <w:szCs w:val="32"/>
        </w:rPr>
        <w:t>（六）办理有关法律、法规、规章规定的登记、备案：</w:t>
      </w:r>
      <w:r>
        <w:rPr>
          <w:rFonts w:hint="eastAsia" w:ascii="仿宋_GB2312" w:hAnsi="仿宋" w:eastAsia="仿宋_GB2312"/>
          <w:sz w:val="32"/>
          <w:szCs w:val="32"/>
        </w:rPr>
        <w:t>预计需用5个工作日。</w:t>
      </w:r>
    </w:p>
    <w:p>
      <w:pPr>
        <w:adjustRightInd w:val="0"/>
        <w:snapToGrid w:val="0"/>
        <w:spacing w:line="560" w:lineRule="exact"/>
        <w:ind w:firstLine="640" w:firstLineChars="200"/>
        <w:rPr>
          <w:rFonts w:ascii="仿宋_GB2312" w:hAnsi="仿宋" w:eastAsia="仿宋_GB2312"/>
          <w:sz w:val="32"/>
          <w:szCs w:val="32"/>
        </w:rPr>
      </w:pPr>
      <w:r>
        <w:rPr>
          <w:rFonts w:hint="eastAsia" w:ascii="楷体_GB2312" w:hAnsi="仿宋" w:eastAsia="楷体_GB2312"/>
          <w:sz w:val="32"/>
          <w:szCs w:val="32"/>
        </w:rPr>
        <w:t>（七）开展安全、生产宣传教育培训：</w:t>
      </w:r>
      <w:r>
        <w:rPr>
          <w:rFonts w:hint="eastAsia" w:ascii="仿宋_GB2312" w:hAnsi="仿宋" w:eastAsia="仿宋_GB2312"/>
          <w:sz w:val="32"/>
          <w:szCs w:val="32"/>
        </w:rPr>
        <w:t>预计需用34</w:t>
      </w:r>
      <w:r>
        <w:rPr>
          <w:rFonts w:hint="eastAsia" w:ascii="仿宋_GB2312" w:hAnsi="仿宋" w:eastAsia="仿宋_GB2312"/>
          <w:sz w:val="32"/>
          <w:szCs w:val="32"/>
          <w:lang w:eastAsia="zh-CN"/>
        </w:rPr>
        <w:t>1</w:t>
      </w:r>
      <w:r>
        <w:rPr>
          <w:rFonts w:hint="eastAsia" w:ascii="仿宋_GB2312" w:hAnsi="仿宋" w:eastAsia="仿宋_GB2312"/>
          <w:sz w:val="32"/>
          <w:szCs w:val="32"/>
        </w:rPr>
        <w:t>个工作日。</w:t>
      </w:r>
    </w:p>
    <w:p>
      <w:pPr>
        <w:adjustRightInd w:val="0"/>
        <w:snapToGrid w:val="0"/>
        <w:spacing w:line="560" w:lineRule="exact"/>
        <w:ind w:firstLine="640" w:firstLineChars="200"/>
        <w:rPr>
          <w:rFonts w:ascii="仿宋_GB2312" w:hAnsi="仿宋" w:eastAsia="仿宋_GB2312"/>
          <w:sz w:val="32"/>
          <w:szCs w:val="32"/>
        </w:rPr>
      </w:pPr>
      <w:r>
        <w:rPr>
          <w:rFonts w:hint="eastAsia" w:ascii="楷体_GB2312" w:hAnsi="仿宋" w:eastAsia="楷体_GB2312"/>
          <w:sz w:val="32"/>
          <w:szCs w:val="32"/>
        </w:rPr>
        <w:t>（八）行政复议行政应诉工作：</w:t>
      </w:r>
      <w:r>
        <w:rPr>
          <w:rFonts w:hint="eastAsia" w:ascii="仿宋_GB2312" w:hAnsi="仿宋" w:eastAsia="仿宋_GB2312"/>
          <w:sz w:val="32"/>
          <w:szCs w:val="32"/>
        </w:rPr>
        <w:t>预计需用161个工作日。</w:t>
      </w:r>
    </w:p>
    <w:p>
      <w:pPr>
        <w:adjustRightInd w:val="0"/>
        <w:snapToGrid w:val="0"/>
        <w:spacing w:line="560" w:lineRule="exact"/>
        <w:ind w:firstLine="640" w:firstLineChars="200"/>
        <w:rPr>
          <w:rFonts w:ascii="仿宋_GB2312" w:hAnsi="仿宋" w:eastAsia="仿宋_GB2312"/>
          <w:sz w:val="32"/>
          <w:szCs w:val="32"/>
        </w:rPr>
      </w:pPr>
      <w:r>
        <w:rPr>
          <w:rFonts w:hint="eastAsia" w:ascii="楷体_GB2312" w:hAnsi="仿宋" w:eastAsia="楷体_GB2312"/>
          <w:sz w:val="32"/>
          <w:szCs w:val="32"/>
        </w:rPr>
        <w:t>（九）完成本级人民政府或者上级安全监管部门安排的其他执法任务：</w:t>
      </w:r>
      <w:r>
        <w:rPr>
          <w:rFonts w:hint="eastAsia" w:ascii="仿宋_GB2312" w:hAnsi="仿宋" w:eastAsia="仿宋_GB2312"/>
          <w:sz w:val="32"/>
          <w:szCs w:val="32"/>
        </w:rPr>
        <w:t>预计需用6</w:t>
      </w:r>
      <w:r>
        <w:rPr>
          <w:rFonts w:hint="eastAsia" w:ascii="仿宋_GB2312" w:hAnsi="仿宋" w:eastAsia="仿宋_GB2312"/>
          <w:sz w:val="32"/>
          <w:szCs w:val="32"/>
          <w:lang w:eastAsia="zh-CN"/>
        </w:rPr>
        <w:t>60</w:t>
      </w:r>
      <w:r>
        <w:rPr>
          <w:rFonts w:hint="eastAsia" w:ascii="仿宋_GB2312" w:hAnsi="仿宋" w:eastAsia="仿宋_GB2312"/>
          <w:sz w:val="32"/>
          <w:szCs w:val="32"/>
        </w:rPr>
        <w:t>个工作日（根据前3年度的平均值测算）。</w:t>
      </w:r>
    </w:p>
    <w:p>
      <w:pPr>
        <w:adjustRightInd w:val="0"/>
        <w:snapToGrid w:val="0"/>
        <w:spacing w:line="560" w:lineRule="exact"/>
        <w:ind w:firstLine="640" w:firstLineChars="200"/>
        <w:rPr>
          <w:rFonts w:ascii="仿宋_GB2312" w:hAnsi="仿宋" w:eastAsia="仿宋_GB2312"/>
          <w:sz w:val="32"/>
          <w:szCs w:val="32"/>
        </w:rPr>
      </w:pPr>
      <w:r>
        <w:rPr>
          <w:rFonts w:hint="eastAsia" w:ascii="楷体_GB2312" w:hAnsi="黑体" w:eastAsia="楷体_GB2312"/>
          <w:sz w:val="32"/>
          <w:szCs w:val="32"/>
          <w:lang w:eastAsia="zh-CN"/>
        </w:rPr>
        <w:t>（十）</w:t>
      </w:r>
      <w:r>
        <w:rPr>
          <w:rFonts w:hint="eastAsia" w:ascii="楷体_GB2312" w:hAnsi="仿宋" w:eastAsia="楷体_GB2312"/>
          <w:sz w:val="32"/>
          <w:szCs w:val="32"/>
        </w:rPr>
        <w:t>街乡吹哨、部门报到：</w:t>
      </w:r>
      <w:r>
        <w:rPr>
          <w:rFonts w:hint="eastAsia" w:ascii="仿宋_GB2312" w:hAnsi="仿宋" w:eastAsia="仿宋_GB2312"/>
          <w:sz w:val="32"/>
          <w:szCs w:val="32"/>
        </w:rPr>
        <w:t>预计需用358个工作日（根据各执法单位提供的测算数据汇总）。</w:t>
      </w:r>
    </w:p>
    <w:p>
      <w:pPr>
        <w:spacing w:line="560" w:lineRule="exact"/>
        <w:ind w:firstLine="640" w:firstLineChars="200"/>
        <w:rPr>
          <w:rFonts w:ascii="仿宋_GB2312" w:hAnsi="黑体" w:eastAsia="仿宋_GB2312"/>
          <w:sz w:val="32"/>
          <w:szCs w:val="32"/>
        </w:rPr>
      </w:pPr>
      <w:r>
        <w:rPr>
          <w:rFonts w:hint="eastAsia" w:ascii="楷体_GB2312" w:hAnsi="黑体" w:eastAsia="楷体_GB2312"/>
          <w:sz w:val="32"/>
          <w:szCs w:val="32"/>
        </w:rPr>
        <w:t>（十一）小微企业、三级标准化：</w:t>
      </w:r>
      <w:r>
        <w:rPr>
          <w:rFonts w:hint="eastAsia" w:ascii="仿宋_GB2312" w:hAnsi="黑体" w:eastAsia="仿宋_GB2312"/>
          <w:sz w:val="32"/>
          <w:szCs w:val="32"/>
        </w:rPr>
        <w:t>130个工作日。</w:t>
      </w:r>
    </w:p>
    <w:p>
      <w:pPr>
        <w:spacing w:line="560" w:lineRule="exact"/>
        <w:ind w:firstLine="640" w:firstLineChars="200"/>
        <w:rPr>
          <w:rFonts w:ascii="仿宋_GB2312" w:hAnsi="黑体" w:eastAsia="仿宋_GB2312"/>
          <w:sz w:val="32"/>
          <w:szCs w:val="32"/>
        </w:rPr>
      </w:pPr>
      <w:r>
        <w:rPr>
          <w:rFonts w:hint="eastAsia" w:ascii="楷体_GB2312" w:hAnsi="黑体" w:eastAsia="楷体_GB2312"/>
          <w:sz w:val="32"/>
          <w:szCs w:val="32"/>
        </w:rPr>
        <w:t>（十二）工业企业监督管理：</w:t>
      </w:r>
      <w:r>
        <w:rPr>
          <w:rFonts w:hint="eastAsia" w:ascii="仿宋_GB2312" w:hAnsi="黑体" w:eastAsia="仿宋_GB2312"/>
          <w:sz w:val="32"/>
          <w:szCs w:val="32"/>
        </w:rPr>
        <w:t>100个工作日。</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四、非执法工作日：</w:t>
      </w:r>
      <w:r>
        <w:rPr>
          <w:rFonts w:hint="eastAsia" w:ascii="黑体" w:hAnsi="黑体" w:eastAsia="黑体"/>
          <w:sz w:val="32"/>
          <w:szCs w:val="32"/>
          <w:lang w:eastAsia="zh-CN"/>
        </w:rPr>
        <w:t>4100</w:t>
      </w:r>
      <w:r>
        <w:rPr>
          <w:rFonts w:hint="eastAsia" w:ascii="黑体" w:hAnsi="黑体" w:eastAsia="黑体"/>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以下事项确定的次数、人数及占用工作日等参考前3年，特别是</w:t>
      </w:r>
      <w:r>
        <w:rPr>
          <w:rFonts w:hint="eastAsia" w:ascii="仿宋_GB2312" w:hAnsi="仿宋" w:eastAsia="仿宋_GB2312"/>
          <w:sz w:val="32"/>
          <w:szCs w:val="32"/>
          <w:lang w:eastAsia="zh-CN"/>
        </w:rPr>
        <w:t>2024</w:t>
      </w:r>
      <w:r>
        <w:rPr>
          <w:rFonts w:hint="eastAsia" w:ascii="仿宋_GB2312" w:hAnsi="仿宋" w:eastAsia="仿宋_GB2312"/>
          <w:sz w:val="32"/>
          <w:szCs w:val="32"/>
        </w:rPr>
        <w:t>年度的行政执法工作进行测算，并对各部门上报预测情况进行了汇总测算。</w:t>
      </w:r>
    </w:p>
    <w:p>
      <w:pPr>
        <w:numPr>
          <w:ilvl w:val="0"/>
          <w:numId w:val="3"/>
        </w:numPr>
        <w:spacing w:line="560" w:lineRule="exact"/>
        <w:ind w:firstLine="640"/>
        <w:rPr>
          <w:rFonts w:ascii="仿宋_GB2312" w:hAnsi="仿宋" w:eastAsia="仿宋_GB2312"/>
          <w:sz w:val="32"/>
          <w:szCs w:val="32"/>
        </w:rPr>
      </w:pPr>
      <w:r>
        <w:rPr>
          <w:rFonts w:hint="eastAsia" w:ascii="楷体_GB2312" w:hAnsi="黑体" w:eastAsia="楷体_GB2312"/>
          <w:sz w:val="32"/>
          <w:szCs w:val="32"/>
        </w:rPr>
        <w:t>单位值班：</w:t>
      </w:r>
      <w:r>
        <w:rPr>
          <w:rFonts w:hint="eastAsia" w:ascii="仿宋_GB2312" w:hAnsi="仿宋" w:eastAsia="仿宋_GB2312"/>
          <w:sz w:val="32"/>
          <w:szCs w:val="32"/>
        </w:rPr>
        <w:t>预计需用1095个工作日。</w:t>
      </w:r>
    </w:p>
    <w:p>
      <w:pPr>
        <w:numPr>
          <w:ilvl w:val="0"/>
          <w:numId w:val="3"/>
        </w:numPr>
        <w:spacing w:line="560" w:lineRule="exact"/>
        <w:ind w:firstLine="640"/>
        <w:rPr>
          <w:rFonts w:ascii="仿宋_GB2312" w:hAnsi="仿宋" w:eastAsia="仿宋_GB2312"/>
          <w:sz w:val="32"/>
          <w:szCs w:val="32"/>
          <w:lang w:eastAsia="zh-CN"/>
        </w:rPr>
      </w:pPr>
      <w:r>
        <w:rPr>
          <w:rFonts w:hint="eastAsia" w:ascii="楷体_GB2312" w:hAnsi="黑体" w:eastAsia="楷体_GB2312"/>
          <w:sz w:val="32"/>
          <w:szCs w:val="32"/>
        </w:rPr>
        <w:t>学习、培训、考核、会议</w:t>
      </w:r>
      <w:r>
        <w:rPr>
          <w:rFonts w:hint="eastAsia" w:ascii="楷体_GB2312" w:hAnsi="黑体" w:eastAsia="楷体_GB2312"/>
          <w:sz w:val="32"/>
          <w:szCs w:val="32"/>
          <w:lang w:eastAsia="zh-CN"/>
        </w:rPr>
        <w:t>：</w:t>
      </w:r>
      <w:r>
        <w:rPr>
          <w:rFonts w:hint="eastAsia" w:ascii="仿宋_GB2312" w:hAnsi="仿宋" w:eastAsia="仿宋_GB2312"/>
          <w:sz w:val="32"/>
          <w:szCs w:val="32"/>
        </w:rPr>
        <w:t>预计需用</w:t>
      </w:r>
      <w:r>
        <w:rPr>
          <w:rFonts w:hint="eastAsia" w:ascii="仿宋_GB2312" w:hAnsi="仿宋" w:eastAsia="仿宋_GB2312"/>
          <w:sz w:val="32"/>
          <w:szCs w:val="32"/>
          <w:lang w:eastAsia="zh-CN"/>
        </w:rPr>
        <w:t>1630</w:t>
      </w:r>
      <w:r>
        <w:rPr>
          <w:rFonts w:hint="eastAsia" w:ascii="仿宋_GB2312" w:hAnsi="仿宋" w:eastAsia="仿宋_GB2312"/>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1.参加总局视频培训考核交流研讨：预计需用1</w:t>
      </w:r>
      <w:r>
        <w:rPr>
          <w:rFonts w:hint="eastAsia" w:ascii="仿宋_GB2312" w:hAnsi="仿宋" w:eastAsia="仿宋_GB2312"/>
          <w:sz w:val="32"/>
          <w:szCs w:val="32"/>
          <w:lang w:eastAsia="zh-CN"/>
        </w:rPr>
        <w:t>28</w:t>
      </w:r>
      <w:r>
        <w:rPr>
          <w:rFonts w:hint="eastAsia" w:ascii="仿宋_GB2312" w:hAnsi="仿宋" w:eastAsia="仿宋_GB2312"/>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2.参加市局专业培训：预计需用404个工作日。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3.局内培训考核：预计需用271个工作日。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4.处级干部培训考核参加中心组学习：预计需用191个工作日。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5.科级干部参加局务会：预计需用112个工作日。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6.参加区政府有关部门会议、培训：预计需用3</w:t>
      </w:r>
      <w:r>
        <w:rPr>
          <w:rFonts w:hint="eastAsia" w:ascii="仿宋_GB2312" w:hAnsi="仿宋" w:eastAsia="仿宋_GB2312"/>
          <w:sz w:val="32"/>
          <w:szCs w:val="32"/>
          <w:lang w:eastAsia="zh-CN"/>
        </w:rPr>
        <w:t>17</w:t>
      </w:r>
      <w:r>
        <w:rPr>
          <w:rFonts w:hint="eastAsia" w:ascii="仿宋_GB2312" w:hAnsi="仿宋" w:eastAsia="仿宋_GB2312"/>
          <w:sz w:val="32"/>
          <w:szCs w:val="32"/>
        </w:rPr>
        <w:t>个工作日。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7.专题会和其他会议：预计需用207个工作日。</w:t>
      </w:r>
    </w:p>
    <w:p>
      <w:pPr>
        <w:spacing w:line="560" w:lineRule="exact"/>
        <w:ind w:firstLine="640" w:firstLineChars="200"/>
        <w:rPr>
          <w:rFonts w:ascii="仿宋_GB2312" w:hAnsi="仿宋" w:eastAsia="仿宋_GB2312"/>
          <w:sz w:val="32"/>
          <w:szCs w:val="32"/>
        </w:rPr>
      </w:pPr>
      <w:r>
        <w:rPr>
          <w:rFonts w:hint="eastAsia" w:ascii="楷体_GB2312" w:hAnsi="黑体" w:eastAsia="楷体_GB2312"/>
          <w:sz w:val="32"/>
          <w:szCs w:val="32"/>
        </w:rPr>
        <w:t>（三）病假、事假：</w:t>
      </w:r>
      <w:r>
        <w:rPr>
          <w:rFonts w:hint="eastAsia" w:ascii="仿宋_GB2312" w:hAnsi="仿宋" w:eastAsia="仿宋_GB2312"/>
          <w:sz w:val="32"/>
          <w:szCs w:val="32"/>
        </w:rPr>
        <w:t>预计需用27</w:t>
      </w:r>
      <w:r>
        <w:rPr>
          <w:rFonts w:hint="eastAsia" w:ascii="仿宋_GB2312" w:hAnsi="仿宋" w:eastAsia="仿宋_GB2312"/>
          <w:sz w:val="32"/>
          <w:szCs w:val="32"/>
          <w:lang w:eastAsia="zh-CN"/>
        </w:rPr>
        <w:t>2</w:t>
      </w:r>
      <w:r>
        <w:rPr>
          <w:rFonts w:hint="eastAsia" w:ascii="仿宋_GB2312" w:hAnsi="仿宋" w:eastAsia="仿宋_GB2312"/>
          <w:sz w:val="32"/>
          <w:szCs w:val="32"/>
        </w:rPr>
        <w:t>个工作日（根据各执法单位提供的测算数据汇总）。</w:t>
      </w:r>
    </w:p>
    <w:p>
      <w:pPr>
        <w:spacing w:line="560" w:lineRule="exact"/>
        <w:ind w:firstLine="640" w:firstLineChars="200"/>
        <w:rPr>
          <w:rFonts w:ascii="仿宋_GB2312" w:hAnsi="仿宋" w:eastAsia="仿宋_GB2312"/>
          <w:sz w:val="32"/>
          <w:szCs w:val="32"/>
        </w:rPr>
      </w:pPr>
      <w:r>
        <w:rPr>
          <w:rFonts w:hint="eastAsia" w:ascii="楷体_GB2312" w:hAnsi="黑体" w:eastAsia="楷体_GB2312"/>
          <w:sz w:val="32"/>
          <w:szCs w:val="32"/>
        </w:rPr>
        <w:t>（四）公务员法定年休假、探亲假、婚（丧）假</w:t>
      </w:r>
      <w:r>
        <w:rPr>
          <w:rFonts w:hint="eastAsia" w:ascii="楷体_GB2312" w:hAnsi="黑体" w:eastAsia="楷体_GB2312"/>
          <w:sz w:val="32"/>
          <w:szCs w:val="32"/>
          <w:lang w:eastAsia="zh-CN"/>
        </w:rPr>
        <w:t>：</w:t>
      </w:r>
      <w:r>
        <w:rPr>
          <w:rFonts w:hint="eastAsia" w:ascii="仿宋_GB2312" w:hAnsi="仿宋" w:eastAsia="仿宋_GB2312"/>
          <w:sz w:val="32"/>
          <w:szCs w:val="32"/>
        </w:rPr>
        <w:t>预计需用695个工作日（根据各执法单位提供的测算数据汇总）。</w:t>
      </w:r>
    </w:p>
    <w:p>
      <w:pPr>
        <w:spacing w:line="560" w:lineRule="exact"/>
        <w:ind w:firstLine="640" w:firstLineChars="200"/>
        <w:rPr>
          <w:rFonts w:ascii="仿宋_GB2312" w:hAnsi="仿宋" w:eastAsia="仿宋_GB2312"/>
          <w:sz w:val="32"/>
          <w:szCs w:val="32"/>
        </w:rPr>
      </w:pPr>
      <w:r>
        <w:rPr>
          <w:rFonts w:hint="eastAsia" w:ascii="楷体_GB2312" w:hAnsi="黑体" w:eastAsia="楷体_GB2312"/>
          <w:sz w:val="32"/>
          <w:szCs w:val="32"/>
        </w:rPr>
        <w:t>（五）参加党群活动：</w:t>
      </w:r>
      <w:r>
        <w:rPr>
          <w:rFonts w:hint="eastAsia" w:ascii="仿宋_GB2312" w:hAnsi="仿宋" w:eastAsia="仿宋_GB2312"/>
          <w:sz w:val="32"/>
          <w:szCs w:val="32"/>
        </w:rPr>
        <w:t>预计需用40</w:t>
      </w:r>
      <w:r>
        <w:rPr>
          <w:rFonts w:hint="eastAsia" w:ascii="仿宋_GB2312" w:hAnsi="仿宋" w:eastAsia="仿宋_GB2312"/>
          <w:sz w:val="32"/>
          <w:szCs w:val="32"/>
          <w:lang w:eastAsia="zh-CN"/>
        </w:rPr>
        <w:t>8</w:t>
      </w:r>
      <w:r>
        <w:rPr>
          <w:rFonts w:hint="eastAsia" w:ascii="仿宋_GB2312" w:hAnsi="仿宋" w:eastAsia="仿宋_GB2312"/>
          <w:sz w:val="32"/>
          <w:szCs w:val="32"/>
        </w:rPr>
        <w:t>个工作日。</w:t>
      </w:r>
    </w:p>
    <w:p>
      <w:pPr>
        <w:spacing w:line="560" w:lineRule="exact"/>
        <w:ind w:firstLine="640" w:firstLineChars="200"/>
        <w:rPr>
          <w:rFonts w:ascii="仿宋_GB2312" w:hAnsi="仿宋" w:eastAsia="仿宋_GB2312"/>
          <w:sz w:val="32"/>
          <w:szCs w:val="32"/>
        </w:rPr>
      </w:pPr>
    </w:p>
    <w:p>
      <w:pPr>
        <w:adjustRightInd w:val="0"/>
        <w:snapToGrid w:val="0"/>
        <w:spacing w:line="560" w:lineRule="exact"/>
        <w:ind w:firstLine="640" w:firstLineChars="200"/>
        <w:rPr>
          <w:rFonts w:ascii="仿宋_GB2312" w:hAnsi="仿宋" w:eastAsia="仿宋_GB2312"/>
          <w:sz w:val="32"/>
          <w:szCs w:val="32"/>
        </w:rPr>
      </w:pPr>
    </w:p>
    <w:p>
      <w:pPr>
        <w:adjustRightInd w:val="0"/>
        <w:snapToGrid w:val="0"/>
        <w:spacing w:line="560" w:lineRule="exact"/>
        <w:ind w:firstLine="640" w:firstLineChars="200"/>
        <w:rPr>
          <w:rFonts w:ascii="仿宋_GB2312" w:hAnsi="仿宋" w:eastAsia="仿宋_GB2312"/>
          <w:sz w:val="32"/>
          <w:szCs w:val="32"/>
        </w:rPr>
      </w:pPr>
    </w:p>
    <w:p>
      <w:pPr>
        <w:adjustRightInd w:val="0"/>
        <w:snapToGrid w:val="0"/>
        <w:spacing w:line="560" w:lineRule="exact"/>
        <w:ind w:firstLine="640" w:firstLineChars="200"/>
        <w:rPr>
          <w:rFonts w:ascii="仿宋_GB2312" w:hAnsi="仿宋" w:eastAsia="仿宋_GB2312"/>
          <w:sz w:val="32"/>
          <w:szCs w:val="32"/>
        </w:rPr>
      </w:pPr>
    </w:p>
    <w:p>
      <w:pPr>
        <w:adjustRightInd w:val="0"/>
        <w:snapToGrid w:val="0"/>
        <w:spacing w:line="560" w:lineRule="exact"/>
        <w:ind w:firstLine="640" w:firstLineChars="200"/>
        <w:rPr>
          <w:rFonts w:ascii="仿宋_GB2312" w:hAnsi="仿宋" w:eastAsia="仿宋_GB2312"/>
          <w:sz w:val="32"/>
          <w:szCs w:val="32"/>
        </w:rPr>
      </w:pPr>
    </w:p>
    <w:p>
      <w:pPr>
        <w:adjustRightInd w:val="0"/>
        <w:snapToGrid w:val="0"/>
        <w:spacing w:line="560" w:lineRule="exact"/>
        <w:ind w:firstLine="640" w:firstLineChars="200"/>
        <w:rPr>
          <w:rFonts w:ascii="仿宋_GB2312" w:hAnsi="仿宋" w:eastAsia="仿宋_GB2312"/>
          <w:sz w:val="32"/>
          <w:szCs w:val="32"/>
        </w:rPr>
      </w:pPr>
    </w:p>
    <w:p>
      <w:pPr>
        <w:adjustRightInd w:val="0"/>
        <w:snapToGrid w:val="0"/>
        <w:spacing w:line="560" w:lineRule="exact"/>
        <w:ind w:firstLine="640" w:firstLineChars="200"/>
        <w:rPr>
          <w:rFonts w:ascii="仿宋_GB2312" w:hAnsi="仿宋" w:eastAsia="仿宋_GB2312"/>
          <w:sz w:val="32"/>
          <w:szCs w:val="32"/>
        </w:rPr>
      </w:pPr>
    </w:p>
    <w:p>
      <w:pPr>
        <w:adjustRightInd w:val="0"/>
        <w:snapToGrid w:val="0"/>
        <w:spacing w:line="560" w:lineRule="exact"/>
        <w:ind w:firstLine="640" w:firstLineChars="200"/>
        <w:rPr>
          <w:rFonts w:ascii="仿宋_GB2312" w:hAnsi="仿宋" w:eastAsia="仿宋_GB2312"/>
          <w:sz w:val="32"/>
          <w:szCs w:val="32"/>
        </w:rPr>
      </w:pPr>
    </w:p>
    <w:p>
      <w:pPr>
        <w:adjustRightInd w:val="0"/>
        <w:snapToGrid w:val="0"/>
        <w:spacing w:line="560" w:lineRule="exact"/>
        <w:ind w:firstLine="640" w:firstLineChars="200"/>
        <w:rPr>
          <w:rFonts w:ascii="仿宋_GB2312" w:hAnsi="仿宋" w:eastAsia="仿宋_GB2312"/>
          <w:sz w:val="32"/>
          <w:szCs w:val="32"/>
        </w:rPr>
      </w:pPr>
    </w:p>
    <w:p>
      <w:pPr>
        <w:adjustRightInd w:val="0"/>
        <w:snapToGrid w:val="0"/>
        <w:spacing w:line="560" w:lineRule="exact"/>
        <w:rPr>
          <w:rFonts w:ascii="黑体" w:hAnsi="黑体" w:eastAsia="黑体" w:cs="黑体"/>
          <w:sz w:val="32"/>
          <w:szCs w:val="32"/>
          <w:lang w:eastAsia="zh-CN"/>
        </w:rPr>
      </w:pPr>
    </w:p>
    <w:p>
      <w:pPr>
        <w:widowControl/>
        <w:jc w:val="center"/>
        <w:textAlignment w:val="center"/>
        <w:rPr>
          <w:rFonts w:ascii="方正小标宋_GBK" w:hAnsi="方正小标宋_GBK" w:eastAsia="方正小标宋_GBK" w:cs="方正小标宋_GBK"/>
          <w:b/>
          <w:bCs/>
          <w:color w:val="000000"/>
          <w:kern w:val="0"/>
          <w:sz w:val="44"/>
          <w:szCs w:val="44"/>
          <w:lang w:eastAsia="zh-CN" w:bidi="ar"/>
        </w:rPr>
      </w:pPr>
      <w:r>
        <w:rPr>
          <w:rFonts w:hint="eastAsia" w:ascii="方正小标宋_GBK" w:hAnsi="方正小标宋_GBK" w:eastAsia="方正小标宋_GBK" w:cs="方正小标宋_GBK"/>
          <w:sz w:val="44"/>
          <w:szCs w:val="44"/>
          <w:lang w:eastAsia="zh-CN"/>
        </w:rPr>
        <w:t>丰台区应急管理局重点检查单位名单</w:t>
      </w:r>
    </w:p>
    <w:p>
      <w:pPr>
        <w:widowControl/>
        <w:textAlignment w:val="center"/>
        <w:rPr>
          <w:rFonts w:ascii="黑体" w:hAnsi="宋体" w:eastAsia="黑体" w:cs="黑体"/>
          <w:color w:val="000000"/>
          <w:kern w:val="0"/>
          <w:sz w:val="28"/>
          <w:szCs w:val="28"/>
          <w:lang w:eastAsia="zh-CN" w:bidi="ar"/>
        </w:rPr>
      </w:pPr>
    </w:p>
    <w:tbl>
      <w:tblPr>
        <w:tblStyle w:val="8"/>
        <w:tblW w:w="8293" w:type="dxa"/>
        <w:tblInd w:w="0" w:type="dxa"/>
        <w:tblLayout w:type="fixed"/>
        <w:tblCellMar>
          <w:top w:w="0" w:type="dxa"/>
          <w:left w:w="0" w:type="dxa"/>
          <w:bottom w:w="0" w:type="dxa"/>
          <w:right w:w="0" w:type="dxa"/>
        </w:tblCellMar>
      </w:tblPr>
      <w:tblGrid>
        <w:gridCol w:w="958"/>
        <w:gridCol w:w="1620"/>
        <w:gridCol w:w="2745"/>
        <w:gridCol w:w="1035"/>
        <w:gridCol w:w="960"/>
        <w:gridCol w:w="975"/>
      </w:tblGrid>
      <w:tr>
        <w:tblPrEx>
          <w:tblCellMar>
            <w:top w:w="0" w:type="dxa"/>
            <w:left w:w="0" w:type="dxa"/>
            <w:bottom w:w="0" w:type="dxa"/>
            <w:right w:w="0" w:type="dxa"/>
          </w:tblCellMar>
        </w:tblPrEx>
        <w:trPr>
          <w:trHeight w:val="750" w:hRule="atLeast"/>
        </w:trPr>
        <w:tc>
          <w:tcPr>
            <w:tcW w:w="958"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eastAsia="zh-CN" w:bidi="ar"/>
              </w:rPr>
              <w:t>序号</w:t>
            </w:r>
          </w:p>
        </w:tc>
        <w:tc>
          <w:tcPr>
            <w:tcW w:w="162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eastAsia="zh-CN" w:bidi="ar"/>
              </w:rPr>
              <w:t>检查科室</w:t>
            </w:r>
          </w:p>
        </w:tc>
        <w:tc>
          <w:tcPr>
            <w:tcW w:w="2745"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eastAsia="zh-CN" w:bidi="ar"/>
              </w:rPr>
              <w:t>生产经营单位名单</w:t>
            </w:r>
          </w:p>
        </w:tc>
        <w:tc>
          <w:tcPr>
            <w:tcW w:w="1035"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eastAsia="zh-CN" w:bidi="ar"/>
              </w:rPr>
              <w:t>范围</w:t>
            </w:r>
          </w:p>
        </w:tc>
        <w:tc>
          <w:tcPr>
            <w:tcW w:w="96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kern w:val="0"/>
                <w:sz w:val="28"/>
                <w:szCs w:val="28"/>
                <w:lang w:eastAsia="zh-CN" w:bidi="ar"/>
              </w:rPr>
            </w:pPr>
            <w:r>
              <w:rPr>
                <w:rFonts w:hint="eastAsia" w:ascii="黑体" w:hAnsi="宋体" w:eastAsia="黑体" w:cs="黑体"/>
                <w:color w:val="000000"/>
                <w:kern w:val="0"/>
                <w:sz w:val="28"/>
                <w:szCs w:val="28"/>
                <w:lang w:eastAsia="zh-CN" w:bidi="ar"/>
              </w:rPr>
              <w:t>检查</w:t>
            </w:r>
          </w:p>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eastAsia="zh-CN" w:bidi="ar"/>
              </w:rPr>
              <w:t>频次</w:t>
            </w:r>
          </w:p>
        </w:tc>
        <w:tc>
          <w:tcPr>
            <w:tcW w:w="975"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eastAsia="zh-CN" w:bidi="ar"/>
              </w:rPr>
              <w:t>检查</w:t>
            </w:r>
          </w:p>
        </w:tc>
      </w:tr>
      <w:tr>
        <w:tblPrEx>
          <w:tblCellMar>
            <w:top w:w="0" w:type="dxa"/>
            <w:left w:w="0" w:type="dxa"/>
            <w:bottom w:w="0" w:type="dxa"/>
            <w:right w:w="0" w:type="dxa"/>
          </w:tblCellMar>
        </w:tblPrEx>
        <w:trPr>
          <w:trHeight w:val="390" w:hRule="atLeast"/>
        </w:trPr>
        <w:tc>
          <w:tcPr>
            <w:tcW w:w="958"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黑体" w:hAnsi="宋体" w:eastAsia="黑体" w:cs="黑体"/>
                <w:color w:val="000000"/>
                <w:sz w:val="28"/>
                <w:szCs w:val="28"/>
              </w:rPr>
            </w:pPr>
          </w:p>
        </w:tc>
        <w:tc>
          <w:tcPr>
            <w:tcW w:w="162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黑体" w:hAnsi="宋体" w:eastAsia="黑体" w:cs="黑体"/>
                <w:color w:val="000000"/>
                <w:sz w:val="28"/>
                <w:szCs w:val="28"/>
              </w:rPr>
            </w:pPr>
          </w:p>
        </w:tc>
        <w:tc>
          <w:tcPr>
            <w:tcW w:w="2745"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黑体" w:hAnsi="宋体" w:eastAsia="黑体" w:cs="黑体"/>
                <w:color w:val="000000"/>
                <w:sz w:val="28"/>
                <w:szCs w:val="28"/>
              </w:rPr>
            </w:pPr>
          </w:p>
        </w:tc>
        <w:tc>
          <w:tcPr>
            <w:tcW w:w="1035"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黑体" w:hAnsi="宋体" w:eastAsia="黑体" w:cs="黑体"/>
                <w:color w:val="000000"/>
                <w:sz w:val="28"/>
                <w:szCs w:val="28"/>
              </w:rPr>
            </w:pPr>
          </w:p>
        </w:tc>
        <w:tc>
          <w:tcPr>
            <w:tcW w:w="96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黑体" w:hAnsi="宋体" w:eastAsia="黑体" w:cs="黑体"/>
                <w:color w:val="000000"/>
                <w:sz w:val="28"/>
                <w:szCs w:val="28"/>
              </w:rPr>
            </w:pP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eastAsia="zh-CN" w:bidi="ar"/>
              </w:rPr>
              <w:t>时间</w:t>
            </w:r>
          </w:p>
        </w:tc>
      </w:tr>
      <w:tr>
        <w:tblPrEx>
          <w:tblCellMar>
            <w:top w:w="0" w:type="dxa"/>
            <w:left w:w="0" w:type="dxa"/>
            <w:bottom w:w="0" w:type="dxa"/>
            <w:right w:w="0" w:type="dxa"/>
          </w:tblCellMar>
        </w:tblPrEx>
        <w:trPr>
          <w:trHeight w:val="300" w:hRule="atLeast"/>
        </w:trPr>
        <w:tc>
          <w:tcPr>
            <w:tcW w:w="8293"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eastAsia="zh-CN" w:bidi="ar"/>
              </w:rPr>
              <w:t>一、油库（2 家）</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16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北京中油潞安石油销售有限公司</w:t>
            </w:r>
          </w:p>
        </w:tc>
        <w:tc>
          <w:tcPr>
            <w:tcW w:w="10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油库</w:t>
            </w:r>
          </w:p>
        </w:tc>
        <w:tc>
          <w:tcPr>
            <w:tcW w:w="96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中国石化销售股份有限公司北京长辛店石油库</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油库</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300" w:hRule="atLeast"/>
        </w:trPr>
        <w:tc>
          <w:tcPr>
            <w:tcW w:w="8293"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eastAsia="zh-CN" w:bidi="ar"/>
              </w:rPr>
              <w:t>二、工业气体（2 家）</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w:t>
            </w:r>
          </w:p>
        </w:tc>
        <w:tc>
          <w:tcPr>
            <w:tcW w:w="16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北京市丰台长兴气体厂</w:t>
            </w:r>
          </w:p>
        </w:tc>
        <w:tc>
          <w:tcPr>
            <w:tcW w:w="10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工业气体</w:t>
            </w:r>
          </w:p>
        </w:tc>
        <w:tc>
          <w:tcPr>
            <w:tcW w:w="96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北京航天雷特机电工程有限公司气体分公司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工业气体</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300" w:hRule="atLeast"/>
        </w:trPr>
        <w:tc>
          <w:tcPr>
            <w:tcW w:w="8293"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eastAsia="zh-CN" w:bidi="ar"/>
              </w:rPr>
              <w:t>三、医药制造和化工企业（</w:t>
            </w:r>
            <w:r>
              <w:rPr>
                <w:rStyle w:val="14"/>
                <w:rFonts w:hint="default"/>
                <w:lang w:eastAsia="zh-CN" w:bidi="ar"/>
              </w:rPr>
              <w:t>3 家）</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5</w:t>
            </w:r>
          </w:p>
        </w:tc>
        <w:tc>
          <w:tcPr>
            <w:tcW w:w="16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北京长城制药有限公司老厂</w:t>
            </w:r>
          </w:p>
        </w:tc>
        <w:tc>
          <w:tcPr>
            <w:tcW w:w="10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医药制造</w:t>
            </w:r>
          </w:p>
        </w:tc>
        <w:tc>
          <w:tcPr>
            <w:tcW w:w="96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北京同仁堂科技发展股份有限公司制药厂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医药制造</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北京北方生物技术研究所有限公司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医药制造</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300" w:hRule="atLeast"/>
        </w:trPr>
        <w:tc>
          <w:tcPr>
            <w:tcW w:w="8293"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eastAsia="zh-CN" w:bidi="ar"/>
              </w:rPr>
              <w:t>四、培训机构（3 家）</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8</w:t>
            </w:r>
          </w:p>
        </w:tc>
        <w:tc>
          <w:tcPr>
            <w:tcW w:w="16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北京市应用职业技能培训学校</w:t>
            </w:r>
          </w:p>
        </w:tc>
        <w:tc>
          <w:tcPr>
            <w:tcW w:w="10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培训机构</w:t>
            </w:r>
          </w:p>
        </w:tc>
        <w:tc>
          <w:tcPr>
            <w:tcW w:w="96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北京市丰台区恒力职业技能培训学校</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培训机构</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80"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333333"/>
                <w:szCs w:val="21"/>
              </w:rPr>
            </w:pPr>
            <w:r>
              <w:rPr>
                <w:rFonts w:hint="eastAsia" w:ascii="宋体" w:hAnsi="宋体" w:cs="宋体"/>
                <w:color w:val="333333"/>
                <w:kern w:val="0"/>
                <w:szCs w:val="21"/>
                <w:lang w:eastAsia="zh-CN" w:bidi="ar"/>
              </w:rPr>
              <w:t>北京一轻职业技能培训学校</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培训机构</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300" w:hRule="atLeast"/>
        </w:trPr>
        <w:tc>
          <w:tcPr>
            <w:tcW w:w="8293"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eastAsia="zh-CN" w:bidi="ar"/>
              </w:rPr>
              <w:t>五、加油站（77 家）</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w:t>
            </w:r>
          </w:p>
        </w:tc>
        <w:tc>
          <w:tcPr>
            <w:tcW w:w="16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北京市德利发加油站有限责任公司</w:t>
            </w:r>
          </w:p>
        </w:tc>
        <w:tc>
          <w:tcPr>
            <w:tcW w:w="10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中国石化销售股份有限公司北京丰台方庄加油站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北京超强力油脂销售中心</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北京市于家坟加油站有限公司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北京石富丰机动车加油有限责任公司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中国石化销售股份有限公司北京丰台台金加油站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北京京铁诚信加油站有限责任公司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中国石化销售有限公司北京丰台玉泉营加油站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北京台宜汽车清洗保养有限公司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北京南三环草桥加油站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北京市宛丰加油站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北京市丰台赵辛店加油站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中国石化销售有限公司北京丰台马家堡分公司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北京中外运加油站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北京市国兴长油加油站有限公司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中国石化销售股份有限公司北京中垦丰南加油站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中国石化销售有限公司北京丰台成寿寺加油站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中国石化销售股份有限公司北京丰台长兴加油站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北京万泉运通汽车燃料有限责任公司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中国石化销售股份有限公司北京丰台丽泽东路加油站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北京盛丰明陈留加油站有限公司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中国石化销售股份有限公司北京丰台六里桥加油站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北京宛平迅捷销售有限公司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北京市大灰厂加油站有限公司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北京好运油料供应有限公司分钟寺加油站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北京丰北公交加油站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北京元乾元加油站有限公司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中国石化销售股份有限公司北京丰台悦实达加油站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北京建宏发加油站有限公司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40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北京金泰恒业燃料有限公司加油站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41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北京龙江奔达加油站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42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北京市花乡盛丰明加油站有限公司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43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北京北青阳光石油化工有限公司右安门分公司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44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北京广仟达加油站有限公司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45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北京捷快达加油站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46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北京市造甲村加油站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47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中油首汽石油销售有限公司北京十三号站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48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北京航天海鹰贸易有限公司云岗加油站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49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北京市丰台亚源加油站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50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北京润福通丰盾加油站有限公司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51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北京协和燕庆石油化工有限公司右安门加油站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52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中油北汽石油产品销售（北京）有限公司石榴庄加油站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53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北京市丰台看丹加油站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54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北京公联京胜石化有限公司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55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北京凡家村加油站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56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北京镇岗加油站有限公司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57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北京花乡众生加油站有限公司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58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北京公联京胜石化有限公司第一加油站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59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北京壳牌石油有限公司槐房路加油站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60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北京丰台丰胜加油站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61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北京鑫垚金地加油站有限公司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62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北京好运宝亦石油制品商店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63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北京苑津强加油站有限公司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64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北京丰管路加油站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65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北京四环翔亚加油站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66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北京市顺发南宫加油站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67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北京信实泰达靛厂加油站有限公司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68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北京市杜家坎加油站有限公司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69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北京三元石油有限公司五里店加油站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70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北京三元石油有限公司和义加油站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71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北京利安顺成品油有限公司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72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北京市丰台晓龙加油站有限公司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73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北京丰台加油站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74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北京燕鑫海源石油制品有限公司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75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北京丰台京旭加油站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76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北京公联京华石油有限责任公司柳村北加油站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77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北京公联京华石油有限责任公司柳村南加油站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78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北京市富丰加油站有限公司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79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北京鑫福海木栖园石化产品销售有限公司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80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北京陇兴嘉能能源有限公司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81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北京顺利发加油站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82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北京倪庄鑫马加油站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83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北京京西三兴加油站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84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北京燕化万特加油站有限公司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85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北京鑫兆元商贸中心</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86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北京市浩瀚龙加油站有限公司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87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北京市花乡新发地加油站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加油站</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300" w:hRule="atLeast"/>
        </w:trPr>
        <w:tc>
          <w:tcPr>
            <w:tcW w:w="8293"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eastAsia="zh-CN" w:bidi="ar"/>
              </w:rPr>
              <w:t>六、工业企业（111家）</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88</w:t>
            </w:r>
          </w:p>
        </w:tc>
        <w:tc>
          <w:tcPr>
            <w:tcW w:w="16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北京地铁车辆装备有限公司</w:t>
            </w:r>
          </w:p>
        </w:tc>
        <w:tc>
          <w:tcPr>
            <w:tcW w:w="10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89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北京榆构有限公司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90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中钞特种防伪科技有限公司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91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北京凯普林光电科技股份有限公司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92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北京月盛斋清真食品有限公司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93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北京艾森绿宝油脂有限公司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94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北京华德液压工业集团有限责任公司液压泵分公司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95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北京城建混凝土有限公司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96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北京龙门醋业有限公司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97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北京二七机车工业有限责任公司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98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北京凯利瑞成科技有限责任公司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99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北京建工新型建材有限责任公司建沣分公司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100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航天机电科技（北京）有限公司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101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北京市合利看丹混凝土有限公司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102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北京航天益来电子科技有限公司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103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北京市第二建筑工程有限责任公司混凝土分公司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104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北京宇诚建达混凝土有限公司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105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北京北信丰元铁路电子设备有限公司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106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北京世百达工贸有限公司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107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北京中北创新科技发展有限公司分公司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108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北京东颐食品科技有限公司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109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北京六必居食品有限公司天源酱园食品厂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北京东风电器有限公司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北京圣祥乳制品厂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航天增材科技（北京）有限公司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北京市丰台航南金属结构制造厂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北京二七铁丰龙科技有限公司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北京华宇信诺印刷有限公司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北京金海航金属结构有限公司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北京北方创成车辆技术发展有限公司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北京北方京玥环保技术有限责任公司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北京中嘉三环电力设备有限公司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120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北京美添前景科技有限公司丰台分公司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121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北京广达印刷有限公司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122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北京兴燕车辆悬挂装置机械厂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123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北京航天普霖科技有限公司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124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北京金工印刷有限公司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125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北京航天博德科技有限责任公司产品试制中心</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126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北京鑫福乐食品有限责任公司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127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北京市花乡海华金属结构厂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128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北京惯导科技有限公司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129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北京信良伟业金属加工有限公司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130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北京鹏味达食品有限公司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131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北京大生金川科技发展中心</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132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北京宇航基业机电设备厂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133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姬鸿（北京）科技有限责任公司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134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北京融通新风洁净技术有限公司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135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北京城建天宁防火材料有限公司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136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北京恒拓塑钢制品有限公司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137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北京北方燕兴达机械制造有限责任公司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138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北京中彧空分科技有限公司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139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北京嘉德广信液压技术有限公司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140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北京中盛汉唐电力设备有限公司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141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北京京安群祥玻璃制品有限公司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142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北京花乡新兴食品加工厂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143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北京南宫欣兴大理石加工厂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144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北京湘中北机械维修中心</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145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北京国铁畅达机车配件厂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146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北京京城冰雪制冰厂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147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北京太子峪汽车配件厂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148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北京市永昌塑钢门窗有限公司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149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北京华源清泉水厂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150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北京金自天成液压技术有限责任公司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151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北京胜鑫水厂有限公司（原周庄子福润水站）</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152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北京瀚博控制设备有限公司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153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北京二七纳川机电设备有限公司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154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北京丰台航华科技有限公司分公司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155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阳光凯讯（北京）科技有限公司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156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北京合欣机电有限责任公司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157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北京雷音电子技术开发有限公司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158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北京澳丰源科技股份有限公司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159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大恒新纪元科技股份有限公司光学薄膜分公司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160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北京六合伟业科技股份有限公司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161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北京敬业北低自动化设备有限公司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162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北京科源兴生物科技有限公司红门玉龙水厂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163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中科梵肽(北京)科技发展有限公司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164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北京弘豪福安仪器有限公司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165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北京维力佳食品有限公司丰台分公司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166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北京儒奥医疗科技有限公司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167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北京康潞源纯净水厂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168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北京丰凯换热器有限责任公司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169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北京北方车辆集团有限公司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170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北京北方车辆智能装备技术有限公司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171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北京威科翰文科技有限公司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172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北京航天三发高科技有限公司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173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祥威胜（北京）厨房设备工贸有限公司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174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交控科技股份有限公司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175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北京丰台永定消毒设备厂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176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北京靛厂圣泉水厂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177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北京碧青源水厂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178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北京中车二七机械厂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179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北京市北方永定工贸有限责任公司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180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北京富拓威科贸有限责任公司分公司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181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北京鑫茂佳业门窗有限公司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182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北京百世口福食品有限公司丰台分公司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183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北京意诚信通智能卡股份有限公司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184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北京东方赛博工贸有限公司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185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北京市恒利乾坤装饰装潢有限公司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186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北京海润铁路机车配件厂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187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北京天顺瑞诚商贸有限责任公司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188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北京黄土岗水厂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189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北京天赐矿泉饮料有限公司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190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北京市益华电气控制设备厂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191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北京榆构砂石有限公司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192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北京鑫东华腾科技开发有限公司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193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北京大恒医疗设备有限公司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194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北京动力源科技股份有限公司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195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北京九州万佳广播电视设备有限公司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196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北京东方精益机械设备有限公司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197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北京宏运联友索道设备制造有限公司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198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冶金自动化研究设计院</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工业企业</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300" w:hRule="atLeast"/>
        </w:trPr>
        <w:tc>
          <w:tcPr>
            <w:tcW w:w="8293"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eastAsia="zh-CN" w:bidi="ar"/>
              </w:rPr>
              <w:t>七</w:t>
            </w:r>
            <w:r>
              <w:rPr>
                <w:rStyle w:val="14"/>
                <w:rFonts w:hint="default"/>
                <w:lang w:eastAsia="zh-CN" w:bidi="ar"/>
              </w:rPr>
              <w:t>、商贸类（84家）</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199</w:t>
            </w:r>
          </w:p>
        </w:tc>
        <w:tc>
          <w:tcPr>
            <w:tcW w:w="16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北京二商健力食品科技有限公司</w:t>
            </w:r>
          </w:p>
        </w:tc>
        <w:tc>
          <w:tcPr>
            <w:tcW w:w="10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仓储</w:t>
            </w:r>
            <w:r>
              <w:rPr>
                <w:rStyle w:val="15"/>
                <w:rFonts w:hint="default"/>
                <w:lang w:eastAsia="zh-CN" w:bidi="ar"/>
              </w:rPr>
              <w:t>类</w:t>
            </w:r>
          </w:p>
        </w:tc>
        <w:tc>
          <w:tcPr>
            <w:tcW w:w="96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200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北京二商大红门南郊冷冻厂有限公司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仓储</w:t>
            </w:r>
            <w:r>
              <w:rPr>
                <w:rStyle w:val="15"/>
                <w:rFonts w:hint="default"/>
                <w:lang w:eastAsia="zh-CN" w:bidi="ar"/>
              </w:rPr>
              <w:t>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201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北水嘉伦</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仓储</w:t>
            </w:r>
            <w:r>
              <w:rPr>
                <w:rStyle w:val="15"/>
                <w:rFonts w:hint="default"/>
                <w:lang w:eastAsia="zh-CN" w:bidi="ar"/>
              </w:rPr>
              <w:t>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202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北京汇睿天诚酒店管理有限公司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203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北京岚景酒店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204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北京紫晶贝壳酒店管理有限公司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205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北京天天九九嘉餐饮有限责任公司第一分公司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206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北京花乡大鸭梨烤鸭店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207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顺峰饮食酒店管理股份有限公司北京丰台分公司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208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北京锦芳合餐饮有限公司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209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北京亦庄便宜坊餐饮管理有限公司槐房店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210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北京管氏烤翅餐饮有限公司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211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英冠（北京）餐饮管理有限公司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212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北京春风小吊餐饮管理有限公司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213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北京汉唐新天餐饮管理有限公司新宫分公司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214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北京柒玖餐饮服务有限公司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215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北京郭林家常食品有限责任公司丰台第二分公司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216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北京秋风渡文化有限公司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217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麦德龙商业集团有限公司北京草桥东路分公司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218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北京新发地农副产品批发市场中心</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219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北京农产品中央批发市场有限责任公司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220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北京市玉泉营建材装饰市场有限公司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221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北京东方家园家居广场市场有限公司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222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北京上品盛兴源商业有限责任公司（上品折扣草桥店）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223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北京赛尔奥特莱斯商业广场有限公司（花乡奥莱村）</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224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北京槐房万达广场商业管理有限公司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225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北京清城振华酒店有限公司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226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七天快捷酒店管理（北京）有限公司刘家窑店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227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北京兰特伯爵餐饮有限公司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228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北京豪立义优物业管理有限公司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229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北京中海新都酒店管理有限公司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230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北京慧熙园餐饮娱乐管理有限公司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231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北京刘家窑胜利玉林烤鸭有限公司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232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北京榴颜悦色餐饮有限公司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233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北京金鼎轩酒楼有限责任公司第二分店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234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兴盛合聚（北京）餐饮有限公司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235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北京康润亿和酒店管理有限公司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236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北京集美鸿熹酒店管理有限公司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237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北京行者居酒店管理有限公司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238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北京大庭酒店管理有限公司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239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北京旺顺阁五十八餐饮有限公司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240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北京山城辣妹子餐饮服务有限公司第六分公司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241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北京大红门京深海鲜批发市场有限公司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242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北京同和居食府有限公司角门东分店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243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北京大董富春山居餐饮管理有限公司木樨园桥店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244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北京百柳酒店管理有限责任公司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245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北京丰乐汇酒店管理有限公司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246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北京焰鑫酒店管理有限公司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247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北京小肠陈餐饮有限责任公司丰台分店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248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北京麒麟金阁酒店管理有限公司宋家庄分公司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249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北京东铁营青年餐饮有限公司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250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北京必胜客比萨饼有限公司宋庄路餐厅</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251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欧江码头（北京）餐饮管理有限公司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252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乐派（北京）企业管理集团有限公司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253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苏宁易购刘家窑店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254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北京世纪金年丰酒店管理有限公司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255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北京博冠餐饮管理有限公司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256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北京成记烧鹅仔餐饮管理有限公司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257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北京桓宇兴业汇商业管理有限责任公司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258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北京香融府餐饮管理有限公司丰台美食城</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259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北京赣江渔府餐饮管理有限责任公司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260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北京巴奴毛肚火锅有限公司丽泽路分公司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261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北京海畅启盛餐饮管理有限公司第一餐饮分公司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262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我爱大别山（北京）餐饮有限公司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263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北京陈风破浪餐饮管理有限公司丰台翠林路分公司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264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北京大红门宾馆有限责任公司益康居宾馆</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265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北京国旭商务酒店有限公司马家堡宾馆分公司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266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北京万方苑国际酒店有限公司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267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北京双胜满圆宾馆有限公司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268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北京正达嘉和酒店管理有限公司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269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有间十月酒店管理（北京）有限公司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270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北京富友雅居酒店管理有限公司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271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北京华住瑞景酒店管理有限公司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272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北京角门快捷酒店有限责任公司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273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北京吉祥园酒店管理有限公司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274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北京金美泰酒店管理有限公司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275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北京寄航洲际酒店管理有限公司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276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瀚逸酒店管理（上海）有限公司北京丰台小屯路店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277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北京碧中海酒店管理有限公司丰台分公司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278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北京君祥天天快捷酒店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279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北京逸羽太平桥连锁酒店有限公司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280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丁香花酒店管理（北京）有限公司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281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北京怡都酒店管理有限公司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282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北京南村酒店</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基础商贸类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300" w:hRule="atLeast"/>
        </w:trPr>
        <w:tc>
          <w:tcPr>
            <w:tcW w:w="8293"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eastAsia="zh-CN" w:bidi="ar"/>
              </w:rPr>
              <w:t>八</w:t>
            </w:r>
            <w:r>
              <w:rPr>
                <w:rStyle w:val="14"/>
                <w:rFonts w:hint="default"/>
                <w:lang w:eastAsia="zh-CN" w:bidi="ar"/>
              </w:rPr>
              <w:t>、危险化学品票据经营单位（68 家）</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283</w:t>
            </w:r>
          </w:p>
        </w:tc>
        <w:tc>
          <w:tcPr>
            <w:tcW w:w="16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北京宏盛苑化工有限公司</w:t>
            </w:r>
          </w:p>
        </w:tc>
        <w:tc>
          <w:tcPr>
            <w:tcW w:w="10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284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北京健力园医疗器械有限公司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285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北京金元腾达科技有限公司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286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北京农业生产资料有限公司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287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北京通汇宏福贸易有限公司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288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北京京德盛包装设备有限公司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289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北京世纪鑫泰隆商贸有限公司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290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罗德汉森（北京）工程建设有限公司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291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北京庆凯华丰科技开发有限公司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292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北京永华升科技有限公司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293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北京金鼎科化工科技有限公司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294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北京坤源鼎盛商贸有限公司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295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天佑京铁轨道技术有限公司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296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北京协和燕庆石油化工有限公司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297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上海东来科技有限公司北京分公司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298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北京美扬加华商贸有限公司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299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北京市化工原料公司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300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北京市银帆涂料有限责任公司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301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北京丰盈兴业农资有限公司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302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北京航天赛涤科技有限公司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303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北京昌皓胜油漆厂</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304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国能安储（北京）石油化工有限责任公司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305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中东阳光燃气科技（北京）有限公司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306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北京中远华盾科贸有限公司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307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北京中旖新能源有限公司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308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瑞能通达国际贸易（北京）有限公司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309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北京兆与时贸易有限公司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310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北京华成立昌贸易有限公司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311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北京中宏昊天石油化工产品销售有限公司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312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北京联科弘业新能源科技有限公司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313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北京丽泽油料供销公司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314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中色国际贸易有限公司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315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北京立群亿豪石油化工有限公司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316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北京长兴搏程石油化工商贸有限公司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317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北京旭阳科技有限公司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318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北京航天海鹰贸易有限公司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319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北京常睿石油化工产品有限公司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320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东晓鑫川能源科技（北京）有限公司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321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北京碧海舟腐蚀防护工业股份有限公司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322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北京航天凯恩新材料有限公司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323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北京陇兴京西能源有限公司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324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北京中捷能源有限公司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325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北京市金元腾化工科技有限公司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326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北京福兴瑞工业气体有限公司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327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北京碧海云智新材料技术有限公司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328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北京东元气体有限公司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329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北京凌晟能源科技有限公司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330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北京杉竹石油化工技术有限公司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97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331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北京中海华信石油化工科技有限公司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332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华恒威科（北京）科技有限公司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333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北京北化铁运物资有限公司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334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北京白盆窑能源有限公司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335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北京环新北环科学气体销售中心</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336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北京世亿诚能源技术有限公司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337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北京丰镇好运物资有限公司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338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北京众诚嘉业化工贸易有限公司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339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爱科美（北京）材料技术有限公司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340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北京中氢华源科技有限公司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341</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北京康克新材料技术有限公司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342</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旭阳营销有限公司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343</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中化化肥有限公司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344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中国华电集团清洁能源有限公司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345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中化石油销售有限公司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346</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北京飞航捷迅科技有限公司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347</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北京好雅实业有限公司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348</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北京杭氧深冷技术有限公司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121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349</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中铁铁龙集装箱物流股份有限公司特种集装箱运输分公司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73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350</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中铁国际多式联运有限公司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票据经营</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300" w:hRule="atLeast"/>
        </w:trPr>
        <w:tc>
          <w:tcPr>
            <w:tcW w:w="8293"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eastAsia="zh-CN" w:bidi="ar"/>
              </w:rPr>
              <w:t>九、</w:t>
            </w:r>
            <w:r>
              <w:rPr>
                <w:rStyle w:val="14"/>
                <w:rFonts w:hint="default"/>
                <w:lang w:eastAsia="zh-CN" w:bidi="ar"/>
              </w:rPr>
              <w:t>涉爆粉尘（1 家）</w:t>
            </w:r>
          </w:p>
        </w:tc>
      </w:tr>
      <w:tr>
        <w:tblPrEx>
          <w:tblCellMar>
            <w:top w:w="0" w:type="dxa"/>
            <w:left w:w="0" w:type="dxa"/>
            <w:bottom w:w="0" w:type="dxa"/>
            <w:right w:w="0" w:type="dxa"/>
          </w:tblCellMar>
        </w:tblPrEx>
        <w:trPr>
          <w:trHeight w:val="495"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351</w:t>
            </w:r>
          </w:p>
        </w:tc>
        <w:tc>
          <w:tcPr>
            <w:tcW w:w="16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宝酒造食品有限公司</w:t>
            </w:r>
          </w:p>
        </w:tc>
        <w:tc>
          <w:tcPr>
            <w:tcW w:w="10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涉爆粉尘</w:t>
            </w:r>
          </w:p>
        </w:tc>
        <w:tc>
          <w:tcPr>
            <w:tcW w:w="96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w:t>
            </w:r>
          </w:p>
        </w:tc>
        <w:tc>
          <w:tcPr>
            <w:tcW w:w="9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1-12月</w:t>
            </w:r>
          </w:p>
        </w:tc>
      </w:tr>
      <w:tr>
        <w:tblPrEx>
          <w:tblCellMar>
            <w:top w:w="0" w:type="dxa"/>
            <w:left w:w="0" w:type="dxa"/>
            <w:bottom w:w="0" w:type="dxa"/>
            <w:right w:w="0" w:type="dxa"/>
          </w:tblCellMar>
        </w:tblPrEx>
        <w:trPr>
          <w:trHeight w:val="525" w:hRule="atLeast"/>
        </w:trPr>
        <w:tc>
          <w:tcPr>
            <w:tcW w:w="8293"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eastAsia="zh-CN" w:bidi="ar"/>
              </w:rPr>
              <w:t>十、近三年发生过造成人员死亡的生产安全事故的生产经营单位（</w:t>
            </w:r>
            <w:r>
              <w:rPr>
                <w:rStyle w:val="16"/>
                <w:rFonts w:hint="default"/>
                <w:lang w:eastAsia="zh-CN" w:bidi="ar"/>
              </w:rPr>
              <w:t>1家）</w:t>
            </w:r>
          </w:p>
        </w:tc>
      </w:tr>
      <w:tr>
        <w:tblPrEx>
          <w:tblCellMar>
            <w:top w:w="0" w:type="dxa"/>
            <w:left w:w="0" w:type="dxa"/>
            <w:bottom w:w="0" w:type="dxa"/>
            <w:right w:w="0" w:type="dxa"/>
          </w:tblCellMar>
        </w:tblPrEx>
        <w:trPr>
          <w:trHeight w:val="780"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352</w:t>
            </w:r>
          </w:p>
        </w:tc>
        <w:tc>
          <w:tcPr>
            <w:tcW w:w="16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调查评估科</w:t>
            </w:r>
          </w:p>
        </w:tc>
        <w:tc>
          <w:tcPr>
            <w:tcW w:w="27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北京华国汇混凝土有限公司</w:t>
            </w:r>
          </w:p>
        </w:tc>
        <w:tc>
          <w:tcPr>
            <w:tcW w:w="10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综合类</w:t>
            </w:r>
          </w:p>
        </w:tc>
        <w:tc>
          <w:tcPr>
            <w:tcW w:w="96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2</w:t>
            </w:r>
          </w:p>
        </w:tc>
        <w:tc>
          <w:tcPr>
            <w:tcW w:w="9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2-12月</w:t>
            </w:r>
          </w:p>
        </w:tc>
      </w:tr>
      <w:tr>
        <w:tblPrEx>
          <w:tblCellMar>
            <w:top w:w="0" w:type="dxa"/>
            <w:left w:w="0" w:type="dxa"/>
            <w:bottom w:w="0" w:type="dxa"/>
            <w:right w:w="0" w:type="dxa"/>
          </w:tblCellMar>
        </w:tblPrEx>
        <w:trPr>
          <w:trHeight w:val="585" w:hRule="atLeast"/>
        </w:trPr>
        <w:tc>
          <w:tcPr>
            <w:tcW w:w="8293"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eastAsia="zh-CN" w:bidi="ar"/>
              </w:rPr>
              <w:t>十一、</w:t>
            </w:r>
            <w:r>
              <w:rPr>
                <w:rStyle w:val="17"/>
                <w:rFonts w:hint="default"/>
                <w:lang w:eastAsia="zh-CN" w:bidi="ar"/>
              </w:rPr>
              <w:t>一年内因重大事故隐患被区应急局实施过行政处罚的生产经营单位</w:t>
            </w:r>
            <w:r>
              <w:rPr>
                <w:rStyle w:val="16"/>
                <w:rFonts w:hint="default"/>
                <w:lang w:eastAsia="zh-CN" w:bidi="ar"/>
              </w:rPr>
              <w:t>（3家）</w:t>
            </w:r>
          </w:p>
        </w:tc>
      </w:tr>
      <w:tr>
        <w:tblPrEx>
          <w:tblCellMar>
            <w:top w:w="0" w:type="dxa"/>
            <w:left w:w="0" w:type="dxa"/>
            <w:bottom w:w="0" w:type="dxa"/>
            <w:right w:w="0" w:type="dxa"/>
          </w:tblCellMar>
        </w:tblPrEx>
        <w:trPr>
          <w:trHeight w:val="1290"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353</w:t>
            </w:r>
          </w:p>
        </w:tc>
        <w:tc>
          <w:tcPr>
            <w:tcW w:w="16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北京永佳安达酒店管理有限公司（格林豪泰）</w:t>
            </w:r>
          </w:p>
        </w:tc>
        <w:tc>
          <w:tcPr>
            <w:tcW w:w="10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综合类</w:t>
            </w:r>
          </w:p>
        </w:tc>
        <w:tc>
          <w:tcPr>
            <w:tcW w:w="96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2</w:t>
            </w:r>
          </w:p>
        </w:tc>
        <w:tc>
          <w:tcPr>
            <w:tcW w:w="9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2-12月</w:t>
            </w:r>
          </w:p>
        </w:tc>
      </w:tr>
      <w:tr>
        <w:tblPrEx>
          <w:tblCellMar>
            <w:top w:w="0" w:type="dxa"/>
            <w:left w:w="0" w:type="dxa"/>
            <w:bottom w:w="0" w:type="dxa"/>
            <w:right w:w="0" w:type="dxa"/>
          </w:tblCellMar>
        </w:tblPrEx>
        <w:trPr>
          <w:trHeight w:val="1290"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354</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北京东方银鼎家居建材市场有限责任公司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综合类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2</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2-12月</w:t>
            </w:r>
          </w:p>
        </w:tc>
      </w:tr>
      <w:tr>
        <w:tblPrEx>
          <w:tblCellMar>
            <w:top w:w="0" w:type="dxa"/>
            <w:left w:w="0" w:type="dxa"/>
            <w:bottom w:w="0" w:type="dxa"/>
            <w:right w:w="0" w:type="dxa"/>
          </w:tblCellMar>
        </w:tblPrEx>
        <w:trPr>
          <w:trHeight w:val="780" w:hRule="atLeast"/>
        </w:trPr>
        <w:tc>
          <w:tcPr>
            <w:tcW w:w="95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355</w:t>
            </w:r>
          </w:p>
        </w:tc>
        <w:tc>
          <w:tcPr>
            <w:tcW w:w="16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bidi="ar"/>
              </w:rPr>
              <w:t>应急管理综合执法大队</w:t>
            </w:r>
          </w:p>
        </w:tc>
        <w:tc>
          <w:tcPr>
            <w:tcW w:w="274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北京易阳恒丰商贸有限公司</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综合类</w:t>
            </w:r>
          </w:p>
        </w:tc>
        <w:tc>
          <w:tcPr>
            <w:tcW w:w="9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2</w:t>
            </w:r>
          </w:p>
        </w:tc>
        <w:tc>
          <w:tcPr>
            <w:tcW w:w="9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eastAsia="zh-CN" w:bidi="ar"/>
              </w:rPr>
              <w:t>2-12月</w:t>
            </w:r>
          </w:p>
        </w:tc>
      </w:tr>
    </w:tbl>
    <w:p/>
    <w:p>
      <w:pPr>
        <w:spacing w:line="560" w:lineRule="exact"/>
        <w:jc w:val="left"/>
        <w:rPr>
          <w:rFonts w:ascii="仿宋_GB2312" w:hAnsi="仿宋" w:eastAsia="仿宋_GB2312"/>
          <w:sz w:val="32"/>
          <w:szCs w:val="32"/>
          <w:lang w:eastAsia="zh-CN"/>
        </w:rPr>
      </w:pPr>
    </w:p>
    <w:p>
      <w:pPr>
        <w:spacing w:line="560" w:lineRule="exact"/>
        <w:jc w:val="left"/>
        <w:rPr>
          <w:rFonts w:ascii="仿宋_GB2312" w:hAnsi="仿宋" w:eastAsia="仿宋_GB2312"/>
          <w:sz w:val="32"/>
          <w:szCs w:val="32"/>
          <w:lang w:eastAsia="zh-CN"/>
        </w:rPr>
      </w:pPr>
    </w:p>
    <w:p>
      <w:pPr>
        <w:spacing w:line="560" w:lineRule="exact"/>
        <w:jc w:val="left"/>
        <w:rPr>
          <w:rFonts w:ascii="仿宋_GB2312" w:hAnsi="仿宋" w:eastAsia="仿宋_GB2312"/>
          <w:sz w:val="32"/>
          <w:szCs w:val="32"/>
          <w:lang w:eastAsia="zh-CN"/>
        </w:rPr>
      </w:pPr>
    </w:p>
    <w:p>
      <w:pPr>
        <w:rPr>
          <w:rFonts w:ascii="黑体" w:hAnsi="黑体" w:eastAsia="黑体"/>
          <w:sz w:val="32"/>
          <w:szCs w:val="32"/>
          <w:lang w:eastAsia="zh-CN"/>
        </w:rPr>
      </w:pPr>
      <w:r>
        <w:rPr>
          <w:rFonts w:hint="eastAsia" w:ascii="黑体" w:hAnsi="黑体" w:eastAsia="黑体"/>
          <w:sz w:val="32"/>
          <w:szCs w:val="32"/>
          <w:lang w:eastAsia="zh-CN"/>
        </w:rPr>
        <w:br w:type="page"/>
      </w:r>
    </w:p>
    <w:p>
      <w:pPr>
        <w:spacing w:line="560" w:lineRule="exact"/>
        <w:jc w:val="left"/>
        <w:rPr>
          <w:rFonts w:ascii="黑体" w:hAnsi="黑体" w:eastAsia="黑体"/>
          <w:sz w:val="32"/>
          <w:szCs w:val="32"/>
          <w:lang w:eastAsia="zh-CN"/>
        </w:rPr>
      </w:pPr>
      <w:r>
        <w:rPr>
          <w:rFonts w:ascii="仿宋_GB2312" w:eastAsia="仿宋_GB2312" w:hAnsiTheme="minorEastAsia"/>
          <w:sz w:val="32"/>
          <w:szCs w:val="32"/>
          <w:lang w:eastAsia="zh-CN"/>
        </w:rPr>
        <w:drawing>
          <wp:anchor distT="0" distB="0" distL="114300" distR="114300" simplePos="0" relativeHeight="251661312" behindDoc="1" locked="0" layoutInCell="1" allowOverlap="1">
            <wp:simplePos x="0" y="0"/>
            <wp:positionH relativeFrom="column">
              <wp:posOffset>152400</wp:posOffset>
            </wp:positionH>
            <wp:positionV relativeFrom="paragraph">
              <wp:posOffset>473075</wp:posOffset>
            </wp:positionV>
            <wp:extent cx="5224780" cy="7390130"/>
            <wp:effectExtent l="0" t="0" r="13970" b="1270"/>
            <wp:wrapThrough wrapText="bothSides">
              <wp:wrapPolygon>
                <wp:start x="0" y="0"/>
                <wp:lineTo x="0" y="21548"/>
                <wp:lineTo x="21500" y="21548"/>
                <wp:lineTo x="21500" y="0"/>
                <wp:lineTo x="0" y="0"/>
              </wp:wrapPolygon>
            </wp:wrapThrough>
            <wp:docPr id="33" name="图片 33" descr="国家安全生产监督管理总局关于印发《安全生产年度监督检查计划编制办法》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国家安全生产监督管理总局关于印发《安全生产年度监督检查计划编制办法》的通知_00"/>
                    <pic:cNvPicPr>
                      <a:picLocks noChangeAspect="1"/>
                    </pic:cNvPicPr>
                  </pic:nvPicPr>
                  <pic:blipFill>
                    <a:blip r:embed="rId6"/>
                    <a:stretch>
                      <a:fillRect/>
                    </a:stretch>
                  </pic:blipFill>
                  <pic:spPr>
                    <a:xfrm>
                      <a:off x="0" y="0"/>
                      <a:ext cx="5224780" cy="7390130"/>
                    </a:xfrm>
                    <a:prstGeom prst="rect">
                      <a:avLst/>
                    </a:prstGeom>
                  </pic:spPr>
                </pic:pic>
              </a:graphicData>
            </a:graphic>
          </wp:anchor>
        </w:drawing>
      </w:r>
      <w:r>
        <w:rPr>
          <w:rFonts w:hint="eastAsia" w:ascii="黑体" w:hAnsi="黑体" w:eastAsia="黑体"/>
          <w:sz w:val="32"/>
          <w:szCs w:val="32"/>
          <w:lang w:eastAsia="zh-CN"/>
        </w:rPr>
        <w:t>附件4</w:t>
      </w:r>
    </w:p>
    <w:p>
      <w:pPr>
        <w:widowControl/>
        <w:shd w:val="clear" w:color="auto" w:fill="FFFFFF"/>
        <w:adjustRightInd w:val="0"/>
        <w:snapToGrid w:val="0"/>
        <w:jc w:val="left"/>
        <w:rPr>
          <w:rFonts w:ascii="仿宋_GB2312" w:eastAsia="仿宋_GB2312" w:hAnsiTheme="minorEastAsia"/>
          <w:sz w:val="32"/>
          <w:szCs w:val="32"/>
          <w:lang w:eastAsia="zh-CN"/>
        </w:rPr>
      </w:pPr>
      <w:r>
        <w:rPr>
          <w:rFonts w:ascii="仿宋_GB2312" w:eastAsia="仿宋_GB2312" w:hAnsiTheme="minorEastAsia"/>
          <w:sz w:val="32"/>
          <w:szCs w:val="32"/>
          <w:lang w:eastAsia="zh-CN"/>
        </w:rPr>
        <w:drawing>
          <wp:inline distT="0" distB="0" distL="114300" distR="114300">
            <wp:extent cx="5614670" cy="7941310"/>
            <wp:effectExtent l="0" t="0" r="5080" b="2540"/>
            <wp:docPr id="32" name="图片 32" descr="国家安全生产监督管理总局关于印发《安全生产年度监督检查计划编制办法》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国家安全生产监督管理总局关于印发《安全生产年度监督检查计划编制办法》的通知_01"/>
                    <pic:cNvPicPr>
                      <a:picLocks noChangeAspect="1"/>
                    </pic:cNvPicPr>
                  </pic:nvPicPr>
                  <pic:blipFill>
                    <a:blip r:embed="rId7"/>
                    <a:stretch>
                      <a:fillRect/>
                    </a:stretch>
                  </pic:blipFill>
                  <pic:spPr>
                    <a:xfrm>
                      <a:off x="0" y="0"/>
                      <a:ext cx="5614670" cy="7941310"/>
                    </a:xfrm>
                    <a:prstGeom prst="rect">
                      <a:avLst/>
                    </a:prstGeom>
                  </pic:spPr>
                </pic:pic>
              </a:graphicData>
            </a:graphic>
          </wp:inline>
        </w:drawing>
      </w:r>
      <w:r>
        <w:rPr>
          <w:rFonts w:ascii="仿宋_GB2312" w:eastAsia="仿宋_GB2312" w:hAnsiTheme="minorEastAsia"/>
          <w:sz w:val="32"/>
          <w:szCs w:val="32"/>
          <w:lang w:eastAsia="zh-CN"/>
        </w:rPr>
        <w:drawing>
          <wp:inline distT="0" distB="0" distL="114300" distR="114300">
            <wp:extent cx="5614670" cy="7941310"/>
            <wp:effectExtent l="0" t="0" r="5080" b="2540"/>
            <wp:docPr id="31" name="图片 31" descr="国家安全生产监督管理总局关于印发《安全生产年度监督检查计划编制办法》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国家安全生产监督管理总局关于印发《安全生产年度监督检查计划编制办法》的通知_02"/>
                    <pic:cNvPicPr>
                      <a:picLocks noChangeAspect="1"/>
                    </pic:cNvPicPr>
                  </pic:nvPicPr>
                  <pic:blipFill>
                    <a:blip r:embed="rId8"/>
                    <a:stretch>
                      <a:fillRect/>
                    </a:stretch>
                  </pic:blipFill>
                  <pic:spPr>
                    <a:xfrm>
                      <a:off x="0" y="0"/>
                      <a:ext cx="5614670" cy="7941310"/>
                    </a:xfrm>
                    <a:prstGeom prst="rect">
                      <a:avLst/>
                    </a:prstGeom>
                  </pic:spPr>
                </pic:pic>
              </a:graphicData>
            </a:graphic>
          </wp:inline>
        </w:drawing>
      </w:r>
      <w:r>
        <w:rPr>
          <w:rFonts w:ascii="仿宋_GB2312" w:eastAsia="仿宋_GB2312" w:hAnsiTheme="minorEastAsia"/>
          <w:sz w:val="32"/>
          <w:szCs w:val="32"/>
          <w:lang w:eastAsia="zh-CN"/>
        </w:rPr>
        <w:drawing>
          <wp:inline distT="0" distB="0" distL="114300" distR="114300">
            <wp:extent cx="5614670" cy="7941310"/>
            <wp:effectExtent l="0" t="0" r="5080" b="2540"/>
            <wp:docPr id="30" name="图片 30" descr="国家安全生产监督管理总局关于印发《安全生产年度监督检查计划编制办法》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国家安全生产监督管理总局关于印发《安全生产年度监督检查计划编制办法》的通知_03"/>
                    <pic:cNvPicPr>
                      <a:picLocks noChangeAspect="1"/>
                    </pic:cNvPicPr>
                  </pic:nvPicPr>
                  <pic:blipFill>
                    <a:blip r:embed="rId9"/>
                    <a:stretch>
                      <a:fillRect/>
                    </a:stretch>
                  </pic:blipFill>
                  <pic:spPr>
                    <a:xfrm>
                      <a:off x="0" y="0"/>
                      <a:ext cx="5614670" cy="7941310"/>
                    </a:xfrm>
                    <a:prstGeom prst="rect">
                      <a:avLst/>
                    </a:prstGeom>
                  </pic:spPr>
                </pic:pic>
              </a:graphicData>
            </a:graphic>
          </wp:inline>
        </w:drawing>
      </w:r>
      <w:r>
        <w:rPr>
          <w:rFonts w:ascii="仿宋_GB2312" w:eastAsia="仿宋_GB2312" w:hAnsiTheme="minorEastAsia"/>
          <w:sz w:val="32"/>
          <w:szCs w:val="32"/>
          <w:lang w:eastAsia="zh-CN"/>
        </w:rPr>
        <w:drawing>
          <wp:inline distT="0" distB="0" distL="114300" distR="114300">
            <wp:extent cx="5614670" cy="7941310"/>
            <wp:effectExtent l="0" t="0" r="5080" b="2540"/>
            <wp:docPr id="29" name="图片 29" descr="国家安全生产监督管理总局关于印发《安全生产年度监督检查计划编制办法》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国家安全生产监督管理总局关于印发《安全生产年度监督检查计划编制办法》的通知_04"/>
                    <pic:cNvPicPr>
                      <a:picLocks noChangeAspect="1"/>
                    </pic:cNvPicPr>
                  </pic:nvPicPr>
                  <pic:blipFill>
                    <a:blip r:embed="rId10"/>
                    <a:stretch>
                      <a:fillRect/>
                    </a:stretch>
                  </pic:blipFill>
                  <pic:spPr>
                    <a:xfrm>
                      <a:off x="0" y="0"/>
                      <a:ext cx="5614670" cy="7941310"/>
                    </a:xfrm>
                    <a:prstGeom prst="rect">
                      <a:avLst/>
                    </a:prstGeom>
                  </pic:spPr>
                </pic:pic>
              </a:graphicData>
            </a:graphic>
          </wp:inline>
        </w:drawing>
      </w:r>
      <w:r>
        <w:rPr>
          <w:rFonts w:ascii="仿宋_GB2312" w:eastAsia="仿宋_GB2312" w:hAnsiTheme="minorEastAsia"/>
          <w:sz w:val="32"/>
          <w:szCs w:val="32"/>
          <w:lang w:eastAsia="zh-CN"/>
        </w:rPr>
        <w:drawing>
          <wp:inline distT="0" distB="0" distL="114300" distR="114300">
            <wp:extent cx="5614670" cy="7941310"/>
            <wp:effectExtent l="0" t="0" r="5080" b="2540"/>
            <wp:docPr id="28" name="图片 28" descr="国家安全生产监督管理总局关于印发《安全生产年度监督检查计划编制办法》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国家安全生产监督管理总局关于印发《安全生产年度监督检查计划编制办法》的通知_05"/>
                    <pic:cNvPicPr>
                      <a:picLocks noChangeAspect="1"/>
                    </pic:cNvPicPr>
                  </pic:nvPicPr>
                  <pic:blipFill>
                    <a:blip r:embed="rId11"/>
                    <a:stretch>
                      <a:fillRect/>
                    </a:stretch>
                  </pic:blipFill>
                  <pic:spPr>
                    <a:xfrm>
                      <a:off x="0" y="0"/>
                      <a:ext cx="5614670" cy="7941310"/>
                    </a:xfrm>
                    <a:prstGeom prst="rect">
                      <a:avLst/>
                    </a:prstGeom>
                  </pic:spPr>
                </pic:pic>
              </a:graphicData>
            </a:graphic>
          </wp:inline>
        </w:drawing>
      </w:r>
      <w:r>
        <w:rPr>
          <w:rFonts w:ascii="仿宋_GB2312" w:eastAsia="仿宋_GB2312" w:hAnsiTheme="minorEastAsia"/>
          <w:sz w:val="32"/>
          <w:szCs w:val="32"/>
          <w:lang w:eastAsia="zh-CN"/>
        </w:rPr>
        <w:drawing>
          <wp:inline distT="0" distB="0" distL="114300" distR="114300">
            <wp:extent cx="5614670" cy="7941310"/>
            <wp:effectExtent l="0" t="0" r="5080" b="2540"/>
            <wp:docPr id="27" name="图片 27" descr="国家安全生产监督管理总局关于印发《安全生产年度监督检查计划编制办法》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国家安全生产监督管理总局关于印发《安全生产年度监督检查计划编制办法》的通知_06"/>
                    <pic:cNvPicPr>
                      <a:picLocks noChangeAspect="1"/>
                    </pic:cNvPicPr>
                  </pic:nvPicPr>
                  <pic:blipFill>
                    <a:blip r:embed="rId12"/>
                    <a:stretch>
                      <a:fillRect/>
                    </a:stretch>
                  </pic:blipFill>
                  <pic:spPr>
                    <a:xfrm>
                      <a:off x="0" y="0"/>
                      <a:ext cx="5614670" cy="7941310"/>
                    </a:xfrm>
                    <a:prstGeom prst="rect">
                      <a:avLst/>
                    </a:prstGeom>
                  </pic:spPr>
                </pic:pic>
              </a:graphicData>
            </a:graphic>
          </wp:inline>
        </w:drawing>
      </w:r>
      <w:r>
        <w:rPr>
          <w:rFonts w:ascii="仿宋_GB2312" w:eastAsia="仿宋_GB2312" w:hAnsiTheme="minorEastAsia"/>
          <w:sz w:val="32"/>
          <w:szCs w:val="32"/>
          <w:lang w:eastAsia="zh-CN"/>
        </w:rPr>
        <w:drawing>
          <wp:inline distT="0" distB="0" distL="114300" distR="114300">
            <wp:extent cx="5614670" cy="7941310"/>
            <wp:effectExtent l="0" t="0" r="5080" b="2540"/>
            <wp:docPr id="26" name="图片 26" descr="国家安全生产监督管理总局关于印发《安全生产年度监督检查计划编制办法》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国家安全生产监督管理总局关于印发《安全生产年度监督检查计划编制办法》的通知_07"/>
                    <pic:cNvPicPr>
                      <a:picLocks noChangeAspect="1"/>
                    </pic:cNvPicPr>
                  </pic:nvPicPr>
                  <pic:blipFill>
                    <a:blip r:embed="rId13"/>
                    <a:stretch>
                      <a:fillRect/>
                    </a:stretch>
                  </pic:blipFill>
                  <pic:spPr>
                    <a:xfrm>
                      <a:off x="0" y="0"/>
                      <a:ext cx="5614670" cy="7941310"/>
                    </a:xfrm>
                    <a:prstGeom prst="rect">
                      <a:avLst/>
                    </a:prstGeom>
                  </pic:spPr>
                </pic:pic>
              </a:graphicData>
            </a:graphic>
          </wp:inline>
        </w:drawing>
      </w:r>
      <w:r>
        <w:rPr>
          <w:rFonts w:ascii="仿宋_GB2312" w:eastAsia="仿宋_GB2312" w:hAnsiTheme="minorEastAsia"/>
          <w:sz w:val="32"/>
          <w:szCs w:val="32"/>
          <w:lang w:eastAsia="zh-CN"/>
        </w:rPr>
        <w:drawing>
          <wp:inline distT="0" distB="0" distL="114300" distR="114300">
            <wp:extent cx="5614670" cy="7941310"/>
            <wp:effectExtent l="0" t="0" r="5080" b="2540"/>
            <wp:docPr id="25" name="图片 25" descr="国家安全生产监督管理总局关于印发《安全生产年度监督检查计划编制办法》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国家安全生产监督管理总局关于印发《安全生产年度监督检查计划编制办法》的通知_08"/>
                    <pic:cNvPicPr>
                      <a:picLocks noChangeAspect="1"/>
                    </pic:cNvPicPr>
                  </pic:nvPicPr>
                  <pic:blipFill>
                    <a:blip r:embed="rId14"/>
                    <a:stretch>
                      <a:fillRect/>
                    </a:stretch>
                  </pic:blipFill>
                  <pic:spPr>
                    <a:xfrm>
                      <a:off x="0" y="0"/>
                      <a:ext cx="5614670" cy="7941310"/>
                    </a:xfrm>
                    <a:prstGeom prst="rect">
                      <a:avLst/>
                    </a:prstGeom>
                  </pic:spPr>
                </pic:pic>
              </a:graphicData>
            </a:graphic>
          </wp:inline>
        </w:drawing>
      </w:r>
      <w:r>
        <w:rPr>
          <w:rFonts w:ascii="仿宋_GB2312" w:eastAsia="仿宋_GB2312" w:hAnsiTheme="minorEastAsia"/>
          <w:sz w:val="32"/>
          <w:szCs w:val="32"/>
          <w:lang w:eastAsia="zh-CN"/>
        </w:rPr>
        <w:drawing>
          <wp:inline distT="0" distB="0" distL="114300" distR="114300">
            <wp:extent cx="5614670" cy="7941310"/>
            <wp:effectExtent l="0" t="0" r="5080" b="2540"/>
            <wp:docPr id="24" name="图片 24" descr="国家安全生产监督管理总局关于印发《安全生产年度监督检查计划编制办法》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国家安全生产监督管理总局关于印发《安全生产年度监督检查计划编制办法》的通知_09"/>
                    <pic:cNvPicPr>
                      <a:picLocks noChangeAspect="1"/>
                    </pic:cNvPicPr>
                  </pic:nvPicPr>
                  <pic:blipFill>
                    <a:blip r:embed="rId15"/>
                    <a:stretch>
                      <a:fillRect/>
                    </a:stretch>
                  </pic:blipFill>
                  <pic:spPr>
                    <a:xfrm>
                      <a:off x="0" y="0"/>
                      <a:ext cx="5614670" cy="7941310"/>
                    </a:xfrm>
                    <a:prstGeom prst="rect">
                      <a:avLst/>
                    </a:prstGeom>
                  </pic:spPr>
                </pic:pic>
              </a:graphicData>
            </a:graphic>
          </wp:inline>
        </w:drawing>
      </w:r>
      <w:r>
        <w:rPr>
          <w:rFonts w:ascii="仿宋_GB2312" w:eastAsia="仿宋_GB2312" w:hAnsiTheme="minorEastAsia"/>
          <w:sz w:val="32"/>
          <w:szCs w:val="32"/>
          <w:lang w:eastAsia="zh-CN"/>
        </w:rPr>
        <w:drawing>
          <wp:inline distT="0" distB="0" distL="114300" distR="114300">
            <wp:extent cx="5614670" cy="7941310"/>
            <wp:effectExtent l="0" t="0" r="5080" b="2540"/>
            <wp:docPr id="23" name="图片 23" descr="国家安全生产监督管理总局关于印发《安全生产年度监督检查计划编制办法》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国家安全生产监督管理总局关于印发《安全生产年度监督检查计划编制办法》的通知_10"/>
                    <pic:cNvPicPr>
                      <a:picLocks noChangeAspect="1"/>
                    </pic:cNvPicPr>
                  </pic:nvPicPr>
                  <pic:blipFill>
                    <a:blip r:embed="rId16"/>
                    <a:stretch>
                      <a:fillRect/>
                    </a:stretch>
                  </pic:blipFill>
                  <pic:spPr>
                    <a:xfrm>
                      <a:off x="0" y="0"/>
                      <a:ext cx="5614670" cy="7941310"/>
                    </a:xfrm>
                    <a:prstGeom prst="rect">
                      <a:avLst/>
                    </a:prstGeom>
                  </pic:spPr>
                </pic:pic>
              </a:graphicData>
            </a:graphic>
          </wp:inline>
        </w:drawing>
      </w:r>
    </w:p>
    <w:p>
      <w:pPr>
        <w:rPr>
          <w:rFonts w:ascii="黑体" w:hAnsi="黑体" w:eastAsia="黑体"/>
          <w:sz w:val="32"/>
          <w:szCs w:val="32"/>
          <w:lang w:eastAsia="zh-CN"/>
        </w:rPr>
      </w:pPr>
      <w:r>
        <w:rPr>
          <w:rFonts w:hint="eastAsia" w:ascii="黑体" w:hAnsi="黑体" w:eastAsia="黑体"/>
          <w:sz w:val="32"/>
          <w:szCs w:val="32"/>
          <w:lang w:eastAsia="zh-CN"/>
        </w:rPr>
        <w:br w:type="page"/>
      </w:r>
      <w:r>
        <w:rPr>
          <w:rFonts w:hint="eastAsia" w:ascii="黑体" w:hAnsi="黑体" w:eastAsia="黑体"/>
          <w:sz w:val="32"/>
          <w:szCs w:val="32"/>
          <w:lang w:eastAsia="zh-CN"/>
        </w:rPr>
        <w:t>附件5</w:t>
      </w:r>
    </w:p>
    <w:p>
      <w:pPr>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024120" cy="7105015"/>
            <wp:effectExtent l="0" t="0" r="5080" b="635"/>
            <wp:docPr id="11" name="图片 11" descr="附件5：北京市应急管理局关于印发《北京市应急管理系统分类分级执法暂行办法》的通知_纯图版(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件5：北京市应急管理局关于印发《北京市应急管理系统分类分级执法暂行办法》的通知_纯图版(1)_00"/>
                    <pic:cNvPicPr>
                      <a:picLocks noChangeAspect="1"/>
                    </pic:cNvPicPr>
                  </pic:nvPicPr>
                  <pic:blipFill>
                    <a:blip r:embed="rId17"/>
                    <a:stretch>
                      <a:fillRect/>
                    </a:stretch>
                  </pic:blipFill>
                  <pic:spPr>
                    <a:xfrm>
                      <a:off x="0" y="0"/>
                      <a:ext cx="5024120" cy="710501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610225" cy="7933055"/>
            <wp:effectExtent l="0" t="0" r="9525" b="10795"/>
            <wp:docPr id="10" name="图片 10" descr="附件5：北京市应急管理局关于印发《北京市应急管理系统分类分级执法暂行办法》的通知_纯图版(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件5：北京市应急管理局关于印发《北京市应急管理系统分类分级执法暂行办法》的通知_纯图版(1)_01"/>
                    <pic:cNvPicPr>
                      <a:picLocks noChangeAspect="1"/>
                    </pic:cNvPicPr>
                  </pic:nvPicPr>
                  <pic:blipFill>
                    <a:blip r:embed="rId18"/>
                    <a:stretch>
                      <a:fillRect/>
                    </a:stretch>
                  </pic:blipFill>
                  <pic:spPr>
                    <a:xfrm>
                      <a:off x="0" y="0"/>
                      <a:ext cx="5610225" cy="793305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610225" cy="7933055"/>
            <wp:effectExtent l="0" t="0" r="9525" b="10795"/>
            <wp:docPr id="9" name="图片 9" descr="附件5：北京市应急管理局关于印发《北京市应急管理系统分类分级执法暂行办法》的通知_纯图版(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5：北京市应急管理局关于印发《北京市应急管理系统分类分级执法暂行办法》的通知_纯图版(1)_02"/>
                    <pic:cNvPicPr>
                      <a:picLocks noChangeAspect="1"/>
                    </pic:cNvPicPr>
                  </pic:nvPicPr>
                  <pic:blipFill>
                    <a:blip r:embed="rId19"/>
                    <a:stretch>
                      <a:fillRect/>
                    </a:stretch>
                  </pic:blipFill>
                  <pic:spPr>
                    <a:xfrm>
                      <a:off x="0" y="0"/>
                      <a:ext cx="5610225" cy="793305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610225" cy="7933055"/>
            <wp:effectExtent l="0" t="0" r="9525" b="10795"/>
            <wp:docPr id="8" name="图片 8" descr="附件5：北京市应急管理局关于印发《北京市应急管理系统分类分级执法暂行办法》的通知_纯图版(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5：北京市应急管理局关于印发《北京市应急管理系统分类分级执法暂行办法》的通知_纯图版(1)_03"/>
                    <pic:cNvPicPr>
                      <a:picLocks noChangeAspect="1"/>
                    </pic:cNvPicPr>
                  </pic:nvPicPr>
                  <pic:blipFill>
                    <a:blip r:embed="rId20"/>
                    <a:stretch>
                      <a:fillRect/>
                    </a:stretch>
                  </pic:blipFill>
                  <pic:spPr>
                    <a:xfrm>
                      <a:off x="0" y="0"/>
                      <a:ext cx="5610225" cy="793305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610225" cy="7933055"/>
            <wp:effectExtent l="0" t="0" r="9525" b="10795"/>
            <wp:docPr id="7" name="图片 7" descr="附件5：北京市应急管理局关于印发《北京市应急管理系统分类分级执法暂行办法》的通知_纯图版(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5：北京市应急管理局关于印发《北京市应急管理系统分类分级执法暂行办法》的通知_纯图版(1)_04"/>
                    <pic:cNvPicPr>
                      <a:picLocks noChangeAspect="1"/>
                    </pic:cNvPicPr>
                  </pic:nvPicPr>
                  <pic:blipFill>
                    <a:blip r:embed="rId21"/>
                    <a:stretch>
                      <a:fillRect/>
                    </a:stretch>
                  </pic:blipFill>
                  <pic:spPr>
                    <a:xfrm>
                      <a:off x="0" y="0"/>
                      <a:ext cx="5610225" cy="793305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610225" cy="7933055"/>
            <wp:effectExtent l="0" t="0" r="9525" b="10795"/>
            <wp:docPr id="6" name="图片 6" descr="附件5：北京市应急管理局关于印发《北京市应急管理系统分类分级执法暂行办法》的通知_纯图版(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5：北京市应急管理局关于印发《北京市应急管理系统分类分级执法暂行办法》的通知_纯图版(1)_05"/>
                    <pic:cNvPicPr>
                      <a:picLocks noChangeAspect="1"/>
                    </pic:cNvPicPr>
                  </pic:nvPicPr>
                  <pic:blipFill>
                    <a:blip r:embed="rId22"/>
                    <a:stretch>
                      <a:fillRect/>
                    </a:stretch>
                  </pic:blipFill>
                  <pic:spPr>
                    <a:xfrm>
                      <a:off x="0" y="0"/>
                      <a:ext cx="5610225" cy="793305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610225" cy="7933055"/>
            <wp:effectExtent l="0" t="0" r="9525" b="10795"/>
            <wp:docPr id="5" name="图片 5" descr="附件5：北京市应急管理局关于印发《北京市应急管理系统分类分级执法暂行办法》的通知_纯图版(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5：北京市应急管理局关于印发《北京市应急管理系统分类分级执法暂行办法》的通知_纯图版(1)_06"/>
                    <pic:cNvPicPr>
                      <a:picLocks noChangeAspect="1"/>
                    </pic:cNvPicPr>
                  </pic:nvPicPr>
                  <pic:blipFill>
                    <a:blip r:embed="rId23"/>
                    <a:stretch>
                      <a:fillRect/>
                    </a:stretch>
                  </pic:blipFill>
                  <pic:spPr>
                    <a:xfrm>
                      <a:off x="0" y="0"/>
                      <a:ext cx="5610225" cy="793305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610225" cy="6343650"/>
            <wp:effectExtent l="0" t="0" r="9525" b="0"/>
            <wp:docPr id="4" name="图片 4" descr="附件5：北京市应急管理局关于印发《北京市应急管理系统分类分级执法暂行办法》的通知_纯图版(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5：北京市应急管理局关于印发《北京市应急管理系统分类分级执法暂行办法》的通知_纯图版(1)_07"/>
                    <pic:cNvPicPr>
                      <a:picLocks noChangeAspect="1"/>
                    </pic:cNvPicPr>
                  </pic:nvPicPr>
                  <pic:blipFill>
                    <a:blip r:embed="rId24"/>
                    <a:stretch>
                      <a:fillRect/>
                    </a:stretch>
                  </pic:blipFill>
                  <pic:spPr>
                    <a:xfrm>
                      <a:off x="0" y="0"/>
                      <a:ext cx="5610225" cy="6343650"/>
                    </a:xfrm>
                    <a:prstGeom prst="rect">
                      <a:avLst/>
                    </a:prstGeom>
                  </pic:spPr>
                </pic:pic>
              </a:graphicData>
            </a:graphic>
          </wp:inline>
        </w:drawing>
      </w:r>
    </w:p>
    <w:p>
      <w:pPr>
        <w:spacing w:line="560" w:lineRule="exact"/>
        <w:rPr>
          <w:rFonts w:ascii="仿宋_GB2312" w:hAnsi="仿宋" w:eastAsia="仿宋_GB2312"/>
          <w:color w:val="000000"/>
          <w:sz w:val="32"/>
          <w:szCs w:val="32"/>
          <w:lang w:eastAsia="zh-CN"/>
        </w:rPr>
      </w:pPr>
    </w:p>
    <w:p>
      <w:pPr>
        <w:spacing w:line="560" w:lineRule="exact"/>
        <w:rPr>
          <w:rFonts w:ascii="仿宋_GB2312" w:hAnsi="仿宋" w:eastAsia="仿宋_GB2312"/>
          <w:color w:val="000000"/>
          <w:sz w:val="32"/>
          <w:szCs w:val="32"/>
          <w:lang w:eastAsia="zh-CN"/>
        </w:rPr>
      </w:pPr>
    </w:p>
    <w:p>
      <w:pPr>
        <w:spacing w:line="560" w:lineRule="exact"/>
        <w:ind w:firstLine="280" w:firstLineChars="100"/>
        <w:rPr>
          <w:rFonts w:ascii="仿宋_GB2312" w:hAnsi="仿宋" w:eastAsia="仿宋_GB2312" w:cs="仿宋_GB2312"/>
          <w:color w:val="000000"/>
          <w:sz w:val="28"/>
          <w:szCs w:val="28"/>
        </w:rPr>
      </w:pPr>
      <w:r>
        <w:rPr>
          <w:rFonts w:hint="eastAsia" w:ascii="仿宋_GB2312" w:hAnsi="仿宋" w:eastAsia="仿宋_GB2312"/>
          <w:color w:val="000000"/>
          <w:sz w:val="28"/>
          <w:szCs w:val="28"/>
        </w:rPr>
        <w:t>信息公开属性：依申请公开</w:t>
      </w:r>
    </w:p>
    <w:p>
      <w:pPr>
        <w:spacing w:line="520" w:lineRule="exact"/>
        <w:ind w:firstLine="210" w:firstLineChars="100"/>
        <w:jc w:val="left"/>
        <w:rPr>
          <w:rFonts w:ascii="仿宋_GB2312" w:hAnsi="仿宋_GB2312" w:eastAsia="仿宋_GB2312" w:cs="仿宋_GB2312"/>
          <w:sz w:val="32"/>
          <w:szCs w:val="32"/>
          <w:lang w:eastAsia="zh-CN"/>
        </w:rPr>
      </w:pPr>
      <w:r>
        <w:rPr>
          <w:lang w:eastAsia="zh-CN"/>
        </w:rPr>
        <mc:AlternateContent>
          <mc:Choice Requires="wps">
            <w:drawing>
              <wp:anchor distT="0" distB="0" distL="114300" distR="114300" simplePos="0" relativeHeight="251660288" behindDoc="0" locked="0" layoutInCell="1" allowOverlap="1">
                <wp:simplePos x="0" y="0"/>
                <wp:positionH relativeFrom="column">
                  <wp:posOffset>67945</wp:posOffset>
                </wp:positionH>
                <wp:positionV relativeFrom="paragraph">
                  <wp:posOffset>327660</wp:posOffset>
                </wp:positionV>
                <wp:extent cx="5495925" cy="0"/>
                <wp:effectExtent l="0" t="0" r="9525" b="19050"/>
                <wp:wrapNone/>
                <wp:docPr id="3"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5.35pt;margin-top:25.8pt;height:0pt;width:432.75pt;z-index:251660288;mso-width-relative:page;mso-height-relative:page;" filled="f" stroked="t" coordsize="21600,21600" o:gfxdata="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7yGGX1gAAAAgBAAAPAAAAAAAAAAEAIAAAACIAAABkcnMvZG93bnJldi54bWxQSwECFAAU&#10;AAAACACHTuJAuFG6GvMBAAC+AwAADgAAAAAAAAABACAAAAAlAQAAZHJzL2Uyb0RvYy54bWxQSwUG&#10;AAAAAAYABgBZAQAAigUAAAAA&#10;">
                <v:fill on="f" focussize="0,0"/>
                <v:stroke color="#000000" joinstyle="round"/>
                <v:imagedata o:title=""/>
                <o:lock v:ext="edit" aspectratio="f"/>
              </v:shape>
            </w:pict>
          </mc:Fallback>
        </mc:AlternateContent>
      </w:r>
      <w:r>
        <w:rPr>
          <w:lang w:eastAsia="zh-CN"/>
        </w:rPr>
        <mc:AlternateContent>
          <mc:Choice Requires="wps">
            <w:drawing>
              <wp:anchor distT="0" distB="0" distL="114300" distR="114300" simplePos="0" relativeHeight="251659264" behindDoc="0" locked="0" layoutInCell="1" allowOverlap="1">
                <wp:simplePos x="0" y="0"/>
                <wp:positionH relativeFrom="column">
                  <wp:posOffset>58420</wp:posOffset>
                </wp:positionH>
                <wp:positionV relativeFrom="paragraph">
                  <wp:posOffset>32385</wp:posOffset>
                </wp:positionV>
                <wp:extent cx="5505450" cy="0"/>
                <wp:effectExtent l="0" t="0" r="19050" b="19050"/>
                <wp:wrapNone/>
                <wp:docPr id="2" name="直接箭头连接符 2"/>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6pt;margin-top:2.55pt;height:0pt;width:433.5pt;z-index:251659264;mso-width-relative:page;mso-height-relative:page;" filled="f" stroked="t" coordsize="21600,21600" o:gfxdata="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nT8StMAAAAFAQAADwAAAAAAAAABACAAAAAiAAAAZHJzL2Rvd25yZXYueG1sUEsBAhQAFAAA&#10;AAgAh07iQDAD3bX0AQAAvgMAAA4AAAAAAAAAAQAgAAAAIgEAAGRycy9lMm9Eb2MueG1sUEsFBgAA&#10;AAAGAAYAWQEAAIgFAAAAAA==&#10;">
                <v:fill on="f" focussize="0,0"/>
                <v:stroke color="#000000" joinstyle="round"/>
                <v:imagedata o:title=""/>
                <o:lock v:ext="edit" aspectratio="f"/>
              </v:shape>
            </w:pict>
          </mc:Fallback>
        </mc:AlternateContent>
      </w:r>
      <w:r>
        <w:rPr>
          <w:rFonts w:hint="eastAsia" w:ascii="仿宋_GB2312" w:hAnsi="仿宋" w:eastAsia="仿宋_GB2312" w:cs="仿宋_GB2312"/>
          <w:color w:val="000000"/>
          <w:sz w:val="28"/>
          <w:szCs w:val="28"/>
        </w:rPr>
        <w:t xml:space="preserve">北京市丰台区应急管理局办公室  　        </w:t>
      </w:r>
      <w:r>
        <w:rPr>
          <w:rFonts w:hint="eastAsia" w:ascii="仿宋_GB2312" w:hAnsi="仿宋" w:eastAsia="仿宋_GB2312" w:cs="仿宋_GB2312"/>
          <w:color w:val="000000"/>
          <w:sz w:val="28"/>
          <w:szCs w:val="28"/>
          <w:lang w:eastAsia="zh-CN"/>
        </w:rPr>
        <w:t xml:space="preserve"> </w:t>
      </w:r>
      <w:r>
        <w:rPr>
          <w:rFonts w:hint="eastAsia" w:ascii="仿宋_GB2312" w:hAnsi="仿宋" w:eastAsia="仿宋_GB2312" w:cs="仿宋_GB2312"/>
          <w:color w:val="000000"/>
          <w:sz w:val="28"/>
          <w:szCs w:val="28"/>
        </w:rPr>
        <w:t>202</w:t>
      </w:r>
      <w:r>
        <w:rPr>
          <w:rFonts w:hint="eastAsia" w:ascii="仿宋_GB2312" w:hAnsi="仿宋" w:eastAsia="仿宋_GB2312" w:cs="仿宋_GB2312"/>
          <w:color w:val="000000"/>
          <w:sz w:val="28"/>
          <w:szCs w:val="28"/>
          <w:lang w:eastAsia="zh-CN"/>
        </w:rPr>
        <w:t>5</w:t>
      </w:r>
      <w:r>
        <w:rPr>
          <w:rFonts w:hint="eastAsia" w:ascii="仿宋_GB2312" w:hAnsi="仿宋" w:eastAsia="仿宋_GB2312" w:cs="仿宋_GB2312"/>
          <w:color w:val="000000"/>
          <w:sz w:val="28"/>
          <w:szCs w:val="28"/>
        </w:rPr>
        <w:t>年</w:t>
      </w:r>
      <w:r>
        <w:rPr>
          <w:rFonts w:hint="eastAsia" w:ascii="仿宋_GB2312" w:hAnsi="仿宋" w:eastAsia="仿宋_GB2312" w:cs="仿宋_GB2312"/>
          <w:color w:val="000000"/>
          <w:sz w:val="28"/>
          <w:szCs w:val="28"/>
          <w:lang w:eastAsia="zh-CN"/>
        </w:rPr>
        <w:t>3</w:t>
      </w:r>
      <w:r>
        <w:rPr>
          <w:rFonts w:hint="eastAsia" w:ascii="仿宋_GB2312" w:hAnsi="仿宋" w:eastAsia="仿宋_GB2312" w:cs="仿宋_GB2312"/>
          <w:color w:val="000000"/>
          <w:sz w:val="28"/>
          <w:szCs w:val="28"/>
        </w:rPr>
        <w:t>月</w:t>
      </w:r>
      <w:r>
        <w:rPr>
          <w:rFonts w:hint="eastAsia" w:ascii="仿宋_GB2312" w:hAnsi="仿宋" w:eastAsia="仿宋_GB2312" w:cs="仿宋_GB2312"/>
          <w:color w:val="000000"/>
          <w:sz w:val="28"/>
          <w:szCs w:val="28"/>
          <w:lang w:eastAsia="zh-CN"/>
        </w:rPr>
        <w:t>6</w:t>
      </w:r>
      <w:r>
        <w:rPr>
          <w:rFonts w:hint="eastAsia" w:ascii="仿宋_GB2312" w:hAnsi="仿宋" w:eastAsia="仿宋_GB2312" w:cs="仿宋_GB2312"/>
          <w:color w:val="000000"/>
          <w:sz w:val="28"/>
          <w:szCs w:val="28"/>
        </w:rPr>
        <w:t>日印发</w:t>
      </w:r>
    </w:p>
    <w:sectPr>
      <w:footerReference r:id="rId3" w:type="default"/>
      <w:footerReference r:id="rId4" w:type="even"/>
      <w:pgSz w:w="11906" w:h="16838"/>
      <w:pgMar w:top="2098" w:right="1474" w:bottom="1985"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S Sans Serif">
    <w:altName w:val="宋体"/>
    <w:panose1 w:val="00000000000000000000"/>
    <w:charset w:val="86"/>
    <w:family w:val="auto"/>
    <w:pitch w:val="default"/>
    <w:sig w:usb0="00000000" w:usb1="00000000" w:usb2="00000010" w:usb3="00000000" w:csb0="00040000" w:csb1="00000000"/>
  </w:font>
  <w:font w:name="方正小标宋简体">
    <w:altName w:val="仿宋_GB2312"/>
    <w:panose1 w:val="0201060103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2036413"/>
    </w:sdtPr>
    <w:sdtContent>
      <w:p>
        <w:pPr>
          <w:pStyle w:val="5"/>
          <w:jc w:val="right"/>
        </w:pPr>
        <w:r>
          <w:fldChar w:fldCharType="begin"/>
        </w:r>
        <w:r>
          <w:instrText xml:space="preserve">PAGE   \* MERGEFORMAT</w:instrText>
        </w:r>
        <w:r>
          <w:fldChar w:fldCharType="separate"/>
        </w:r>
        <w:r>
          <w:rPr>
            <w:lang w:val="zh-CN" w:eastAsia="zh-CN"/>
          </w:rPr>
          <w:t>-</w:t>
        </w:r>
        <w:r>
          <w:rPr>
            <w:kern w:val="18"/>
            <w:sz w:val="28"/>
          </w:rPr>
          <w:t xml:space="preserve"> 59 -</w:t>
        </w:r>
        <w:r>
          <w:fldChar w:fldCharType="end"/>
        </w:r>
      </w:p>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7307578"/>
    </w:sdtPr>
    <w:sdtEndPr>
      <w:rPr>
        <w:kern w:val="18"/>
        <w:sz w:val="28"/>
      </w:rPr>
    </w:sdtEndPr>
    <w:sdtContent>
      <w:p>
        <w:pPr>
          <w:pStyle w:val="5"/>
          <w:rPr>
            <w:kern w:val="18"/>
            <w:sz w:val="28"/>
          </w:rPr>
        </w:pPr>
        <w:r>
          <w:rPr>
            <w:kern w:val="18"/>
            <w:sz w:val="28"/>
          </w:rPr>
          <w:fldChar w:fldCharType="begin"/>
        </w:r>
        <w:r>
          <w:rPr>
            <w:kern w:val="18"/>
            <w:sz w:val="28"/>
          </w:rPr>
          <w:instrText xml:space="preserve">PAGE   \* MERGEFORMAT</w:instrText>
        </w:r>
        <w:r>
          <w:rPr>
            <w:kern w:val="18"/>
            <w:sz w:val="28"/>
          </w:rPr>
          <w:fldChar w:fldCharType="separate"/>
        </w:r>
        <w:r>
          <w:rPr>
            <w:kern w:val="18"/>
            <w:sz w:val="28"/>
            <w:lang w:val="zh-CN" w:eastAsia="zh-CN"/>
          </w:rPr>
          <w:t>-</w:t>
        </w:r>
        <w:r>
          <w:rPr>
            <w:kern w:val="18"/>
            <w:sz w:val="28"/>
          </w:rPr>
          <w:t xml:space="preserve"> 60 -</w:t>
        </w:r>
        <w:r>
          <w:rPr>
            <w:kern w:val="18"/>
            <w:sz w:val="28"/>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4B7A86"/>
    <w:multiLevelType w:val="multilevel"/>
    <w:tmpl w:val="374B7A86"/>
    <w:lvl w:ilvl="0" w:tentative="0">
      <w:start w:val="1"/>
      <w:numFmt w:val="japaneseCounting"/>
      <w:lvlText w:val="（%1）"/>
      <w:lvlJc w:val="left"/>
      <w:pPr>
        <w:ind w:left="1720" w:hanging="1080"/>
      </w:pPr>
      <w:rPr>
        <w:rFonts w:hint="default" w:ascii="楷体_GB2312" w:eastAsia="楷体_GB2312"/>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5D2F1E85"/>
    <w:multiLevelType w:val="multilevel"/>
    <w:tmpl w:val="5D2F1E85"/>
    <w:lvl w:ilvl="0" w:tentative="0">
      <w:start w:val="1"/>
      <w:numFmt w:val="decimal"/>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4162FE2"/>
    <w:multiLevelType w:val="singleLevel"/>
    <w:tmpl w:val="64162FE2"/>
    <w:lvl w:ilvl="0" w:tentative="0">
      <w:start w:val="1"/>
      <w:numFmt w:val="chineseCounting"/>
      <w:suff w:val="nothing"/>
      <w:lvlText w:val="（%1）"/>
      <w:lvlJc w:val="left"/>
      <w:pPr>
        <w:ind w:left="-10"/>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ACE"/>
    <w:rsid w:val="00001023"/>
    <w:rsid w:val="000014A4"/>
    <w:rsid w:val="00011DCD"/>
    <w:rsid w:val="000425FD"/>
    <w:rsid w:val="000679D7"/>
    <w:rsid w:val="00097DF1"/>
    <w:rsid w:val="000A4000"/>
    <w:rsid w:val="000C0A9F"/>
    <w:rsid w:val="000C3219"/>
    <w:rsid w:val="000E2C70"/>
    <w:rsid w:val="000E58A0"/>
    <w:rsid w:val="0010683F"/>
    <w:rsid w:val="00134C60"/>
    <w:rsid w:val="00147C2E"/>
    <w:rsid w:val="00157C72"/>
    <w:rsid w:val="00172BFA"/>
    <w:rsid w:val="001838DF"/>
    <w:rsid w:val="001F0B8B"/>
    <w:rsid w:val="001F1C2F"/>
    <w:rsid w:val="00200B7D"/>
    <w:rsid w:val="00214DCF"/>
    <w:rsid w:val="00221867"/>
    <w:rsid w:val="00234D85"/>
    <w:rsid w:val="002504B7"/>
    <w:rsid w:val="00286194"/>
    <w:rsid w:val="002953DD"/>
    <w:rsid w:val="002A2E86"/>
    <w:rsid w:val="002C0998"/>
    <w:rsid w:val="002D0640"/>
    <w:rsid w:val="002D2C0F"/>
    <w:rsid w:val="002F3A7E"/>
    <w:rsid w:val="00310473"/>
    <w:rsid w:val="00323A4A"/>
    <w:rsid w:val="003277F9"/>
    <w:rsid w:val="0034027B"/>
    <w:rsid w:val="0034265C"/>
    <w:rsid w:val="0034638D"/>
    <w:rsid w:val="00353F47"/>
    <w:rsid w:val="00365494"/>
    <w:rsid w:val="00367AD2"/>
    <w:rsid w:val="00376AAD"/>
    <w:rsid w:val="00380C79"/>
    <w:rsid w:val="003A4143"/>
    <w:rsid w:val="003C383C"/>
    <w:rsid w:val="003D420D"/>
    <w:rsid w:val="003D62E7"/>
    <w:rsid w:val="003E1224"/>
    <w:rsid w:val="003F5797"/>
    <w:rsid w:val="00405124"/>
    <w:rsid w:val="00416252"/>
    <w:rsid w:val="0042625E"/>
    <w:rsid w:val="0042653D"/>
    <w:rsid w:val="0042675D"/>
    <w:rsid w:val="004646FB"/>
    <w:rsid w:val="00472D10"/>
    <w:rsid w:val="00476C3E"/>
    <w:rsid w:val="00481331"/>
    <w:rsid w:val="0048786C"/>
    <w:rsid w:val="004956FC"/>
    <w:rsid w:val="004A14A5"/>
    <w:rsid w:val="004A31E9"/>
    <w:rsid w:val="004B4E96"/>
    <w:rsid w:val="004D216E"/>
    <w:rsid w:val="004F3E85"/>
    <w:rsid w:val="00505B9F"/>
    <w:rsid w:val="00513D28"/>
    <w:rsid w:val="005265DD"/>
    <w:rsid w:val="00537ACE"/>
    <w:rsid w:val="00560D6F"/>
    <w:rsid w:val="00564355"/>
    <w:rsid w:val="0058599B"/>
    <w:rsid w:val="005A352D"/>
    <w:rsid w:val="005B0A18"/>
    <w:rsid w:val="005C5F24"/>
    <w:rsid w:val="005D0F51"/>
    <w:rsid w:val="005D1192"/>
    <w:rsid w:val="005F0102"/>
    <w:rsid w:val="005F1C94"/>
    <w:rsid w:val="005F3E05"/>
    <w:rsid w:val="006074A6"/>
    <w:rsid w:val="00612394"/>
    <w:rsid w:val="006132B1"/>
    <w:rsid w:val="00641EB7"/>
    <w:rsid w:val="00652366"/>
    <w:rsid w:val="006C047D"/>
    <w:rsid w:val="006D08D8"/>
    <w:rsid w:val="006D4F2F"/>
    <w:rsid w:val="006E5C8B"/>
    <w:rsid w:val="006F4113"/>
    <w:rsid w:val="0071532F"/>
    <w:rsid w:val="00731DD1"/>
    <w:rsid w:val="00760AAF"/>
    <w:rsid w:val="0077539D"/>
    <w:rsid w:val="00781B4B"/>
    <w:rsid w:val="00786794"/>
    <w:rsid w:val="007B2C02"/>
    <w:rsid w:val="007B6495"/>
    <w:rsid w:val="007D77D3"/>
    <w:rsid w:val="007E765B"/>
    <w:rsid w:val="007F2EFF"/>
    <w:rsid w:val="008438AF"/>
    <w:rsid w:val="00850242"/>
    <w:rsid w:val="00863D9E"/>
    <w:rsid w:val="008709D7"/>
    <w:rsid w:val="0089124A"/>
    <w:rsid w:val="00894224"/>
    <w:rsid w:val="008B4208"/>
    <w:rsid w:val="008C1346"/>
    <w:rsid w:val="008C1595"/>
    <w:rsid w:val="008F0563"/>
    <w:rsid w:val="008F7BFA"/>
    <w:rsid w:val="00902B5A"/>
    <w:rsid w:val="009349EB"/>
    <w:rsid w:val="0093503D"/>
    <w:rsid w:val="0095154A"/>
    <w:rsid w:val="009538D0"/>
    <w:rsid w:val="00981410"/>
    <w:rsid w:val="009827F2"/>
    <w:rsid w:val="009847CC"/>
    <w:rsid w:val="00996911"/>
    <w:rsid w:val="009C0163"/>
    <w:rsid w:val="009C64FB"/>
    <w:rsid w:val="009C7A96"/>
    <w:rsid w:val="009E5541"/>
    <w:rsid w:val="00A0575B"/>
    <w:rsid w:val="00A33851"/>
    <w:rsid w:val="00A52A7D"/>
    <w:rsid w:val="00A918E0"/>
    <w:rsid w:val="00AA0628"/>
    <w:rsid w:val="00AA49CB"/>
    <w:rsid w:val="00AE33E4"/>
    <w:rsid w:val="00AE6BC9"/>
    <w:rsid w:val="00B11144"/>
    <w:rsid w:val="00B113DB"/>
    <w:rsid w:val="00B43B34"/>
    <w:rsid w:val="00B55297"/>
    <w:rsid w:val="00BA1F15"/>
    <w:rsid w:val="00BB27FA"/>
    <w:rsid w:val="00BB2B5B"/>
    <w:rsid w:val="00BC3ACB"/>
    <w:rsid w:val="00BC6EF4"/>
    <w:rsid w:val="00C0324D"/>
    <w:rsid w:val="00C03B61"/>
    <w:rsid w:val="00C13A46"/>
    <w:rsid w:val="00C161FE"/>
    <w:rsid w:val="00C1765C"/>
    <w:rsid w:val="00C44B72"/>
    <w:rsid w:val="00C64DA5"/>
    <w:rsid w:val="00C66BE0"/>
    <w:rsid w:val="00C77EF0"/>
    <w:rsid w:val="00CA03B2"/>
    <w:rsid w:val="00CA70EC"/>
    <w:rsid w:val="00CB08EF"/>
    <w:rsid w:val="00CD2694"/>
    <w:rsid w:val="00CF4FF7"/>
    <w:rsid w:val="00D05EAC"/>
    <w:rsid w:val="00D2396E"/>
    <w:rsid w:val="00D31C45"/>
    <w:rsid w:val="00D35D5D"/>
    <w:rsid w:val="00D6136E"/>
    <w:rsid w:val="00D9123F"/>
    <w:rsid w:val="00D91FF5"/>
    <w:rsid w:val="00D931C7"/>
    <w:rsid w:val="00DA076C"/>
    <w:rsid w:val="00DA5DA9"/>
    <w:rsid w:val="00DA77C6"/>
    <w:rsid w:val="00DB3154"/>
    <w:rsid w:val="00DC3151"/>
    <w:rsid w:val="00DD2773"/>
    <w:rsid w:val="00DE4FB8"/>
    <w:rsid w:val="00DF1572"/>
    <w:rsid w:val="00E03EB3"/>
    <w:rsid w:val="00E21CD8"/>
    <w:rsid w:val="00E262C0"/>
    <w:rsid w:val="00E60A0C"/>
    <w:rsid w:val="00E63D1B"/>
    <w:rsid w:val="00E65545"/>
    <w:rsid w:val="00E718E0"/>
    <w:rsid w:val="00E81A05"/>
    <w:rsid w:val="00E83A42"/>
    <w:rsid w:val="00E947C0"/>
    <w:rsid w:val="00EA5F05"/>
    <w:rsid w:val="00EE0CCF"/>
    <w:rsid w:val="00EE6DE1"/>
    <w:rsid w:val="00F12434"/>
    <w:rsid w:val="00F16494"/>
    <w:rsid w:val="00F22F7A"/>
    <w:rsid w:val="00F25B2D"/>
    <w:rsid w:val="00F35834"/>
    <w:rsid w:val="00F454F0"/>
    <w:rsid w:val="00F5210F"/>
    <w:rsid w:val="00F65530"/>
    <w:rsid w:val="00F77804"/>
    <w:rsid w:val="00F9625C"/>
    <w:rsid w:val="00FA495B"/>
    <w:rsid w:val="00FA4B37"/>
    <w:rsid w:val="00FB417D"/>
    <w:rsid w:val="00FC2CA4"/>
    <w:rsid w:val="00FE6026"/>
    <w:rsid w:val="00FF63C2"/>
    <w:rsid w:val="09244C78"/>
    <w:rsid w:val="0ADA6AE2"/>
    <w:rsid w:val="0EE55854"/>
    <w:rsid w:val="12914C13"/>
    <w:rsid w:val="17064FAB"/>
    <w:rsid w:val="1AB12D47"/>
    <w:rsid w:val="1B4959B5"/>
    <w:rsid w:val="1BEC025E"/>
    <w:rsid w:val="1ECF12B9"/>
    <w:rsid w:val="20A17A40"/>
    <w:rsid w:val="21E561E2"/>
    <w:rsid w:val="29232854"/>
    <w:rsid w:val="2AF41216"/>
    <w:rsid w:val="2C320D78"/>
    <w:rsid w:val="2E2037F1"/>
    <w:rsid w:val="2F123FF6"/>
    <w:rsid w:val="347064A5"/>
    <w:rsid w:val="367A21E6"/>
    <w:rsid w:val="38C547C1"/>
    <w:rsid w:val="3B5D2420"/>
    <w:rsid w:val="3C1D27FC"/>
    <w:rsid w:val="3E7812C0"/>
    <w:rsid w:val="46F75DC1"/>
    <w:rsid w:val="47464731"/>
    <w:rsid w:val="4D021D86"/>
    <w:rsid w:val="5EAA4D36"/>
    <w:rsid w:val="5FBED544"/>
    <w:rsid w:val="622F7825"/>
    <w:rsid w:val="64CE3D3A"/>
    <w:rsid w:val="687D0A1E"/>
    <w:rsid w:val="6C2A3973"/>
    <w:rsid w:val="74E21396"/>
    <w:rsid w:val="7D7E8000"/>
    <w:rsid w:val="7D945747"/>
    <w:rsid w:val="7F6C3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jc w:val="both"/>
    </w:pPr>
    <w:rPr>
      <w:rFonts w:ascii="Times New Roman" w:hAnsi="Times New Roman" w:eastAsia="宋体" w:cs="Times New Roman"/>
      <w:kern w:val="1"/>
      <w:sz w:val="21"/>
      <w:szCs w:val="24"/>
      <w:lang w:val="en-US" w:eastAsia="ar-SA" w:bidi="ar-SA"/>
    </w:rPr>
  </w:style>
  <w:style w:type="paragraph" w:styleId="2">
    <w:name w:val="heading 1"/>
    <w:basedOn w:val="1"/>
    <w:next w:val="1"/>
    <w:link w:val="13"/>
    <w:qFormat/>
    <w:uiPriority w:val="0"/>
    <w:pPr>
      <w:keepNext/>
      <w:keepLines/>
      <w:numPr>
        <w:ilvl w:val="0"/>
        <w:numId w:val="1"/>
      </w:numPr>
      <w:suppressAutoHyphens w:val="0"/>
      <w:spacing w:before="340" w:after="330" w:line="578" w:lineRule="auto"/>
      <w:jc w:val="center"/>
      <w:outlineLvl w:val="0"/>
    </w:pPr>
    <w:rPr>
      <w:rFonts w:eastAsia="黑体" w:asciiTheme="minorHAnsi" w:hAnsiTheme="minorHAnsi" w:cstheme="minorBidi"/>
      <w:b/>
      <w:bCs/>
      <w:kern w:val="44"/>
      <w:sz w:val="44"/>
      <w:szCs w:val="44"/>
      <w:lang w:eastAsia="zh-CN"/>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rFonts w:ascii="仿宋_GB2312" w:hAnsi="仿宋_GB2312" w:eastAsia="仿宋_GB2312" w:cs="仿宋_GB2312"/>
      <w:sz w:val="32"/>
      <w:szCs w:val="32"/>
      <w:lang w:val="zh-CN" w:eastAsia="zh-CN" w:bidi="zh-CN"/>
    </w:rPr>
  </w:style>
  <w:style w:type="paragraph" w:styleId="4">
    <w:name w:val="Balloon Text"/>
    <w:basedOn w:val="1"/>
    <w:link w:val="18"/>
    <w:qFormat/>
    <w:uiPriority w:val="0"/>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uppressAutoHyphens w:val="0"/>
      <w:spacing w:before="100" w:beforeAutospacing="1" w:after="100" w:afterAutospacing="1"/>
      <w:jc w:val="left"/>
    </w:pPr>
    <w:rPr>
      <w:rFonts w:ascii="宋体" w:hAnsi="宋体" w:cs="宋体"/>
      <w:kern w:val="0"/>
      <w:sz w:val="24"/>
      <w:lang w:eastAsia="zh-CN"/>
    </w:rPr>
  </w:style>
  <w:style w:type="character" w:styleId="10">
    <w:name w:val="Strong"/>
    <w:qFormat/>
    <w:uiPriority w:val="22"/>
    <w:rPr>
      <w:b/>
      <w:bCs/>
    </w:rPr>
  </w:style>
  <w:style w:type="character" w:customStyle="1" w:styleId="11">
    <w:name w:val="页眉 Char"/>
    <w:basedOn w:val="9"/>
    <w:link w:val="6"/>
    <w:qFormat/>
    <w:uiPriority w:val="0"/>
    <w:rPr>
      <w:rFonts w:ascii="Times New Roman" w:hAnsi="Times New Roman" w:eastAsia="宋体" w:cs="Times New Roman"/>
      <w:kern w:val="1"/>
      <w:sz w:val="18"/>
      <w:szCs w:val="18"/>
      <w:lang w:eastAsia="ar-SA"/>
    </w:rPr>
  </w:style>
  <w:style w:type="character" w:customStyle="1" w:styleId="12">
    <w:name w:val="页脚 Char"/>
    <w:basedOn w:val="9"/>
    <w:link w:val="5"/>
    <w:qFormat/>
    <w:uiPriority w:val="99"/>
    <w:rPr>
      <w:rFonts w:ascii="Times New Roman" w:hAnsi="Times New Roman" w:eastAsia="宋体" w:cs="Times New Roman"/>
      <w:kern w:val="1"/>
      <w:sz w:val="18"/>
      <w:szCs w:val="18"/>
      <w:lang w:eastAsia="ar-SA"/>
    </w:rPr>
  </w:style>
  <w:style w:type="character" w:customStyle="1" w:styleId="13">
    <w:name w:val="标题 1 Char"/>
    <w:basedOn w:val="9"/>
    <w:link w:val="2"/>
    <w:qFormat/>
    <w:uiPriority w:val="0"/>
    <w:rPr>
      <w:rFonts w:eastAsia="黑体"/>
      <w:b/>
      <w:bCs/>
      <w:kern w:val="44"/>
      <w:sz w:val="44"/>
      <w:szCs w:val="44"/>
    </w:rPr>
  </w:style>
  <w:style w:type="character" w:customStyle="1" w:styleId="14">
    <w:name w:val="font61"/>
    <w:basedOn w:val="9"/>
    <w:qFormat/>
    <w:uiPriority w:val="0"/>
    <w:rPr>
      <w:rFonts w:hint="eastAsia" w:ascii="宋体" w:hAnsi="宋体" w:eastAsia="宋体" w:cs="宋体"/>
      <w:b/>
      <w:color w:val="000000"/>
      <w:sz w:val="20"/>
      <w:szCs w:val="20"/>
      <w:u w:val="none"/>
    </w:rPr>
  </w:style>
  <w:style w:type="character" w:customStyle="1" w:styleId="15">
    <w:name w:val="font51"/>
    <w:basedOn w:val="9"/>
    <w:qFormat/>
    <w:uiPriority w:val="0"/>
    <w:rPr>
      <w:rFonts w:hint="eastAsia" w:ascii="宋体" w:hAnsi="宋体" w:eastAsia="宋体" w:cs="宋体"/>
      <w:color w:val="000000"/>
      <w:sz w:val="20"/>
      <w:szCs w:val="20"/>
      <w:u w:val="none"/>
    </w:rPr>
  </w:style>
  <w:style w:type="character" w:customStyle="1" w:styleId="16">
    <w:name w:val="font31"/>
    <w:basedOn w:val="9"/>
    <w:qFormat/>
    <w:uiPriority w:val="0"/>
    <w:rPr>
      <w:rFonts w:hint="eastAsia" w:ascii="宋体" w:hAnsi="宋体" w:eastAsia="宋体" w:cs="宋体"/>
      <w:b/>
      <w:color w:val="000000"/>
      <w:sz w:val="21"/>
      <w:szCs w:val="21"/>
      <w:u w:val="none"/>
    </w:rPr>
  </w:style>
  <w:style w:type="character" w:customStyle="1" w:styleId="17">
    <w:name w:val="font11"/>
    <w:basedOn w:val="9"/>
    <w:qFormat/>
    <w:uiPriority w:val="0"/>
    <w:rPr>
      <w:rFonts w:hint="eastAsia" w:ascii="宋体" w:hAnsi="宋体" w:eastAsia="宋体" w:cs="宋体"/>
      <w:b/>
      <w:color w:val="000000"/>
      <w:sz w:val="24"/>
      <w:szCs w:val="24"/>
      <w:u w:val="none"/>
    </w:rPr>
  </w:style>
  <w:style w:type="character" w:customStyle="1" w:styleId="18">
    <w:name w:val="批注框文本 Char"/>
    <w:basedOn w:val="9"/>
    <w:link w:val="4"/>
    <w:qFormat/>
    <w:uiPriority w:val="0"/>
    <w:rPr>
      <w:rFonts w:ascii="Times New Roman" w:hAnsi="Times New Roman" w:eastAsia="宋体" w:cs="Times New Roman"/>
      <w:kern w:val="1"/>
      <w:sz w:val="18"/>
      <w:szCs w:val="18"/>
      <w:lang w:eastAsia="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60</Pages>
  <Words>3346</Words>
  <Characters>19075</Characters>
  <Lines>158</Lines>
  <Paragraphs>44</Paragraphs>
  <TotalTime>6</TotalTime>
  <ScaleCrop>false</ScaleCrop>
  <LinksUpToDate>false</LinksUpToDate>
  <CharactersWithSpaces>22377</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2024-01-30T01:14:00Z</dcterms:created>
  <dc:creator>Administrator</dc:creator>
  <cp:lastModifiedBy>贾尧</cp:lastModifiedBy>
  <cp:lastPrinted>2024-03-05T01:11:00Z</cp:lastPrinted>
  <dcterms:modified xsi:type="dcterms:W3CDTF">2025-06-30T07:29:15Z</dcterms:modified>
  <cp:revision>205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7D3F9BC762CA4A3296B18B678627ECDD</vt:lpwstr>
  </property>
</Properties>
</file>